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Cabinet HSE et conformité — David MUSEUR, consultant senior</w:t>
      </w:r>
    </w:p>
    <w:p>
      <w:pPr>
        <w:spacing w:after="60" w:before="120"/>
        <w:jc w:val="center"/>
      </w:pPr>
      <w:r>
        <w:rPr>
          <w:rFonts w:ascii="Arial" w:cs="Arial" w:eastAsia="Arial" w:hAnsi="Arial"/>
          <w:b/>
          <w:bCs/>
          <w:color w:val="A00D1A"/>
          <w:sz w:val="32"/>
          <w:szCs w:val="32"/>
        </w:rPr>
        <w:t xml:space="preserve">COURRIER DES PIÈCES À OBTENIR — v3</w:t>
      </w:r>
    </w:p>
    <w:p>
      <w:pPr>
        <w:spacing w:after="60"/>
        <w:jc w:val="center"/>
      </w:pPr>
      <w:r>
        <w:rPr>
          <w:rFonts w:ascii="Arial" w:cs="Arial" w:eastAsia="Arial" w:hAnsi="Arial"/>
          <w:b/>
          <w:bCs/>
          <w:sz w:val="22"/>
          <w:szCs w:val="22"/>
        </w:rPr>
        <w:t xml:space="preserve">IM2S Protection Incendie — Édition 2026 du DUERP</w:t>
      </w:r>
    </w:p>
    <w:p>
      <w:pPr>
        <w:spacing w:after="240"/>
        <w:jc w:val="center"/>
      </w:pPr>
      <w:r>
        <w:rPr>
          <w:rFonts w:ascii="Arial" w:cs="Arial" w:eastAsia="Arial" w:hAnsi="Arial"/>
          <w:i/>
          <w:iCs/>
          <w:color w:val="5A5B5C"/>
          <w:sz w:val="18"/>
          <w:szCs w:val="18"/>
        </w:rPr>
        <w:t xml:space="preserve">Version anonymisée — par degré d’urgence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Référence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CP-IM2S-2026-05-27-v3</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27 mai 2026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Destinataire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IM2S Protection Incendie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Objet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des pièces complémentaires à transmettre pour finaliser la version v2.4 figée du DUERP, classées par degré d’urgence opérationnelle.</w:t>
            </w:r>
          </w:p>
        </w:tc>
      </w:tr>
    </w:tbl>
    <w:p>
      <w:pPr>
        <w:pStyle w:val="Heading2"/>
        <w:keepNext/>
        <w:spacing w:after="140" w:before="280"/>
      </w:pPr>
      <w:r>
        <w:rPr>
          <w:rFonts w:ascii="Arial" w:cs="Arial" w:eastAsia="Arial" w:hAnsi="Arial"/>
          <w:b/>
          <w:bCs/>
          <w:color w:val="1A1A1A"/>
          <w:sz w:val="28"/>
          <w:szCs w:val="28"/>
        </w:rPr>
        <w:t xml:space="preserve">Propos liminaire</w:t>
      </w:r>
    </w:p>
    <w:p>
      <w:pPr>
        <w:spacing w:after="60" w:before="60" w:line="300"/>
      </w:pPr>
      <w:r>
        <w:rPr>
          <w:rFonts w:ascii="Arial" w:cs="Arial" w:eastAsia="Arial" w:hAnsi="Arial"/>
          <w:color w:val="222222"/>
          <w:sz w:val="22"/>
          <w:szCs w:val="22"/>
        </w:rPr>
        <w:t xml:space="preserve">La présente liste de pièces complémentaires fait suite à la livraison du DUERP IM2S Édition 2026 v2.3 FINAL et à l’analyse croisée des sources documentaires et audio du dossier. Elle s’organise en trois niveaux de priorité, du plus urgent au plus différé, afin de permettre à IM2S de planifier la collecte des pièces selon la disponibilité de ses équipes.</w:t>
      </w:r>
    </w:p>
    <w:p>
      <w:pPr>
        <w:spacing w:after="60" w:before="60" w:line="300"/>
      </w:pPr>
      <w:r>
        <w:rPr>
          <w:rFonts w:ascii="Arial" w:cs="Arial" w:eastAsia="Arial" w:hAnsi="Arial"/>
          <w:color w:val="222222"/>
          <w:sz w:val="22"/>
          <w:szCs w:val="22"/>
        </w:rPr>
        <w:t xml:space="preserve">Les références à des clients ou chantiers spécifiques ont été anonymisées : seules les typologies (catégorie ERP, secteur d’activité, ancienneté du bâti) sont mentionnées, conformément aux directives de confidentialité commerciale du gérant.</w:t>
      </w:r>
    </w:p>
    <w:p>
      <w:pPr>
        <w:spacing w:after="60" w:before="60" w:line="300"/>
      </w:pPr>
      <w:r>
        <w:rPr>
          <w:rFonts w:ascii="Arial" w:cs="Arial" w:eastAsia="Arial" w:hAnsi="Arial"/>
          <w:color w:val="222222"/>
          <w:sz w:val="22"/>
          <w:szCs w:val="22"/>
        </w:rPr>
        <w:t xml:space="preserve">À réception de l’ensemble des pièces du niveau P1 (15 jours), le cabinet LENAXIS / SECURE produira la version v2.4 figée du DUERP, intégrant les données nominatives exactes pour dépôt définitif.</w:t>
      </w:r>
    </w:p>
    <w:p>
      <w:pPr>
        <w:pageBreakBefore/>
      </w:pPr>
      <w:r>
        <w:rPr>
          <w:sz w:val="1"/>
          <w:szCs w:val="1"/>
        </w:rPr>
        <w:t xml:space="preserve"/>
      </w:r>
    </w:p>
    <w:p>
      <w:pPr>
        <w:shd w:fill="A00D1A" w:color="A00D1A" w:val="clear"/>
        <w:spacing w:after="240" w:before="120"/>
        <w:jc w:val="center"/>
      </w:pPr>
      <w:r>
        <w:rPr>
          <w:rFonts w:ascii="Arial" w:cs="Arial" w:eastAsia="Arial" w:hAnsi="Arial"/>
          <w:b/>
          <w:bCs/>
          <w:color w:val="FFFFFF"/>
          <w:sz w:val="28"/>
          <w:szCs w:val="28"/>
        </w:rPr>
        <w:t xml:space="preserve">PRIORITÉ 1 — URGENT — Échéance ≤ 15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Pourquoi P1 ?</w:t>
            </w:r>
          </w:p>
          <w:p>
            <w:r>
              <w:rPr>
                <w:rFonts w:ascii="Arial" w:cs="Arial" w:eastAsia="Arial" w:hAnsi="Arial"/>
                <w:color w:val="222222"/>
                <w:sz w:val="22"/>
                <w:szCs w:val="22"/>
              </w:rPr>
              <w:t xml:space="preserve">Pièces nécessaires au verrouillage juridique du DUERP : effectif certifié, habilitations, registre obligatoire. Sans elles, le document ne peut être figé en version v2.4 opposable.</w:t>
            </w:r>
          </w:p>
        </w:tc>
      </w:tr>
    </w:tbl>
    <w:p>
      <w:pPr>
        <w:pStyle w:val="Heading3"/>
        <w:keepNext/>
        <w:spacing w:after="100" w:before="200"/>
      </w:pPr>
      <w:r>
        <w:rPr>
          <w:rFonts w:ascii="Arial" w:cs="Arial" w:eastAsia="Arial" w:hAnsi="Arial"/>
          <w:b/>
          <w:bCs/>
          <w:color w:val="5A5B5C"/>
          <w:sz w:val="24"/>
          <w:szCs w:val="24"/>
        </w:rPr>
        <w:t xml:space="preserve">P1.1. Liste nominative des 18 collaborateurs</w:t>
      </w:r>
    </w:p>
    <w:p>
      <w:pPr>
        <w:spacing w:after="60" w:before="60" w:line="300"/>
      </w:pPr>
      <w:r>
        <w:rPr>
          <w:rFonts w:ascii="Arial" w:cs="Arial" w:eastAsia="Arial" w:hAnsi="Arial"/>
          <w:color w:val="222222"/>
          <w:sz w:val="22"/>
          <w:szCs w:val="22"/>
        </w:rPr>
        <w:t xml:space="preserve">Tableau à transmettre au format Excel ou Word avec les colonnes suivantes :</w:t>
      </w:r>
    </w:p>
    <w:p>
      <w:pPr>
        <w:pStyle w:val="ListParagraph"/>
        <w:numPr>
          <w:ilvl w:val="0"/>
          <w:numId w:val="2"/>
        </w:numPr>
        <w:spacing w:after="40" w:before="40" w:line="300"/>
      </w:pPr>
      <w:r>
        <w:rPr>
          <w:rFonts w:ascii="Arial" w:cs="Arial" w:eastAsia="Arial" w:hAnsi="Arial"/>
          <w:color w:val="222222"/>
          <w:sz w:val="22"/>
          <w:szCs w:val="22"/>
        </w:rPr>
        <w:t xml:space="preserve">Nom — Prénom — Date de naissance (âge calculé automatiquement)</w:t>
      </w:r>
    </w:p>
    <w:p>
      <w:pPr>
        <w:pStyle w:val="ListParagraph"/>
        <w:numPr>
          <w:ilvl w:val="0"/>
          <w:numId w:val="2"/>
        </w:numPr>
        <w:spacing w:after="40" w:before="40" w:line="300"/>
      </w:pPr>
      <w:r>
        <w:rPr>
          <w:rFonts w:ascii="Arial" w:cs="Arial" w:eastAsia="Arial" w:hAnsi="Arial"/>
          <w:color w:val="222222"/>
          <w:sz w:val="22"/>
          <w:szCs w:val="22"/>
        </w:rPr>
        <w:t xml:space="preserve">Poste occupé — Unité de travail de rattachement (UT1 à UT6 du DUERP)</w:t>
      </w:r>
    </w:p>
    <w:p>
      <w:pPr>
        <w:pStyle w:val="ListParagraph"/>
        <w:numPr>
          <w:ilvl w:val="0"/>
          <w:numId w:val="2"/>
        </w:numPr>
        <w:spacing w:after="40" w:before="40" w:line="300"/>
      </w:pPr>
      <w:r>
        <w:rPr>
          <w:rFonts w:ascii="Arial" w:cs="Arial" w:eastAsia="Arial" w:hAnsi="Arial"/>
          <w:color w:val="222222"/>
          <w:sz w:val="22"/>
          <w:szCs w:val="22"/>
        </w:rPr>
        <w:t xml:space="preserve">Sexe (pour analyse sociodémographique parité H/F)</w:t>
      </w:r>
    </w:p>
    <w:p>
      <w:pPr>
        <w:pStyle w:val="ListParagraph"/>
        <w:numPr>
          <w:ilvl w:val="0"/>
          <w:numId w:val="2"/>
        </w:numPr>
        <w:spacing w:after="40" w:before="40" w:line="300"/>
      </w:pPr>
      <w:r>
        <w:rPr>
          <w:rFonts w:ascii="Arial" w:cs="Arial" w:eastAsia="Arial" w:hAnsi="Arial"/>
          <w:color w:val="222222"/>
          <w:sz w:val="22"/>
          <w:szCs w:val="22"/>
        </w:rPr>
        <w:t xml:space="preserve">Date d’embauche — Type de contrat (CDI / CDD / intérim / apprentissage)</w:t>
      </w:r>
    </w:p>
    <w:p>
      <w:pPr>
        <w:pStyle w:val="ListParagraph"/>
        <w:numPr>
          <w:ilvl w:val="0"/>
          <w:numId w:val="2"/>
        </w:numPr>
        <w:spacing w:after="40" w:before="40" w:line="300"/>
      </w:pPr>
      <w:r>
        <w:rPr>
          <w:rFonts w:ascii="Arial" w:cs="Arial" w:eastAsia="Arial" w:hAnsi="Arial"/>
          <w:color w:val="222222"/>
          <w:sz w:val="22"/>
          <w:szCs w:val="22"/>
        </w:rPr>
        <w:t xml:space="preserve">ETP (équivalent temps plein : 1,0 = temps plein, 0,8 = 4/5e, etc.)</w:t>
      </w:r>
    </w:p>
    <w:p>
      <w:pPr>
        <w:pStyle w:val="ListParagraph"/>
        <w:numPr>
          <w:ilvl w:val="0"/>
          <w:numId w:val="2"/>
        </w:numPr>
        <w:spacing w:after="40" w:before="40" w:line="300"/>
      </w:pPr>
      <w:r>
        <w:rPr>
          <w:rFonts w:ascii="Arial" w:cs="Arial" w:eastAsia="Arial" w:hAnsi="Arial"/>
          <w:color w:val="222222"/>
          <w:sz w:val="22"/>
          <w:szCs w:val="22"/>
        </w:rPr>
        <w:t xml:space="preserve">IDCC de rattachement (1597 pour ouvriers, 2609 pour ETAM)</w:t>
      </w:r>
    </w:p>
    <w:p>
      <w:pPr>
        <w:pStyle w:val="ListParagraph"/>
        <w:numPr>
          <w:ilvl w:val="0"/>
          <w:numId w:val="2"/>
        </w:numPr>
        <w:spacing w:after="40" w:before="40" w:line="300"/>
      </w:pPr>
      <w:r>
        <w:rPr>
          <w:rFonts w:ascii="Arial" w:cs="Arial" w:eastAsia="Arial" w:hAnsi="Arial"/>
          <w:color w:val="222222"/>
          <w:sz w:val="22"/>
          <w:szCs w:val="22"/>
        </w:rPr>
        <w:t xml:space="preserve">Statut RH spécifique le cas échéant (longue maladie, mi-temps thérapeutique, etc.)</w:t>
      </w:r>
    </w:p>
    <w:p>
      <w:pPr>
        <w:spacing w:after="60" w:before="60" w:line="300"/>
      </w:pPr>
      <w:r>
        <w:rPr>
          <w:rFonts w:ascii="Arial" w:cs="Arial" w:eastAsia="Arial" w:hAnsi="Arial"/>
          <w:i/>
          <w:iCs/>
          <w:color w:val="222222"/>
          <w:sz w:val="22"/>
          <w:szCs w:val="22"/>
        </w:rPr>
        <w:t xml:space="preserve">Cette liste permettra de figer définitivement les indicateurs sociodémographiques du DUERP (18 collaborateurs : 13 H + 5 F dont 1 longue maladie, à confirmer par la liste exacte).</w:t>
      </w:r>
    </w:p>
    <w:p>
      <w:pPr>
        <w:pStyle w:val="Heading3"/>
        <w:keepNext/>
        <w:spacing w:after="100" w:before="200"/>
      </w:pPr>
      <w:r>
        <w:rPr>
          <w:rFonts w:ascii="Arial" w:cs="Arial" w:eastAsia="Arial" w:hAnsi="Arial"/>
          <w:b/>
          <w:bCs/>
          <w:color w:val="5A5B5C"/>
          <w:sz w:val="24"/>
          <w:szCs w:val="24"/>
        </w:rPr>
        <w:t xml:space="preserve">P1.2. Tableau exhaustif des habilitations électriques NF C 18-510</w:t>
      </w:r>
    </w:p>
    <w:p>
      <w:pPr>
        <w:spacing w:after="60" w:before="60" w:line="300"/>
      </w:pPr>
      <w:r>
        <w:rPr>
          <w:rFonts w:ascii="Arial" w:cs="Arial" w:eastAsia="Arial" w:hAnsi="Arial"/>
          <w:color w:val="222222"/>
          <w:sz w:val="22"/>
          <w:szCs w:val="22"/>
        </w:rPr>
        <w:t xml:space="preserve">Tableau actualisé sur la base effective des 18 collaborateurs (et non sur l’ancienne base de 9 personnes), avec les colonnes :</w:t>
      </w:r>
    </w:p>
    <w:p>
      <w:pPr>
        <w:pStyle w:val="ListParagraph"/>
        <w:numPr>
          <w:ilvl w:val="0"/>
          <w:numId w:val="2"/>
        </w:numPr>
        <w:spacing w:after="40" w:before="40" w:line="300"/>
      </w:pPr>
      <w:r>
        <w:rPr>
          <w:rFonts w:ascii="Arial" w:cs="Arial" w:eastAsia="Arial" w:hAnsi="Arial"/>
          <w:color w:val="222222"/>
          <w:sz w:val="22"/>
          <w:szCs w:val="22"/>
        </w:rPr>
        <w:t xml:space="preserve">Titulaire (Nom — Prénom — Poste)</w:t>
      </w:r>
    </w:p>
    <w:p>
      <w:pPr>
        <w:pStyle w:val="ListParagraph"/>
        <w:numPr>
          <w:ilvl w:val="0"/>
          <w:numId w:val="2"/>
        </w:numPr>
        <w:spacing w:after="40" w:before="40" w:line="300"/>
      </w:pPr>
      <w:r>
        <w:rPr>
          <w:rFonts w:ascii="Arial" w:cs="Arial" w:eastAsia="Arial" w:hAnsi="Arial"/>
          <w:color w:val="222222"/>
          <w:sz w:val="22"/>
          <w:szCs w:val="22"/>
        </w:rPr>
        <w:t xml:space="preserve">Type d’habilitation (B0, B1V, B2V, BR, BC, BE Essai, H0V, etc.)</w:t>
      </w:r>
    </w:p>
    <w:p>
      <w:pPr>
        <w:pStyle w:val="ListParagraph"/>
        <w:numPr>
          <w:ilvl w:val="0"/>
          <w:numId w:val="2"/>
        </w:numPr>
        <w:spacing w:after="40" w:before="40" w:line="300"/>
      </w:pPr>
      <w:r>
        <w:rPr>
          <w:rFonts w:ascii="Arial" w:cs="Arial" w:eastAsia="Arial" w:hAnsi="Arial"/>
          <w:color w:val="222222"/>
          <w:sz w:val="22"/>
          <w:szCs w:val="22"/>
        </w:rPr>
        <w:t xml:space="preserve">Date de délivrance — Organisme de formation — Numéro d’attestation</w:t>
      </w:r>
    </w:p>
    <w:p>
      <w:pPr>
        <w:pStyle w:val="ListParagraph"/>
        <w:numPr>
          <w:ilvl w:val="0"/>
          <w:numId w:val="2"/>
        </w:numPr>
        <w:spacing w:after="40" w:before="40" w:line="300"/>
      </w:pPr>
      <w:r>
        <w:rPr>
          <w:rFonts w:ascii="Arial" w:cs="Arial" w:eastAsia="Arial" w:hAnsi="Arial"/>
          <w:color w:val="222222"/>
          <w:sz w:val="22"/>
          <w:szCs w:val="22"/>
        </w:rPr>
        <w:t xml:space="preserve">Date de recyclage prévue (validité 3 ans, soit échéance 2027 pour les habilitations 2024)</w:t>
      </w:r>
    </w:p>
    <w:p>
      <w:pPr>
        <w:pStyle w:val="ListParagraph"/>
        <w:numPr>
          <w:ilvl w:val="0"/>
          <w:numId w:val="2"/>
        </w:numPr>
        <w:spacing w:after="40" w:before="40" w:line="300"/>
      </w:pPr>
      <w:r>
        <w:rPr>
          <w:rFonts w:ascii="Arial" w:cs="Arial" w:eastAsia="Arial" w:hAnsi="Arial"/>
          <w:color w:val="222222"/>
          <w:sz w:val="22"/>
          <w:szCs w:val="22"/>
        </w:rPr>
        <w:t xml:space="preserve">Visa annuel du gérant attestant que le titulaire reste apte à exercer</w:t>
      </w:r>
    </w:p>
    <w:p>
      <w:pPr>
        <w:pStyle w:val="Heading3"/>
        <w:keepNext/>
        <w:spacing w:after="100" w:before="200"/>
      </w:pPr>
      <w:r>
        <w:rPr>
          <w:rFonts w:ascii="Arial" w:cs="Arial" w:eastAsia="Arial" w:hAnsi="Arial"/>
          <w:b/>
          <w:bCs/>
          <w:color w:val="5A5B5C"/>
          <w:sz w:val="24"/>
          <w:szCs w:val="24"/>
        </w:rPr>
        <w:t xml:space="preserve">P1.3. Décisions formelles pour les salariés non habilités</w:t>
      </w:r>
    </w:p>
    <w:p>
      <w:pPr>
        <w:spacing w:after="60" w:before="60" w:line="300"/>
      </w:pPr>
      <w:r>
        <w:rPr>
          <w:rFonts w:ascii="Arial" w:cs="Arial" w:eastAsia="Arial" w:hAnsi="Arial"/>
          <w:color w:val="222222"/>
          <w:sz w:val="22"/>
          <w:szCs w:val="22"/>
        </w:rPr>
        <w:t xml:space="preserve">Pour chaque collaborateur du pôle technique non habilité à ce jour, transmettre une décision écrite et signée par le gérant relevant de l’une des deux options suivantes :</w:t>
      </w:r>
    </w:p>
    <w:p>
      <w:pPr>
        <w:pStyle w:val="ListParagraph"/>
        <w:numPr>
          <w:ilvl w:val="0"/>
          <w:numId w:val="{numbers-0}"/>
        </w:numPr>
        <w:spacing w:after="40" w:before="40"/>
      </w:pPr>
      <w:r>
        <w:rPr>
          <w:rFonts w:ascii="Arial" w:cs="Arial" w:eastAsia="Arial" w:hAnsi="Arial"/>
          <w:sz w:val="22"/>
          <w:szCs w:val="22"/>
        </w:rPr>
        <w:t xml:space="preserve">Régularisation programmée : nom de l’organisme, date de la session de formation, échéance.</w:t>
      </w:r>
    </w:p>
    <w:p>
      <w:pPr>
        <w:pStyle w:val="ListParagraph"/>
        <w:numPr>
          <w:ilvl w:val="0"/>
          <w:numId w:val="{numbers-0}"/>
        </w:numPr>
        <w:spacing w:after="40" w:before="40"/>
      </w:pPr>
      <w:r>
        <w:rPr>
          <w:rFonts w:ascii="Arial" w:cs="Arial" w:eastAsia="Arial" w:hAnsi="Arial"/>
          <w:sz w:val="22"/>
          <w:szCs w:val="22"/>
        </w:rPr>
        <w:t xml:space="preserve">Interdiction formelle d’accès aux installations électriques sous tension (Art. R.4544-9 du Code du travail), avec affichage et contre-signature du salarié.</w:t>
      </w:r>
    </w:p>
    <w:p>
      <w:pPr>
        <w:spacing w:after="60" w:before="60" w:line="300"/>
      </w:pPr>
      <w:r>
        <w:rPr>
          <w:rFonts w:ascii="Arial" w:cs="Arial" w:eastAsia="Arial" w:hAnsi="Arial"/>
          <w:i/>
          <w:iCs/>
          <w:color w:val="222222"/>
          <w:sz w:val="22"/>
          <w:szCs w:val="22"/>
        </w:rPr>
        <w:t xml:space="preserve">Cette pièce protège pénalement le gérant en cas d’accident impliquant un collaborateur non habilité.</w:t>
      </w:r>
    </w:p>
    <w:p>
      <w:pPr>
        <w:pStyle w:val="Heading3"/>
        <w:keepNext/>
        <w:spacing w:after="100" w:before="200"/>
      </w:pPr>
      <w:r>
        <w:rPr>
          <w:rFonts w:ascii="Arial" w:cs="Arial" w:eastAsia="Arial" w:hAnsi="Arial"/>
          <w:b/>
          <w:bCs/>
          <w:color w:val="5A5B5C"/>
          <w:sz w:val="24"/>
          <w:szCs w:val="24"/>
        </w:rPr>
        <w:t xml:space="preserve">P1.4. Confirmation écrite de l’effectif moyen 2025 en ETP</w:t>
      </w:r>
    </w:p>
    <w:p>
      <w:pPr>
        <w:spacing w:after="60" w:before="60" w:line="300"/>
      </w:pPr>
      <w:r>
        <w:rPr>
          <w:rFonts w:ascii="Arial" w:cs="Arial" w:eastAsia="Arial" w:hAnsi="Arial"/>
          <w:color w:val="222222"/>
          <w:sz w:val="22"/>
          <w:szCs w:val="22"/>
        </w:rPr>
        <w:t xml:space="preserve">Note formelle signée du gérant attestant que l’effectif moyen calculé sur l’année 2025 dépasse durablement le seuil de 10 salariés (Art. L.2312-1 du Code du travail). Cette pièce sécurise le rattachement à l’IDCC 1597 (Ouvriers du Bâtiment, entreprises occupant plus de 10 salariés).</w:t>
      </w:r>
    </w:p>
    <w:p>
      <w:pPr>
        <w:pStyle w:val="Heading3"/>
        <w:keepNext/>
        <w:spacing w:after="100" w:before="200"/>
      </w:pPr>
      <w:r>
        <w:rPr>
          <w:rFonts w:ascii="Arial" w:cs="Arial" w:eastAsia="Arial" w:hAnsi="Arial"/>
          <w:b/>
          <w:bCs/>
          <w:color w:val="5A5B5C"/>
          <w:sz w:val="24"/>
          <w:szCs w:val="24"/>
        </w:rPr>
        <w:t xml:space="preserve">P1.5. Photo horodatée du bac de rétention installé</w:t>
      </w:r>
    </w:p>
    <w:p>
      <w:pPr>
        <w:spacing w:after="60" w:before="60" w:line="300"/>
      </w:pPr>
      <w:r>
        <w:rPr>
          <w:rFonts w:ascii="Arial" w:cs="Arial" w:eastAsia="Arial" w:hAnsi="Arial"/>
          <w:color w:val="222222"/>
          <w:sz w:val="22"/>
          <w:szCs w:val="22"/>
        </w:rPr>
        <w:t xml:space="preserve">Conformément à l’action A.3 du tableau du DUERP, transmettre une photo datée du bac de rétention installé sous le rayonnage chimique de l’atelier. La capacité du bac doit couvrir au minimum 1/3 du volume total stocké, en application de l’Art. R.4412-17 du Code du travail.</w:t>
      </w:r>
    </w:p>
    <w:p>
      <w:pPr>
        <w:pageBreakBefore/>
      </w:pPr>
      <w:r>
        <w:rPr>
          <w:sz w:val="1"/>
          <w:szCs w:val="1"/>
        </w:rPr>
        <w:t xml:space="preserve"/>
      </w:r>
    </w:p>
    <w:p>
      <w:pPr>
        <w:shd w:fill="E67E22" w:color="E67E22" w:val="clear"/>
        <w:spacing w:after="240" w:before="120"/>
        <w:jc w:val="center"/>
      </w:pPr>
      <w:r>
        <w:rPr>
          <w:rFonts w:ascii="Arial" w:cs="Arial" w:eastAsia="Arial" w:hAnsi="Arial"/>
          <w:b/>
          <w:bCs/>
          <w:color w:val="FFFFFF"/>
          <w:sz w:val="28"/>
          <w:szCs w:val="28"/>
        </w:rPr>
        <w:t xml:space="preserve">PRIORITÉ 2 — IMPORTANT — Échéance ≤ 30 à 45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4"/>
              <w:left w:val="single" w:color="E67E22" w:sz="18"/>
              <w:bottom w:val="single" w:color="E67E22" w:sz="4"/>
              <w:right w:val="single" w:color="E67E22" w:sz="4"/>
            </w:tcBorders>
            <w:shd w:fill="F5F5F5" w:val="clear"/>
            <w:tcMar>
              <w:top w:type="dxa" w:w="160"/>
              <w:left w:type="dxa" w:w="200"/>
              <w:bottom w:type="dxa" w:w="160"/>
              <w:right w:type="dxa" w:w="200"/>
            </w:tcMar>
          </w:tcPr>
          <w:p>
            <w:pPr>
              <w:spacing w:after="60"/>
            </w:pPr>
            <w:r>
              <w:rPr>
                <w:rFonts w:ascii="Arial" w:cs="Arial" w:eastAsia="Arial" w:hAnsi="Arial"/>
                <w:b/>
                <w:bCs/>
                <w:color w:val="E67E22"/>
                <w:sz w:val="22"/>
                <w:szCs w:val="22"/>
              </w:rPr>
              <w:t xml:space="preserve">Pourquoi P2 ?</w:t>
            </w:r>
          </w:p>
          <w:p>
            <w:r>
              <w:rPr>
                <w:rFonts w:ascii="Arial" w:cs="Arial" w:eastAsia="Arial" w:hAnsi="Arial"/>
                <w:color w:val="222222"/>
                <w:sz w:val="22"/>
                <w:szCs w:val="22"/>
              </w:rPr>
              <w:t xml:space="preserve">Pièces nécessaires au déploiement opérationnel des actions A.1 à A.10 et à la mise en œuvre effective du dispositif Plan de Prévention. Elles complètent le DUERP sans en conditionner la signature.</w:t>
            </w:r>
          </w:p>
        </w:tc>
      </w:tr>
    </w:tbl>
    <w:p>
      <w:pPr>
        <w:pStyle w:val="Heading3"/>
        <w:keepNext/>
        <w:spacing w:after="100" w:before="200"/>
      </w:pPr>
      <w:r>
        <w:rPr>
          <w:rFonts w:ascii="Arial" w:cs="Arial" w:eastAsia="Arial" w:hAnsi="Arial"/>
          <w:b/>
          <w:bCs/>
          <w:color w:val="5A5B5C"/>
          <w:sz w:val="24"/>
          <w:szCs w:val="24"/>
        </w:rPr>
        <w:t xml:space="preserve">P2.1. Liste anonymisée des chantiers en cours — typologies</w:t>
      </w:r>
    </w:p>
    <w:p>
      <w:pPr>
        <w:spacing w:after="60" w:before="60" w:line="300"/>
      </w:pPr>
      <w:r>
        <w:rPr>
          <w:rFonts w:ascii="Arial" w:cs="Arial" w:eastAsia="Arial" w:hAnsi="Arial"/>
          <w:color w:val="222222"/>
          <w:sz w:val="22"/>
          <w:szCs w:val="22"/>
        </w:rPr>
        <w:t xml:space="preserve">À transmettre sous forme de tableau de synthèse (sans nom de client), avec les colonnes suivantes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 interne</w:t>
            </w:r>
          </w:p>
        </w:tc>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Typologie du site</w:t>
            </w:r>
          </w:p>
        </w:tc>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Ancienneté du bâti</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d’intervention IM2S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CH-001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ERP 1ère catégorie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 &gt; 1997 (HAR)</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Maintenance contractuelle SSI</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CH-002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Industrie (imprimerie)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 &lt; 1997 (risque amiante)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désenfumage neuve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CH-003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ERP 2e catégorie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 &gt; 1997</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annuelle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CH-004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Tertiaire (bureaux)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 &gt; 1997</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Maintenance extincteurs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CH-005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Habitat collectif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 &lt; 1997 (risque amiante)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Dépannage SSI</w:t>
            </w:r>
          </w:p>
        </w:tc>
      </w:tr>
    </w:tbl>
    <w:p>
      <w:pPr>
        <w:spacing w:after="60" w:before="60" w:line="300"/>
      </w:pPr>
      <w:r>
        <w:rPr>
          <w:rFonts w:ascii="Arial" w:cs="Arial" w:eastAsia="Arial" w:hAnsi="Arial"/>
          <w:i/>
          <w:iCs/>
          <w:color w:val="222222"/>
          <w:sz w:val="22"/>
          <w:szCs w:val="22"/>
        </w:rPr>
        <w:t xml:space="preserve">Cette typologie permet d’établir les Plans de Prévention par catégorie de risque, sans divulgation commerciale. Le point critique amiante concerne tout bâti antérieur à 1997.</w:t>
      </w:r>
    </w:p>
    <w:p>
      <w:pPr>
        <w:pStyle w:val="Heading3"/>
        <w:keepNext/>
        <w:spacing w:after="100" w:before="200"/>
      </w:pPr>
      <w:r>
        <w:rPr>
          <w:rFonts w:ascii="Arial" w:cs="Arial" w:eastAsia="Arial" w:hAnsi="Arial"/>
          <w:b/>
          <w:bCs/>
          <w:color w:val="5A5B5C"/>
          <w:sz w:val="24"/>
          <w:szCs w:val="24"/>
        </w:rPr>
        <w:t xml:space="preserve">P2.2. Liste des principaux clients récurrents (anonymisée)</w:t>
      </w:r>
    </w:p>
    <w:p>
      <w:pPr>
        <w:spacing w:after="60" w:before="60" w:line="300"/>
      </w:pPr>
      <w:r>
        <w:rPr>
          <w:rFonts w:ascii="Arial" w:cs="Arial" w:eastAsia="Arial" w:hAnsi="Arial"/>
          <w:color w:val="222222"/>
          <w:sz w:val="22"/>
          <w:szCs w:val="22"/>
        </w:rPr>
        <w:t xml:space="preserve">Identification anonyme (référence interne RC-001, RC-002, etc.) des 3 à 5 clients pour lesquels IM2S intervient récurremment (cumul &gt; 400 h sur 12 mois), avec :</w:t>
      </w:r>
    </w:p>
    <w:p>
      <w:pPr>
        <w:pStyle w:val="ListParagraph"/>
        <w:numPr>
          <w:ilvl w:val="0"/>
          <w:numId w:val="2"/>
        </w:numPr>
        <w:spacing w:after="40" w:before="40" w:line="300"/>
      </w:pPr>
      <w:r>
        <w:rPr>
          <w:rFonts w:ascii="Arial" w:cs="Arial" w:eastAsia="Arial" w:hAnsi="Arial"/>
          <w:color w:val="222222"/>
          <w:sz w:val="22"/>
          <w:szCs w:val="22"/>
        </w:rPr>
        <w:t xml:space="preserve">Typologie du site (ERP catégorie / industrie / tertiaire / habitat)</w:t>
      </w:r>
    </w:p>
    <w:p>
      <w:pPr>
        <w:pStyle w:val="ListParagraph"/>
        <w:numPr>
          <w:ilvl w:val="0"/>
          <w:numId w:val="2"/>
        </w:numPr>
        <w:spacing w:after="40" w:before="40" w:line="300"/>
      </w:pPr>
      <w:r>
        <w:rPr>
          <w:rFonts w:ascii="Arial" w:cs="Arial" w:eastAsia="Arial" w:hAnsi="Arial"/>
          <w:color w:val="222222"/>
          <w:sz w:val="22"/>
          <w:szCs w:val="22"/>
        </w:rPr>
        <w:t xml:space="preserve">Volume horaire annuel approximatif (pour identifier le seuil de 400 h déclenchant le Plan de Prévention obligatoire — Art. R.4512-7)</w:t>
      </w:r>
    </w:p>
    <w:p>
      <w:pPr>
        <w:pStyle w:val="ListParagraph"/>
        <w:numPr>
          <w:ilvl w:val="0"/>
          <w:numId w:val="2"/>
        </w:numPr>
        <w:spacing w:after="40" w:before="40" w:line="300"/>
      </w:pPr>
      <w:r>
        <w:rPr>
          <w:rFonts w:ascii="Arial" w:cs="Arial" w:eastAsia="Arial" w:hAnsi="Arial"/>
          <w:color w:val="222222"/>
          <w:sz w:val="22"/>
          <w:szCs w:val="22"/>
        </w:rPr>
        <w:t xml:space="preserve">Présence ou non d’amiante connue (DTA disponible / bâti &lt; 1997 sans DTA / non concerné)</w:t>
      </w:r>
    </w:p>
    <w:p>
      <w:pPr>
        <w:pStyle w:val="ListParagraph"/>
        <w:numPr>
          <w:ilvl w:val="0"/>
          <w:numId w:val="2"/>
        </w:numPr>
        <w:spacing w:after="40" w:before="40" w:line="300"/>
      </w:pPr>
      <w:r>
        <w:rPr>
          <w:rFonts w:ascii="Arial" w:cs="Arial" w:eastAsia="Arial" w:hAnsi="Arial"/>
          <w:color w:val="222222"/>
          <w:sz w:val="22"/>
          <w:szCs w:val="22"/>
        </w:rPr>
        <w:t xml:space="preserve">Activité du site exposant à des risques spécifiques (ATEX, biologique, rayonnements, etc.)</w:t>
      </w:r>
    </w:p>
    <w:p>
      <w:pPr>
        <w:spacing w:after="60" w:before="60" w:line="300"/>
      </w:pPr>
      <w:r>
        <w:rPr>
          <w:rFonts w:ascii="Arial" w:cs="Arial" w:eastAsia="Arial" w:hAnsi="Arial"/>
          <w:i/>
          <w:iCs/>
          <w:color w:val="222222"/>
          <w:sz w:val="22"/>
          <w:szCs w:val="22"/>
        </w:rPr>
        <w:t xml:space="preserve">Cette liste constitue la base de travail pour le premier déploiement opérationnel des Plans de Prévention IM2S (cf. chapitre 10 du DUERP).</w:t>
      </w:r>
    </w:p>
    <w:p>
      <w:pPr>
        <w:pStyle w:val="Heading3"/>
        <w:keepNext/>
        <w:spacing w:after="100" w:before="200"/>
      </w:pPr>
      <w:r>
        <w:rPr>
          <w:rFonts w:ascii="Arial" w:cs="Arial" w:eastAsia="Arial" w:hAnsi="Arial"/>
          <w:b/>
          <w:bCs/>
          <w:color w:val="5A5B5C"/>
          <w:sz w:val="24"/>
          <w:szCs w:val="24"/>
        </w:rPr>
        <w:t xml:space="preserve">P2.3. Sous-traitants pose et entretien — attestations</w:t>
      </w:r>
    </w:p>
    <w:p>
      <w:pPr>
        <w:spacing w:after="60" w:before="60" w:line="300"/>
      </w:pPr>
      <w:r>
        <w:rPr>
          <w:rFonts w:ascii="Arial" w:cs="Arial" w:eastAsia="Arial" w:hAnsi="Arial"/>
          <w:color w:val="222222"/>
          <w:sz w:val="22"/>
          <w:szCs w:val="22"/>
        </w:rPr>
        <w:t xml:space="preserve">Pour chaque sous-traitant régulier d’IM2S (sans dépasser une liste de 3 à 5 entités principales) :</w:t>
      </w:r>
    </w:p>
    <w:p>
      <w:pPr>
        <w:pStyle w:val="ListParagraph"/>
        <w:numPr>
          <w:ilvl w:val="0"/>
          <w:numId w:val="2"/>
        </w:numPr>
        <w:spacing w:after="40" w:before="40" w:line="300"/>
      </w:pPr>
      <w:r>
        <w:rPr>
          <w:rFonts w:ascii="Arial" w:cs="Arial" w:eastAsia="Arial" w:hAnsi="Arial"/>
          <w:color w:val="222222"/>
          <w:sz w:val="22"/>
          <w:szCs w:val="22"/>
        </w:rPr>
        <w:t xml:space="preserve">Référence interne anonyme (ST-001, ST-002, etc.) et spécialité technique</w:t>
      </w:r>
    </w:p>
    <w:p>
      <w:pPr>
        <w:pStyle w:val="ListParagraph"/>
        <w:numPr>
          <w:ilvl w:val="0"/>
          <w:numId w:val="2"/>
        </w:numPr>
        <w:spacing w:after="40" w:before="40" w:line="300"/>
      </w:pPr>
      <w:r>
        <w:rPr>
          <w:rFonts w:ascii="Arial" w:cs="Arial" w:eastAsia="Arial" w:hAnsi="Arial"/>
          <w:color w:val="222222"/>
          <w:sz w:val="22"/>
          <w:szCs w:val="22"/>
        </w:rPr>
        <w:t xml:space="preserve">Attestation d’assurance RC professionnelle en cours de validité</w:t>
      </w:r>
    </w:p>
    <w:p>
      <w:pPr>
        <w:pStyle w:val="ListParagraph"/>
        <w:numPr>
          <w:ilvl w:val="0"/>
          <w:numId w:val="2"/>
        </w:numPr>
        <w:spacing w:after="40" w:before="40" w:line="300"/>
      </w:pPr>
      <w:r>
        <w:rPr>
          <w:rFonts w:ascii="Arial" w:cs="Arial" w:eastAsia="Arial" w:hAnsi="Arial"/>
          <w:color w:val="222222"/>
          <w:sz w:val="22"/>
          <w:szCs w:val="22"/>
        </w:rPr>
        <w:t xml:space="preserve">Attestation d’assurance décennale le cas échéant</w:t>
      </w:r>
    </w:p>
    <w:p>
      <w:pPr>
        <w:pStyle w:val="ListParagraph"/>
        <w:numPr>
          <w:ilvl w:val="0"/>
          <w:numId w:val="2"/>
        </w:numPr>
        <w:spacing w:after="40" w:before="40" w:line="300"/>
      </w:pPr>
      <w:r>
        <w:rPr>
          <w:rFonts w:ascii="Arial" w:cs="Arial" w:eastAsia="Arial" w:hAnsi="Arial"/>
          <w:color w:val="222222"/>
          <w:sz w:val="22"/>
          <w:szCs w:val="22"/>
        </w:rPr>
        <w:t xml:space="preserve">Attestation de vigilance URSSAF (Art. L.8222-1 du Code du travail)</w:t>
      </w:r>
    </w:p>
    <w:p>
      <w:pPr>
        <w:pStyle w:val="ListParagraph"/>
        <w:numPr>
          <w:ilvl w:val="0"/>
          <w:numId w:val="2"/>
        </w:numPr>
        <w:spacing w:after="40" w:before="40" w:line="300"/>
      </w:pPr>
      <w:r>
        <w:rPr>
          <w:rFonts w:ascii="Arial" w:cs="Arial" w:eastAsia="Arial" w:hAnsi="Arial"/>
          <w:color w:val="222222"/>
          <w:sz w:val="22"/>
          <w:szCs w:val="22"/>
        </w:rPr>
        <w:t xml:space="preserve">Attestations sécurité des principaux intervenants (habilitations, CACES, SS4 amiante si concerné, carte BTP)</w:t>
      </w:r>
    </w:p>
    <w:p>
      <w:pPr>
        <w:pStyle w:val="Heading3"/>
        <w:keepNext/>
        <w:spacing w:after="100" w:before="200"/>
      </w:pPr>
      <w:r>
        <w:rPr>
          <w:rFonts w:ascii="Arial" w:cs="Arial" w:eastAsia="Arial" w:hAnsi="Arial"/>
          <w:b/>
          <w:bCs/>
          <w:color w:val="5A5B5C"/>
          <w:sz w:val="24"/>
          <w:szCs w:val="24"/>
        </w:rPr>
        <w:t xml:space="preserve">P2.4. Exemplaire récent de PPSPS ou Plan de Prévention signé IM2S → client</w:t>
      </w:r>
    </w:p>
    <w:p>
      <w:pPr>
        <w:spacing w:after="60" w:before="60" w:line="300"/>
      </w:pPr>
      <w:r>
        <w:rPr>
          <w:rFonts w:ascii="Arial" w:cs="Arial" w:eastAsia="Arial" w:hAnsi="Arial"/>
          <w:color w:val="222222"/>
          <w:sz w:val="22"/>
          <w:szCs w:val="22"/>
        </w:rPr>
        <w:t xml:space="preserve">Transmission d’un exemplaire récent et signé (les 12 derniers mois), anonymisé si nécessaire, attestant que la pratique de l’établissement de Plans de Prévention est déjà engagée par IM2S — ou alternativement, confirmation écrite que le modèle type fourni par le cabinet (référence PP-IM2S-Modele-Type-v1) sera déployé prioritairement.</w:t>
      </w:r>
    </w:p>
    <w:p>
      <w:pPr>
        <w:pStyle w:val="Heading3"/>
        <w:keepNext/>
        <w:spacing w:after="100" w:before="200"/>
      </w:pPr>
      <w:r>
        <w:rPr>
          <w:rFonts w:ascii="Arial" w:cs="Arial" w:eastAsia="Arial" w:hAnsi="Arial"/>
          <w:b/>
          <w:bCs/>
          <w:color w:val="5A5B5C"/>
          <w:sz w:val="24"/>
          <w:szCs w:val="24"/>
        </w:rPr>
        <w:t xml:space="preserve">P2.5. Inventaire chimique formalisé de l’atelier</w:t>
      </w:r>
    </w:p>
    <w:p>
      <w:pPr>
        <w:spacing w:after="60" w:before="60" w:line="300"/>
      </w:pPr>
      <w:r>
        <w:rPr>
          <w:rFonts w:ascii="Arial" w:cs="Arial" w:eastAsia="Arial" w:hAnsi="Arial"/>
          <w:color w:val="222222"/>
          <w:sz w:val="22"/>
          <w:szCs w:val="22"/>
        </w:rPr>
        <w:t xml:space="preserve">Tableau Excel à transmettre avec les colonnes suivantes :</w:t>
      </w:r>
    </w:p>
    <w:p>
      <w:pPr>
        <w:pStyle w:val="ListParagraph"/>
        <w:numPr>
          <w:ilvl w:val="0"/>
          <w:numId w:val="2"/>
        </w:numPr>
        <w:spacing w:after="40" w:before="40" w:line="300"/>
      </w:pPr>
      <w:r>
        <w:rPr>
          <w:rFonts w:ascii="Arial" w:cs="Arial" w:eastAsia="Arial" w:hAnsi="Arial"/>
          <w:color w:val="222222"/>
          <w:sz w:val="22"/>
          <w:szCs w:val="22"/>
        </w:rPr>
        <w:t xml:space="preserve">Nom commercial du produit — Fournisseur — Famille (peinture, dégrippant, mastic, solvant, etc.)</w:t>
      </w:r>
    </w:p>
    <w:p>
      <w:pPr>
        <w:pStyle w:val="ListParagraph"/>
        <w:numPr>
          <w:ilvl w:val="0"/>
          <w:numId w:val="2"/>
        </w:numPr>
        <w:spacing w:after="40" w:before="40" w:line="300"/>
      </w:pPr>
      <w:r>
        <w:rPr>
          <w:rFonts w:ascii="Arial" w:cs="Arial" w:eastAsia="Arial" w:hAnsi="Arial"/>
          <w:color w:val="222222"/>
          <w:sz w:val="22"/>
          <w:szCs w:val="22"/>
        </w:rPr>
        <w:t xml:space="preserve">Volume / quantité stockée — Lieu de stockage (rayonnage chimique / véhicule technique)</w:t>
      </w:r>
    </w:p>
    <w:p>
      <w:pPr>
        <w:pStyle w:val="ListParagraph"/>
        <w:numPr>
          <w:ilvl w:val="0"/>
          <w:numId w:val="2"/>
        </w:numPr>
        <w:spacing w:after="40" w:before="40" w:line="300"/>
      </w:pPr>
      <w:r>
        <w:rPr>
          <w:rFonts w:ascii="Arial" w:cs="Arial" w:eastAsia="Arial" w:hAnsi="Arial"/>
          <w:color w:val="222222"/>
          <w:sz w:val="22"/>
          <w:szCs w:val="22"/>
        </w:rPr>
        <w:t xml:space="preserve">Mention CLP (pictogrammes de danger sur l’étiquette : SGH02, SGH07, etc.)</w:t>
      </w:r>
    </w:p>
    <w:p>
      <w:pPr>
        <w:pStyle w:val="ListParagraph"/>
        <w:numPr>
          <w:ilvl w:val="0"/>
          <w:numId w:val="2"/>
        </w:numPr>
        <w:spacing w:after="40" w:before="40" w:line="300"/>
      </w:pPr>
      <w:r>
        <w:rPr>
          <w:rFonts w:ascii="Arial" w:cs="Arial" w:eastAsia="Arial" w:hAnsi="Arial"/>
          <w:color w:val="222222"/>
          <w:sz w:val="22"/>
          <w:szCs w:val="22"/>
        </w:rPr>
        <w:t xml:space="preserve">Présence ou non de la FDS (Fiche de Données de Sécurité)</w:t>
      </w:r>
    </w:p>
    <w:p>
      <w:pPr>
        <w:pStyle w:val="ListParagraph"/>
        <w:numPr>
          <w:ilvl w:val="0"/>
          <w:numId w:val="2"/>
        </w:numPr>
        <w:spacing w:after="40" w:before="40" w:line="300"/>
      </w:pPr>
      <w:r>
        <w:rPr>
          <w:rFonts w:ascii="Arial" w:cs="Arial" w:eastAsia="Arial" w:hAnsi="Arial"/>
          <w:color w:val="222222"/>
          <w:sz w:val="22"/>
          <w:szCs w:val="22"/>
        </w:rPr>
        <w:t xml:space="preserve">Date d’achat — Date de péremption éventuelle</w:t>
      </w:r>
    </w:p>
    <w:p>
      <w:pPr>
        <w:spacing w:after="60" w:before="60" w:line="300"/>
      </w:pPr>
      <w:r>
        <w:rPr>
          <w:rFonts w:ascii="Arial" w:cs="Arial" w:eastAsia="Arial" w:hAnsi="Arial"/>
          <w:i/>
          <w:iCs/>
          <w:color w:val="222222"/>
          <w:sz w:val="22"/>
          <w:szCs w:val="22"/>
        </w:rPr>
        <w:t xml:space="preserve">Cette pièce conditionne la mise à jour de la fiche FR-14 et FR-13 du DUERP avec les volumes exacts.</w:t>
      </w:r>
    </w:p>
    <w:p>
      <w:pPr>
        <w:pStyle w:val="Heading3"/>
        <w:keepNext/>
        <w:spacing w:after="100" w:before="200"/>
      </w:pPr>
      <w:r>
        <w:rPr>
          <w:rFonts w:ascii="Arial" w:cs="Arial" w:eastAsia="Arial" w:hAnsi="Arial"/>
          <w:b/>
          <w:bCs/>
          <w:color w:val="5A5B5C"/>
          <w:sz w:val="24"/>
          <w:szCs w:val="24"/>
        </w:rPr>
        <w:t xml:space="preserve">P2.6. Attestations SST post-formation 15/04/2026</w:t>
      </w:r>
    </w:p>
    <w:p>
      <w:pPr>
        <w:spacing w:after="60" w:before="60" w:line="300"/>
      </w:pPr>
      <w:r>
        <w:rPr>
          <w:rFonts w:ascii="Arial" w:cs="Arial" w:eastAsia="Arial" w:hAnsi="Arial"/>
          <w:color w:val="222222"/>
          <w:sz w:val="22"/>
          <w:szCs w:val="22"/>
        </w:rPr>
        <w:t xml:space="preserve">Confirmation de la réalisation effective de la formation SST (Sauveteur Secouriste du Travail) qui était programmée pour le 15 avril 2026. Transmission des attestations de stage des collaborateurs formés (objectif visé : 2 SST sur l’effectif de 18, conformément à l’Art. R.4224-15 du Code du travail).</w:t>
      </w:r>
    </w:p>
    <w:p>
      <w:pPr>
        <w:pageBreakBefore/>
      </w:pPr>
      <w:r>
        <w:rPr>
          <w:sz w:val="1"/>
          <w:szCs w:val="1"/>
        </w:rPr>
        <w:t xml:space="preserve"/>
      </w:r>
    </w:p>
    <w:p>
      <w:pPr>
        <w:shd w:fill="7F8C8D" w:color="7F8C8D" w:val="clear"/>
        <w:spacing w:after="240" w:before="120"/>
        <w:jc w:val="center"/>
      </w:pPr>
      <w:r>
        <w:rPr>
          <w:rFonts w:ascii="Arial" w:cs="Arial" w:eastAsia="Arial" w:hAnsi="Arial"/>
          <w:b/>
          <w:bCs/>
          <w:color w:val="FFFFFF"/>
          <w:sz w:val="28"/>
          <w:szCs w:val="28"/>
        </w:rPr>
        <w:t xml:space="preserve">PRIORITÉ 3 — UTILE — Échéance ≤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8C8D" w:sz="4"/>
              <w:left w:val="single" w:color="7F8C8D" w:sz="18"/>
              <w:bottom w:val="single" w:color="7F8C8D" w:sz="4"/>
              <w:right w:val="single" w:color="7F8C8D" w:sz="4"/>
            </w:tcBorders>
            <w:shd w:fill="F5F5F5" w:val="clear"/>
            <w:tcMar>
              <w:top w:type="dxa" w:w="160"/>
              <w:left w:type="dxa" w:w="200"/>
              <w:bottom w:type="dxa" w:w="160"/>
              <w:right w:type="dxa" w:w="200"/>
            </w:tcMar>
          </w:tcPr>
          <w:p>
            <w:pPr>
              <w:spacing w:after="60"/>
            </w:pPr>
            <w:r>
              <w:rPr>
                <w:rFonts w:ascii="Arial" w:cs="Arial" w:eastAsia="Arial" w:hAnsi="Arial"/>
                <w:b/>
                <w:bCs/>
                <w:color w:val="7F8C8D"/>
                <w:sz w:val="22"/>
                <w:szCs w:val="22"/>
              </w:rPr>
              <w:t xml:space="preserve">Pourquoi P3 ?</w:t>
            </w:r>
          </w:p>
          <w:p>
            <w:r>
              <w:rPr>
                <w:rFonts w:ascii="Arial" w:cs="Arial" w:eastAsia="Arial" w:hAnsi="Arial"/>
                <w:color w:val="222222"/>
                <w:sz w:val="22"/>
                <w:szCs w:val="22"/>
              </w:rPr>
              <w:t xml:space="preserve">Pièces utiles à la consolidation pérenne du dispositif HSE et à l\u2019amélioration continue. Elles peuvent être collectées progressivement sans bloquer la signature du DUERP v2.4.</w:t>
            </w:r>
          </w:p>
        </w:tc>
      </w:tr>
    </w:tbl>
    <w:p>
      <w:pPr>
        <w:pStyle w:val="Heading3"/>
        <w:keepNext/>
        <w:spacing w:after="100" w:before="200"/>
      </w:pPr>
      <w:r>
        <w:rPr>
          <w:rFonts w:ascii="Arial" w:cs="Arial" w:eastAsia="Arial" w:hAnsi="Arial"/>
          <w:b/>
          <w:bCs/>
          <w:color w:val="5A5B5C"/>
          <w:sz w:val="24"/>
          <w:szCs w:val="24"/>
        </w:rPr>
        <w:t xml:space="preserve">P3.1. Procès-verbal de vérification annuelle des installations électriques</w:t>
      </w:r>
    </w:p>
    <w:p>
      <w:pPr>
        <w:spacing w:after="60" w:before="60" w:line="300"/>
      </w:pPr>
      <w:r>
        <w:rPr>
          <w:rFonts w:ascii="Arial" w:cs="Arial" w:eastAsia="Arial" w:hAnsi="Arial"/>
          <w:color w:val="222222"/>
          <w:sz w:val="22"/>
          <w:szCs w:val="22"/>
        </w:rPr>
        <w:t xml:space="preserve">Rapport du dernier contrôle annuel des installations électriques du siège et de l’atelier (Art. R.4226-7 du Code du travail), réalisé par un organisme accrédité (APAVE, Bureau Veritas, Socotec, etc.). Note de levée des éventuelles observations.</w:t>
      </w:r>
    </w:p>
    <w:p>
      <w:pPr>
        <w:pStyle w:val="Heading3"/>
        <w:keepNext/>
        <w:spacing w:after="100" w:before="200"/>
      </w:pPr>
      <w:r>
        <w:rPr>
          <w:rFonts w:ascii="Arial" w:cs="Arial" w:eastAsia="Arial" w:hAnsi="Arial"/>
          <w:b/>
          <w:bCs/>
          <w:color w:val="5A5B5C"/>
          <w:sz w:val="24"/>
          <w:szCs w:val="24"/>
        </w:rPr>
        <w:t xml:space="preserve">P3.2. Procès-verbal de vérification des extincteurs et équipements de sécurité</w:t>
      </w:r>
    </w:p>
    <w:p>
      <w:pPr>
        <w:spacing w:after="60" w:before="60" w:line="300"/>
      </w:pPr>
      <w:r>
        <w:rPr>
          <w:rFonts w:ascii="Arial" w:cs="Arial" w:eastAsia="Arial" w:hAnsi="Arial"/>
          <w:color w:val="222222"/>
          <w:sz w:val="22"/>
          <w:szCs w:val="22"/>
        </w:rPr>
        <w:t xml:space="preserve">Rapport annuel des vérifications APSAD R4 (extincteurs portatifs), conforme aux qualifications IM2S elles-mêmes (cohérence métier).</w:t>
      </w:r>
    </w:p>
    <w:p>
      <w:pPr>
        <w:pStyle w:val="Heading3"/>
        <w:keepNext/>
        <w:spacing w:after="100" w:before="200"/>
      </w:pPr>
      <w:r>
        <w:rPr>
          <w:rFonts w:ascii="Arial" w:cs="Arial" w:eastAsia="Arial" w:hAnsi="Arial"/>
          <w:b/>
          <w:bCs/>
          <w:color w:val="5A5B5C"/>
          <w:sz w:val="24"/>
          <w:szCs w:val="24"/>
        </w:rPr>
        <w:t xml:space="preserve">P3.3. Plan de formation HSE 2026</w:t>
      </w:r>
    </w:p>
    <w:p>
      <w:pPr>
        <w:spacing w:after="60" w:before="60" w:line="300"/>
      </w:pPr>
      <w:r>
        <w:rPr>
          <w:rFonts w:ascii="Arial" w:cs="Arial" w:eastAsia="Arial" w:hAnsi="Arial"/>
          <w:color w:val="222222"/>
          <w:sz w:val="22"/>
          <w:szCs w:val="22"/>
        </w:rPr>
        <w:t xml:space="preserve">Plan formalisé indiquant les formations prévues sur l’année 2026 : recyclage habilitations électriques, formation SST (déjà en partie réalisée), CACES R486 PEMP, sensibilisation amiante SS4, gestes et postures, conduite éco-responsable. Budget alloué et organisme retenu.</w:t>
      </w:r>
    </w:p>
    <w:p>
      <w:pPr>
        <w:pStyle w:val="Heading3"/>
        <w:keepNext/>
        <w:spacing w:after="100" w:before="200"/>
      </w:pPr>
      <w:r>
        <w:rPr>
          <w:rFonts w:ascii="Arial" w:cs="Arial" w:eastAsia="Arial" w:hAnsi="Arial"/>
          <w:b/>
          <w:bCs/>
          <w:color w:val="5A5B5C"/>
          <w:sz w:val="24"/>
          <w:szCs w:val="24"/>
        </w:rPr>
        <w:t xml:space="preserve">P3.4. Document d’affichage obligatoire à jour</w:t>
      </w:r>
    </w:p>
    <w:p>
      <w:pPr>
        <w:spacing w:after="60" w:before="60" w:line="300"/>
      </w:pPr>
      <w:r>
        <w:rPr>
          <w:rFonts w:ascii="Arial" w:cs="Arial" w:eastAsia="Arial" w:hAnsi="Arial"/>
          <w:color w:val="222222"/>
          <w:sz w:val="22"/>
          <w:szCs w:val="22"/>
        </w:rPr>
        <w:t xml:space="preserve">Vérification de l’affichage obligatoire dans les locaux : convention collective applicable (IDCC 1597 et 2609), médecine du travail (APST BTP 06), inspection du travail, consignes incendie complètes (champs vides à compléter sur l’affiche actuelle — cf. action du tableau), interdiction de fumer, numéros d’urgence.</w:t>
      </w:r>
    </w:p>
    <w:p>
      <w:pPr>
        <w:pStyle w:val="Heading3"/>
        <w:keepNext/>
        <w:spacing w:after="100" w:before="200"/>
      </w:pPr>
      <w:r>
        <w:rPr>
          <w:rFonts w:ascii="Arial" w:cs="Arial" w:eastAsia="Arial" w:hAnsi="Arial"/>
          <w:b/>
          <w:bCs/>
          <w:color w:val="5A5B5C"/>
          <w:sz w:val="24"/>
          <w:szCs w:val="24"/>
        </w:rPr>
        <w:t xml:space="preserve">P3.5. Statistiques sinistralité AT/MP — 3 dernières années</w:t>
      </w:r>
    </w:p>
    <w:p>
      <w:pPr>
        <w:spacing w:after="60" w:before="60" w:line="300"/>
      </w:pPr>
      <w:r>
        <w:rPr>
          <w:rFonts w:ascii="Arial" w:cs="Arial" w:eastAsia="Arial" w:hAnsi="Arial"/>
          <w:color w:val="222222"/>
          <w:sz w:val="22"/>
          <w:szCs w:val="22"/>
        </w:rPr>
        <w:t xml:space="preserve">Relevé CARSAT du taux de cotisation AT/MP, taux de fréquence (TF), taux de gravité (TG) sur les exercices 2023, 2024 et 2025. Permettra le suivi annuel des indicateurs KPI du DUERP (cf. chapitre 7.2).</w:t>
      </w:r>
    </w:p>
    <w:p>
      <w:pPr>
        <w:pStyle w:val="Heading3"/>
        <w:keepNext/>
        <w:spacing w:after="100" w:before="200"/>
      </w:pPr>
      <w:r>
        <w:rPr>
          <w:rFonts w:ascii="Arial" w:cs="Arial" w:eastAsia="Arial" w:hAnsi="Arial"/>
          <w:b/>
          <w:bCs/>
          <w:color w:val="5A5B5C"/>
          <w:sz w:val="24"/>
          <w:szCs w:val="24"/>
        </w:rPr>
        <w:t xml:space="preserve">P3.6. Convention de partenariat médecine du travail APST BTP 06</w:t>
      </w:r>
    </w:p>
    <w:p>
      <w:pPr>
        <w:spacing w:after="60" w:before="60" w:line="300"/>
      </w:pPr>
      <w:r>
        <w:rPr>
          <w:rFonts w:ascii="Arial" w:cs="Arial" w:eastAsia="Arial" w:hAnsi="Arial"/>
          <w:color w:val="222222"/>
          <w:sz w:val="22"/>
          <w:szCs w:val="22"/>
        </w:rPr>
        <w:t xml:space="preserve">Copie de la convention en cours liant IM2S à l’APST BTP 06, contact actualisé du médecin du travail référent (Dr. SAMBRONI), planning des visites médicales périodiques.</w:t>
      </w:r>
    </w:p>
    <w:p>
      <w:pPr>
        <w:pStyle w:val="Heading3"/>
        <w:keepNext/>
        <w:spacing w:after="100" w:before="200"/>
      </w:pPr>
      <w:r>
        <w:rPr>
          <w:rFonts w:ascii="Arial" w:cs="Arial" w:eastAsia="Arial" w:hAnsi="Arial"/>
          <w:b/>
          <w:bCs/>
          <w:color w:val="5A5B5C"/>
          <w:sz w:val="24"/>
          <w:szCs w:val="24"/>
        </w:rPr>
        <w:t xml:space="preserve">P3.7. Registre unique du personnel à jour</w:t>
      </w:r>
    </w:p>
    <w:p>
      <w:pPr>
        <w:spacing w:after="60" w:before="60" w:line="300"/>
      </w:pPr>
      <w:r>
        <w:rPr>
          <w:rFonts w:ascii="Arial" w:cs="Arial" w:eastAsia="Arial" w:hAnsi="Arial"/>
          <w:color w:val="222222"/>
          <w:sz w:val="22"/>
          <w:szCs w:val="22"/>
        </w:rPr>
        <w:t xml:space="preserve">Confirmation par le cabinet comptable de la tenue à jour du Registre Unique du Personnel (Art. L.1221-13), avec toutes les mentions obligatoires pour l’effectif courant des 18 collaborateurs.</w:t>
      </w:r>
    </w:p>
    <w:p>
      <w:pPr>
        <w:pageBreakBefore/>
      </w:pPr>
      <w:r>
        <w:rPr>
          <w:sz w:val="1"/>
          <w:szCs w:val="1"/>
        </w:rPr>
        <w:t xml:space="preserve"/>
      </w:r>
    </w:p>
    <w:p>
      <w:pPr>
        <w:pStyle w:val="Heading2"/>
        <w:keepNext/>
        <w:spacing w:after="140" w:before="280"/>
      </w:pPr>
      <w:r>
        <w:rPr>
          <w:rFonts w:ascii="Arial" w:cs="Arial" w:eastAsia="Arial" w:hAnsi="Arial"/>
          <w:b/>
          <w:bCs/>
          <w:color w:val="1A1A1A"/>
          <w:sz w:val="28"/>
          <w:szCs w:val="28"/>
        </w:rPr>
        <w:t xml:space="preserve">Synthèse des 18 pièces à obtenir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25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4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Pièce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P1.1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nominative des 18 collaborateurs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URGENT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15 jours</w:t>
            </w:r>
          </w:p>
        </w:tc>
      </w:tr>
      <w:tr>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P1.2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Tableau exhaustif habilitations BS/BR (NF C 18-510)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URGENT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15 jours</w:t>
            </w:r>
          </w:p>
        </w:tc>
      </w:tr>
      <w:tr>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P1.3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Décisions formelles pour salariés non 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URGENT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15 jours</w:t>
            </w:r>
          </w:p>
        </w:tc>
      </w:tr>
      <w:tr>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P1.4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Confirmation effectif moyen 2025 en ETP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URGENT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15 jours</w:t>
            </w:r>
          </w:p>
        </w:tc>
      </w:tr>
      <w:tr>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P1.5</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Photo horodatée du bac de rétention installé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URGENT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15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anonymisée des chantiers en cours — typologies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30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anonymisée des clients récurrents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30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Sous-traitants — attestations RC et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30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Exemplaire récent PPSPS ou PP signé IM2S →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45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P2.5</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Inventaire chimique formalisé de l’atelier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30 jours</w:t>
            </w:r>
          </w:p>
        </w:tc>
      </w:tr>
      <w:tr>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P2.6</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Attestations SST post-formation 15/04/2026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IMPORTANT</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30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P3.1</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PV vérification annuelle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P3.2</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PV vérification extincteurs (APSAD R4)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P3.3</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de formation HSE 2026 budgété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P3.4</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Documents d’affichage obligatoire à jour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P3.5</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Statistiques sinistralité AT/MP — 3 dernières années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P3.6</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médecine du travail APST BTP 06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P3.7</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unique du personnel à jour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UTILE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 90 jours</w:t>
            </w:r>
          </w:p>
        </w:tc>
      </w:tr>
    </w:tbl>
    <w:p>
      <w:pPr>
        <w:pStyle w:val="Heading2"/>
        <w:keepNext/>
        <w:spacing w:after="140" w:before="280"/>
      </w:pPr>
      <w:r>
        <w:rPr>
          <w:rFonts w:ascii="Arial" w:cs="Arial" w:eastAsia="Arial" w:hAnsi="Arial"/>
          <w:b/>
          <w:bCs/>
          <w:color w:val="1A1A1A"/>
          <w:sz w:val="28"/>
          <w:szCs w:val="28"/>
        </w:rPr>
        <w:t xml:space="preserve">Modalités de transmission</w:t>
      </w:r>
    </w:p>
    <w:p>
      <w:pPr>
        <w:pStyle w:val="ListParagraph"/>
        <w:numPr>
          <w:ilvl w:val="0"/>
          <w:numId w:val="2"/>
        </w:numPr>
        <w:spacing w:after="40" w:before="40" w:line="300"/>
      </w:pPr>
      <w:r>
        <w:rPr>
          <w:rFonts w:ascii="Arial" w:cs="Arial" w:eastAsia="Arial" w:hAnsi="Arial"/>
          <w:color w:val="222222"/>
          <w:sz w:val="22"/>
          <w:szCs w:val="22"/>
        </w:rPr>
        <w:t xml:space="preserve">Format préférentiel : PDF pour documents signés / Excel ou Word pour tableaux / JPEG pour photos.</w:t>
      </w:r>
    </w:p>
    <w:p>
      <w:pPr>
        <w:pStyle w:val="ListParagraph"/>
        <w:numPr>
          <w:ilvl w:val="0"/>
          <w:numId w:val="2"/>
        </w:numPr>
        <w:spacing w:after="40" w:before="40" w:line="300"/>
      </w:pPr>
      <w:r>
        <w:rPr>
          <w:rFonts w:ascii="Arial" w:cs="Arial" w:eastAsia="Arial" w:hAnsi="Arial"/>
          <w:color w:val="222222"/>
          <w:sz w:val="22"/>
          <w:szCs w:val="22"/>
        </w:rPr>
        <w:t xml:space="preserve">Envoi par messagerie électronique sécurisée à l’attention de M. David MUSEUR (LENAXIS / SECURE) — ou via la plateforme HSE IM2S si elle est déployée.</w:t>
      </w:r>
    </w:p>
    <w:p>
      <w:pPr>
        <w:pStyle w:val="ListParagraph"/>
        <w:numPr>
          <w:ilvl w:val="0"/>
          <w:numId w:val="2"/>
        </w:numPr>
        <w:spacing w:after="40" w:before="40" w:line="300"/>
      </w:pPr>
      <w:r>
        <w:rPr>
          <w:rFonts w:ascii="Arial" w:cs="Arial" w:eastAsia="Arial" w:hAnsi="Arial"/>
          <w:color w:val="222222"/>
          <w:sz w:val="22"/>
          <w:szCs w:val="22"/>
        </w:rPr>
        <w:t xml:space="preserve">Pour les pièces volumineuses : transfert via une solution sécurisée (SwissTransfer, WeTransfer Pro, etc.) — éviter les services non chiffrés.</w:t>
      </w:r>
    </w:p>
    <w:p>
      <w:pPr>
        <w:pStyle w:val="ListParagraph"/>
        <w:numPr>
          <w:ilvl w:val="0"/>
          <w:numId w:val="2"/>
        </w:numPr>
        <w:spacing w:after="40" w:before="40" w:line="300"/>
      </w:pPr>
      <w:r>
        <w:rPr>
          <w:rFonts w:ascii="Arial" w:cs="Arial" w:eastAsia="Arial" w:hAnsi="Arial"/>
          <w:color w:val="222222"/>
          <w:sz w:val="22"/>
          <w:szCs w:val="22"/>
        </w:rPr>
        <w:t xml:space="preserve">Tableaux nominatifs (P1.1, P1.2) : chiffrement recommandé avant transmission (mot de passe communiqué séparément), conformément au RGPD.</w:t>
      </w:r>
    </w:p>
    <w:p>
      <w:pPr>
        <w:pStyle w:val="Heading2"/>
        <w:keepNext/>
        <w:spacing w:after="140" w:before="280"/>
      </w:pPr>
      <w:r>
        <w:rPr>
          <w:rFonts w:ascii="Arial" w:cs="Arial" w:eastAsia="Arial" w:hAnsi="Arial"/>
          <w:b/>
          <w:bCs/>
          <w:color w:val="1A1A1A"/>
          <w:sz w:val="28"/>
          <w:szCs w:val="28"/>
        </w:rPr>
        <w:t xml:space="preserve">Conclusion</w:t>
      </w:r>
    </w:p>
    <w:p>
      <w:pPr>
        <w:spacing w:after="60" w:before="60" w:line="300"/>
      </w:pPr>
      <w:r>
        <w:rPr>
          <w:rFonts w:ascii="Arial" w:cs="Arial" w:eastAsia="Arial" w:hAnsi="Arial"/>
          <w:color w:val="222222"/>
          <w:sz w:val="22"/>
          <w:szCs w:val="22"/>
        </w:rPr>
        <w:t xml:space="preserve">À réception de l’ensemble des pièces du niveau P1 (sous 15 jours), le cabinet LENAXIS / SECURE produira la version v2.4 figée du DUERP, intégrant les données nominatives exactes pour dépôt définitif. Les pièces P2 et P3 viendront enrichir progressivement le dossier au fil de leur collecte, sans bloquer la signature du document.</w:t>
      </w:r>
    </w:p>
    <w:p>
      <w:pPr>
        <w:spacing w:after="60" w:before="60" w:line="300"/>
      </w:pPr>
      <w:r>
        <w:rPr>
          <w:rFonts w:ascii="Arial" w:cs="Arial" w:eastAsia="Arial" w:hAnsi="Arial"/>
          <w:color w:val="222222"/>
          <w:sz w:val="22"/>
          <w:szCs w:val="22"/>
        </w:rPr>
        <w:t xml:space="preserve">Le présent courrier est strictement anonymisé : aucune référence nominative à un client, un sous-traitant ou un chantier d’IM2S n’y figure, conformément aux directives de confidentialité commerciale du gérant.</w:t>
      </w:r>
    </w:p>
    <w:p>
      <w:pPr>
        <w:spacing w:after="60" w:before="360" w:line="300"/>
        <w:jc w:val="right"/>
      </w:pPr>
      <w:r>
        <w:rPr>
          <w:rFonts w:ascii="Arial" w:cs="Arial" w:eastAsia="Arial" w:hAnsi="Arial"/>
          <w:b/>
          <w:bCs/>
          <w:color w:val="222222"/>
          <w:sz w:val="24"/>
          <w:szCs w:val="24"/>
        </w:rPr>
        <w:t xml:space="preserve">David MUSEUR</w:t>
      </w:r>
    </w:p>
    <w:p>
      <w:pPr>
        <w:spacing w:after="60" w:before="60" w:line="300"/>
        <w:jc w:val="right"/>
      </w:pPr>
      <w:r>
        <w:rPr>
          <w:rFonts w:ascii="Arial" w:cs="Arial" w:eastAsia="Arial" w:hAnsi="Arial"/>
          <w:i/>
          <w:iCs/>
          <w:color w:val="5A5B5C"/>
          <w:sz w:val="20"/>
          <w:szCs w:val="20"/>
        </w:rPr>
        <w:t xml:space="preserve">Consultant senior HSE — LENAXIS / SECURE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A0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des pièces à obtenir IM2S — v3 anonymisé</dc:title>
  <dc:creator>LENAXIS / SECURE — David MUSEUR</dc:creator>
  <cp:lastModifiedBy>Un-named</cp:lastModifiedBy>
  <cp:revision>1</cp:revision>
  <dcterms:created xsi:type="dcterms:W3CDTF">2026-05-27T21:11:59.037Z</dcterms:created>
  <dcterms:modified xsi:type="dcterms:W3CDTF">2026-05-27T21:11:59.037Z</dcterms:modified>
</cp:coreProperties>
</file>

<file path=docProps/custom.xml><?xml version="1.0" encoding="utf-8"?>
<Properties xmlns="http://schemas.openxmlformats.org/officeDocument/2006/custom-properties" xmlns:vt="http://schemas.openxmlformats.org/officeDocument/2006/docPropsVTypes"/>
</file>