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distT="0" distB="0" distL="0" distR="0">
            <wp:extent cx="266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000125"/>
                    </a:xfrm>
                    <a:prstGeom prst="rect">
                      <a:avLst/>
                    </a:prstGeom>
                  </pic:spPr>
                </pic:pic>
              </a:graphicData>
            </a:graphic>
          </wp:inline>
        </w:drawing>
      </w:r>
    </w:p>
    <w:p>
      <w:pPr>
        <w:spacing w:after="240" w:before="480"/>
        <w:jc w:val="center"/>
      </w:pPr>
      <w:r>
        <w:rPr>
          <w:rFonts w:ascii="Arial" w:cs="Arial" w:eastAsia="Arial" w:hAnsi="Arial"/>
          <w:b/>
          <w:bCs/>
          <w:color w:val="1A1A1A"/>
          <w:sz w:val="56"/>
          <w:szCs w:val="56"/>
        </w:rPr>
        <w:t xml:space="preserve">DOCUMENT UNIQUE</w:t>
      </w:r>
    </w:p>
    <w:p>
      <w:pPr>
        <w:spacing w:after="120"/>
        <w:jc w:val="center"/>
      </w:pPr>
      <w:r>
        <w:rPr>
          <w:rFonts w:ascii="Arial" w:cs="Arial" w:eastAsia="Arial" w:hAnsi="Arial"/>
          <w:b/>
          <w:bCs/>
          <w:color w:val="1A1A1A"/>
          <w:sz w:val="36"/>
          <w:szCs w:val="36"/>
        </w:rPr>
        <w:t xml:space="preserve">D’ÉVALUATION DES RISQUES PROFESSIONNELS</w:t>
      </w:r>
    </w:p>
    <w:p>
      <w:pPr>
        <w:spacing w:after="600"/>
        <w:jc w:val="center"/>
      </w:pPr>
      <w:r>
        <w:rPr>
          <w:rFonts w:ascii="Arial" w:cs="Arial" w:eastAsia="Arial" w:hAnsi="Arial"/>
          <w:b/>
          <w:bCs/>
          <w:color w:val="A00D1A"/>
          <w:sz w:val="28"/>
          <w:szCs w:val="28"/>
        </w:rPr>
        <w:t xml:space="preserve">DUERP</w:t>
      </w:r>
    </w:p>
    <w:p>
      <w:pPr>
        <w:pBdr>
          <w:bottom w:val="single" w:color="A00D1A" w:sz="18" w:space="4"/>
        </w:pBdr>
        <w:spacing w:after="240" w:before="240"/>
        <w:jc w:val="center"/>
      </w:pPr>
      <w:r>
        <w:rPr>
          <w:rFonts w:ascii="Arial" w:cs="Arial" w:eastAsia="Arial" w:hAnsi="Arial"/>
          <w:sz w:val="4"/>
          <w:szCs w:val="4"/>
        </w:rPr>
        <w:t xml:space="preserve"/>
      </w:r>
    </w:p>
    <w:p>
      <w:pPr>
        <w:spacing w:after="120" w:before="240"/>
        <w:jc w:val="center"/>
      </w:pPr>
      <w:r>
        <w:rPr>
          <w:rFonts w:ascii="Arial" w:cs="Arial" w:eastAsia="Arial" w:hAnsi="Arial"/>
          <w:b/>
          <w:bCs/>
          <w:color w:val="A00D1A"/>
          <w:sz w:val="40"/>
          <w:szCs w:val="40"/>
        </w:rPr>
        <w:t xml:space="preserve">IM2S PROTECTION INCENDIE</w:t>
      </w:r>
    </w:p>
    <w:p>
      <w:pPr>
        <w:spacing w:after="60"/>
        <w:jc w:val="center"/>
      </w:pPr>
      <w:r>
        <w:rPr>
          <w:rFonts w:ascii="Arial" w:cs="Arial" w:eastAsia="Arial" w:hAnsi="Arial"/>
          <w:color w:val="5A5B5C"/>
          <w:sz w:val="18"/>
          <w:szCs w:val="18"/>
        </w:rPr>
        <w:t xml:space="preserve">INSTALLATION MAINTENANCE DE SYSTÈME DE SÉCURITÉ ET PROTECTION INCENDIE</w:t>
      </w:r>
    </w:p>
    <w:p>
      <w:pPr>
        <w:spacing w:after="600"/>
        <w:jc w:val="center"/>
      </w:pPr>
      <w:r>
        <w:rPr>
          <w:rFonts w:ascii="Arial" w:cs="Arial" w:eastAsia="Arial" w:hAnsi="Arial"/>
          <w:color w:val="5A5B5C"/>
          <w:sz w:val="18"/>
          <w:szCs w:val="18"/>
        </w:rPr>
        <w:t xml:space="preserve">SARL au capital de 100 000 € — SIREN 504 180 365 — RCS Grasse</w:t>
      </w:r>
    </w:p>
    <w:p>
      <w:pPr>
        <w:spacing w:after="60" w:before="480"/>
        <w:jc w:val="center"/>
      </w:pPr>
      <w:r>
        <w:rPr>
          <w:rFonts w:ascii="Arial" w:cs="Arial" w:eastAsia="Arial" w:hAnsi="Arial"/>
          <w:b/>
          <w:bCs/>
          <w:color w:val="1A1A1A"/>
          <w:sz w:val="26"/>
          <w:szCs w:val="26"/>
        </w:rPr>
        <w:t xml:space="preserve">Édition 2026 — Version externe pour transmission</w:t>
      </w:r>
    </w:p>
    <w:p>
      <w:pPr>
        <w:spacing w:after="60"/>
        <w:jc w:val="center"/>
      </w:pPr>
      <w:r>
        <w:rPr>
          <w:rFonts w:ascii="Arial" w:cs="Arial" w:eastAsia="Arial" w:hAnsi="Arial"/>
          <w:color w:val="222222"/>
          <w:sz w:val="22"/>
          <w:szCs w:val="22"/>
        </w:rPr>
        <w:t xml:space="preserve">Date d’établissement initiale : 27 mai 2026 — Version pour transmission externe (médecine du travail APST BTP 06 et Mme Sambroni) — adaptée pour partage avec organismes partenaires de la prévention</w:t>
      </w:r>
    </w:p>
    <w:p>
      <w:pPr>
        <w:spacing w:after="240"/>
        <w:jc w:val="center"/>
      </w:pPr>
      <w:r>
        <w:rPr>
          <w:rFonts w:ascii="Arial" w:cs="Arial" w:eastAsia="Arial" w:hAnsi="Arial"/>
          <w:i/>
          <w:iCs/>
          <w:color w:val="5A5B5C"/>
          <w:sz w:val="22"/>
          <w:szCs w:val="22"/>
        </w:rPr>
        <w:t xml:space="preserve">Établi par : LENAXIS / SECURE — Consultant David MUSEUR</w:t>
      </w:r>
    </w:p>
    <w:p>
      <w:pPr>
        <w:spacing w:after="60" w:before="1200"/>
        <w:jc w:val="center"/>
      </w:pPr>
      <w:r>
        <w:rPr>
          <w:rFonts w:ascii="Arial" w:cs="Arial" w:eastAsia="Arial" w:hAnsi="Arial"/>
          <w:b/>
          <w:bCs/>
          <w:color w:val="A00D1A"/>
          <w:sz w:val="20"/>
          <w:szCs w:val="20"/>
        </w:rPr>
        <w:t xml:space="preserve">DOCUMENT CONFIDENTIEL</w:t>
      </w:r>
    </w:p>
    <w:p>
      <w:pPr>
        <w:jc w:val="center"/>
      </w:pPr>
      <w:r>
        <w:rPr>
          <w:rFonts w:ascii="Arial" w:cs="Arial" w:eastAsia="Arial" w:hAnsi="Arial"/>
          <w:i/>
          <w:iCs/>
          <w:color w:val="5A5B5C"/>
          <w:sz w:val="18"/>
          <w:szCs w:val="18"/>
        </w:rPr>
        <w:t xml:space="preserve">Réservé à l’usage interne d’IM2S Protection Incendie, du médecin du travail, de l’Inspection du travail, de la CARSAT et de l’assureur.</w:t>
      </w:r>
    </w:p>
    <w:p>
      <w:r>
        <w:br w:type="page"/>
      </w:r>
    </w:p>
    <w:p>
      <w:pPr>
        <w:pStyle w:val="Heading1"/>
        <w:keepNext/>
        <w:pageBreakBefore/>
        <w:spacing w:after="240" w:before="480"/>
      </w:pPr>
      <w:r>
        <w:rPr>
          <w:rFonts w:ascii="Arial" w:cs="Arial" w:eastAsia="Arial" w:hAnsi="Arial"/>
          <w:b/>
          <w:bCs/>
          <w:color w:val="A00D1A"/>
          <w:sz w:val="36"/>
          <w:szCs w:val="36"/>
        </w:rPr>
        <w:t xml:space="preserve">Sommaire</w:t>
      </w:r>
    </w:p>
    <w:p>
      <w:pPr>
        <w:spacing w:after="60" w:before="60" w:line="300"/>
      </w:pPr>
      <w:r>
        <w:rPr>
          <w:rFonts w:ascii="Arial" w:cs="Arial" w:eastAsia="Arial" w:hAnsi="Arial"/>
          <w:color w:val="222222"/>
          <w:sz w:val="22"/>
          <w:szCs w:val="22"/>
        </w:rPr>
        <w:t xml:space="default">1. Résumé exécutif et profil d’entreprise</w:t>
      </w:r>
    </w:p>
    <w:p>
      <w:pPr>
        <w:spacing w:after="60" w:before="40" w:line="300"/>
      </w:pPr>
      <w:r>
        <w:rPr>
          <w:rFonts w:ascii="Arial" w:cs="Arial" w:eastAsia="Arial" w:hAnsi="Arial"/>
          <w:b/>
          <w:bCs/>
          <w:color w:val="222222"/>
          <w:sz w:val="22"/>
          <w:szCs w:val="22"/>
        </w:rPr>
        <w:t xml:space="preserve">2. Gouvernance HSE — acteurs internes et externes</w:t>
      </w:r>
    </w:p>
    <w:p>
      <w:pPr>
        <w:spacing w:after="60" w:before="40" w:line="300"/>
      </w:pPr>
      <w:r>
        <w:rPr>
          <w:rFonts w:ascii="Arial" w:cs="Arial" w:eastAsia="Arial" w:hAnsi="Arial"/>
          <w:b/>
          <w:bCs/>
          <w:color w:val="222222"/>
          <w:sz w:val="22"/>
          <w:szCs w:val="22"/>
        </w:rPr>
        <w:t xml:space="preserve">3. Méthodologie d’évaluation des risques</w:t>
      </w:r>
    </w:p>
    <w:p>
      <w:pPr>
        <w:spacing w:after="60" w:before="40" w:line="300"/>
      </w:pPr>
      <w:r>
        <w:rPr>
          <w:rFonts w:ascii="Arial" w:cs="Arial" w:eastAsia="Arial" w:hAnsi="Arial"/>
          <w:b/>
          <w:bCs/>
          <w:color w:val="222222"/>
          <w:sz w:val="22"/>
          <w:szCs w:val="22"/>
        </w:rPr>
        <w:t xml:space="preserve">4. Unités de travail (6 UT)</w:t>
      </w:r>
    </w:p>
    <w:p>
      <w:pPr>
        <w:spacing w:after="60" w:before="40" w:line="300"/>
      </w:pPr>
      <w:r>
        <w:rPr>
          <w:rFonts w:ascii="Arial" w:cs="Arial" w:eastAsia="Arial" w:hAnsi="Arial"/>
          <w:b/>
          <w:bCs/>
          <w:color w:val="222222"/>
          <w:sz w:val="22"/>
          <w:szCs w:val="22"/>
        </w:rPr>
        <w:t xml:space="preserve">5. Inventaire des risques par famille</w:t>
      </w:r>
    </w:p>
    <w:p>
      <w:pPr>
        <w:spacing w:after="60" w:before="40" w:line="300"/>
      </w:pPr>
      <w:r>
        <w:rPr>
          <w:rFonts w:ascii="Arial" w:cs="Arial" w:eastAsia="Arial" w:hAnsi="Arial"/>
          <w:b/>
          <w:bCs/>
          <w:color w:val="222222"/>
          <w:sz w:val="22"/>
          <w:szCs w:val="22"/>
        </w:rPr>
        <w:t xml:space="preserve">6. Fiches détaillées de risque (25 fiches)</w:t>
      </w:r>
    </w:p>
    <w:p>
      <w:pPr>
        <w:spacing w:after="60" w:before="40" w:line="300"/>
      </w:pPr>
      <w:r>
        <w:rPr>
          <w:rFonts w:ascii="Arial" w:cs="Arial" w:eastAsia="Arial" w:hAnsi="Arial"/>
          <w:b/>
          <w:bCs/>
          <w:color w:val="222222"/>
          <w:sz w:val="22"/>
          <w:szCs w:val="22"/>
        </w:rPr>
        <w:t xml:space="preserve">7. Plan d’action et indicateurs de suivi</w:t>
      </w:r>
    </w:p>
    <w:p>
      <w:pPr>
        <w:spacing w:after="60" w:before="40" w:line="300"/>
      </w:pPr>
      <w:r>
        <w:rPr>
          <w:rFonts w:ascii="Arial" w:cs="Arial" w:eastAsia="Arial" w:hAnsi="Arial"/>
          <w:b/>
          <w:bCs/>
          <w:color w:val="222222"/>
          <w:sz w:val="22"/>
          <w:szCs w:val="22"/>
        </w:rPr>
        <w:t xml:space="preserve">8. Cadre réglementaire applicable</w:t>
      </w:r>
    </w:p>
    <w:p>
      <w:pPr>
        <w:spacing w:after="60" w:before="40" w:line="300"/>
      </w:pPr>
      <w:r>
        <w:rPr>
          <w:rFonts w:ascii="Arial" w:cs="Arial" w:eastAsia="Arial" w:hAnsi="Arial"/>
          <w:b/>
          <w:bCs/>
          <w:color w:val="222222"/>
          <w:sz w:val="22"/>
          <w:szCs w:val="22"/>
        </w:rPr>
        <w:t xml:space="preserve">9. Attestations détachables — formations, habilitations, accueil</w:t>
      </w:r>
    </w:p>
    <w:p>
      <w:pPr>
        <w:spacing w:after="60" w:before="40" w:line="300"/>
      </w:pPr>
      <w:r>
        <w:rPr>
          <w:rFonts w:ascii="Arial" w:cs="Arial" w:eastAsia="Arial" w:hAnsi="Arial"/>
          <w:b/>
          <w:bCs/>
          <w:color w:val="222222"/>
          <w:sz w:val="22"/>
          <w:szCs w:val="22"/>
        </w:rPr>
        <w:t xml:space="preserve">10. Annexes — sources, contacts, historique</w:t>
      </w:r>
    </w:p>
    <w:p>
      <w:pPr>
        <w:pBdr>
          <w:left w:val="single" w:color="A00D1A" w:sz="18" w:space="12"/>
        </w:pBdr>
        <w:spacing w:after="120" w:before="120" w:line="280"/>
        <w:ind w:left="360"/>
      </w:pPr>
      <w:r>
        <w:rPr>
          <w:rFonts w:ascii="Arial" w:cs="Arial" w:eastAsia="Arial" w:hAnsi="Arial"/>
          <w:i/>
          <w:iCs/>
          <w:color w:val="5A5B5C"/>
          <w:sz w:val="22"/>
          <w:szCs w:val="22"/>
        </w:rPr>
        <w:t xml:space="preserve">Le DUERP n’est pas un document figé : c’est un outil de pilotage. Il a vocation à être annoté, complété et révisé en continu. Toute version antérieure doit être conservée pendant 40 ans (Art. L.4121-3-1 et D.4121-9).</w:t>
      </w:r>
    </w:p>
    <w:p>
      <w:pPr>
        <w:pStyle w:val="Heading1"/>
        <w:keepNext/>
        <w:pageBreakBefore/>
        <w:spacing w:after="240" w:before="480"/>
      </w:pPr>
      <w:r>
        <w:rPr>
          <w:rFonts w:ascii="Arial" w:cs="Arial" w:eastAsia="Arial" w:hAnsi="Arial"/>
          <w:b/>
          <w:bCs/>
          <w:color w:val="A00D1A"/>
          <w:sz w:val="36"/>
          <w:szCs w:val="36"/>
        </w:rPr>
        <w:t xml:space="preserve">Page de validation</w:t>
      </w:r>
    </w:p>
    <w:p>
      <w:pPr>
        <w:spacing w:after="60" w:before="60" w:line="300"/>
      </w:pPr>
      <w:r>
        <w:rPr>
          <w:rFonts w:ascii="Arial" w:cs="Arial" w:eastAsia="Arial" w:hAnsi="Arial"/>
          <w:color w:val="222222"/>
          <w:sz w:val="22"/>
          <w:szCs w:val="22"/>
        </w:rPr>
        <w:t xml:space="preserve">Le présent document unique d’évaluation des risques professionnels (DUERP) a été établi conformément aux articles L.4121-3, R.4121-1 et R.4121-2 du Code du travail. Il a fait l’objet d’une concertation avec les salariés et a été présenté à la médecine du travail.</w:t>
      </w:r>
    </w:p>
    <w:p>
      <w:pPr>
        <w:spacing w:after="60" w:before="120" w:line="300"/>
      </w:pPr>
      <w:r>
        <w:rPr>
          <w:rFonts w:ascii="Arial" w:cs="Arial" w:eastAsia="Arial" w:hAnsi="Arial"/>
          <w:color w:val="222222"/>
          <w:sz w:val="22"/>
          <w:szCs w:val="22"/>
        </w:rPr>
        <w:t xml:space="preserve">Il est mis à la disposition :</w:t>
      </w:r>
    </w:p>
    <w:p>
      <w:pPr>
        <w:pStyle w:val="ListParagraph"/>
        <w:numPr>
          <w:ilvl w:val="0"/>
          <w:numId w:val="2"/>
        </w:numPr>
        <w:spacing w:after="40" w:before="40" w:line="300"/>
      </w:pPr>
      <w:r>
        <w:rPr>
          <w:rFonts w:ascii="Arial" w:cs="Arial" w:eastAsia="Arial" w:hAnsi="Arial"/>
          <w:color w:val="222222"/>
          <w:sz w:val="22"/>
          <w:szCs w:val="22"/>
        </w:rPr>
        <w:t xml:space="preserve">des travailleurs et de leurs représentants ;</w:t>
      </w:r>
    </w:p>
    <w:p>
      <w:pPr>
        <w:pStyle w:val="ListParagraph"/>
        <w:numPr>
          <w:ilvl w:val="0"/>
          <w:numId w:val="2"/>
        </w:numPr>
        <w:spacing w:after="40" w:before="40" w:line="300"/>
      </w:pPr>
      <w:r>
        <w:rPr>
          <w:rFonts w:ascii="Arial" w:cs="Arial" w:eastAsia="Arial" w:hAnsi="Arial"/>
          <w:color w:val="222222"/>
          <w:sz w:val="22"/>
          <w:szCs w:val="22"/>
        </w:rPr>
        <w:t xml:space="preserve">du médecin du travail ;</w:t>
      </w:r>
    </w:p>
    <w:p>
      <w:pPr>
        <w:pStyle w:val="ListParagraph"/>
        <w:numPr>
          <w:ilvl w:val="0"/>
          <w:numId w:val="2"/>
        </w:numPr>
        <w:spacing w:after="40" w:before="40" w:line="300"/>
      </w:pPr>
      <w:r>
        <w:rPr>
          <w:rFonts w:ascii="Arial" w:cs="Arial" w:eastAsia="Arial" w:hAnsi="Arial"/>
          <w:color w:val="222222"/>
          <w:sz w:val="22"/>
          <w:szCs w:val="22"/>
        </w:rPr>
        <w:t xml:space="preserve">de l’inspecteur du travail et des agents de la CARSAT ;</w:t>
      </w:r>
    </w:p>
    <w:p>
      <w:pPr>
        <w:pStyle w:val="ListParagraph"/>
        <w:numPr>
          <w:ilvl w:val="0"/>
          <w:numId w:val="2"/>
        </w:numPr>
        <w:spacing w:after="40" w:before="40" w:line="300"/>
      </w:pPr>
      <w:r>
        <w:rPr>
          <w:rFonts w:ascii="Arial" w:cs="Arial" w:eastAsia="Arial" w:hAnsi="Arial"/>
          <w:color w:val="222222"/>
          <w:sz w:val="22"/>
          <w:szCs w:val="22"/>
        </w:rPr>
        <w:t xml:space="preserve">de tout agent de contrôle habilité.</w:t>
      </w:r>
    </w:p>
    <w:p>
      <w:pPr>
        <w:spacing w:after="60" w:before="120" w:line="300"/>
      </w:pPr>
      <w:r>
        <w:rPr>
          <w:rFonts w:ascii="Arial" w:cs="Arial" w:eastAsia="Arial" w:hAnsi="Arial"/>
          <w:color w:val="222222"/>
          <w:sz w:val="22"/>
          <w:szCs w:val="22"/>
        </w:rPr>
        <w:t xml:space="preserve">Conformément à l’article R.4121-2, il sera mis à jour au moins annuellement et lors de toute décision d’aménagement important modifiant les conditions de santé et de sécurité, ou lorsqu’une information supplémentaire concernant l’évaluation d’un risque dans une unité de travail est recueillie.</w:t>
      </w:r>
    </w:p>
    <w:p>
      <w:pPr>
        <w:spacing w:after="60" w:before="60" w:line="300"/>
      </w:pPr>
      <w:r>
        <w:rPr>
          <w:rFonts w:ascii="Arial" w:cs="Arial" w:eastAsia="Arial" w:hAnsi="Arial"/>
          <w:color w:val="222222"/>
          <w:sz w:val="22"/>
          <w:szCs w:val="22"/>
        </w:rPr>
        <w:t xml:space="preserve">Conformément aux articles L.4121-3-1 et D.4121-9 (loi du 02/08/2021 dite « santé au travail »), les versions successives du DUERP sont conservées pendant au moins 40 ans à compter de leur élaboration et tenues à la disposition de tout travailleur ayant été exposé.</w:t>
      </w:r>
    </w:p>
    <w:p>
      <w:pPr>
        <w:spacing w:after="60" w:before="240" w:line="300"/>
      </w:pPr>
      <w:r>
        <w:rPr>
          <w:rFonts w:ascii="Arial" w:cs="Arial" w:eastAsia="Arial" w:hAnsi="Arial"/>
          <w:color w:val="222222"/>
          <w:sz w:val="26"/>
          <w:szCs w:val="26"/>
        </w:rPr>
        <w:t xml:space="default">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Prénom</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 Employeur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du personnel
(si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si effectif ≥ 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Note importante</w:t>
            </w:r>
          </w:p>
          <w:p>
            <w:r>
              <w:rPr>
                <w:rFonts w:ascii="Arial" w:cs="Arial" w:eastAsia="Arial" w:hAnsi="Arial"/>
                <w:color w:val="222222"/>
                <w:sz w:val="22"/>
                <w:szCs w:val="22"/>
              </w:rPr>
              <w:t xml:space="preserve">Cette édition v1 a été établie sur la base du diagnostic Risqapp/SecureMetrix du 19/05/2026, du CR d’entretien IM2S du 19/01, du DU initial Riskattitude (2016) et des pièces administratives (extrait Pappers du 26/05/2026, BODACC). Certaines données restent en placeholder « [À COMPLÉTER] » dans l’attente des pièces P1 demandées au client (liste nominative des salariés, tableau des habilitations, registre AT/MP, fiche d’entreprise du médecin du travail).</w:t>
            </w:r>
          </w:p>
        </w:tc>
      </w:tr>
    </w:tbl>
    <w:p>
      <w:pPr>
        <w:pageBreakBefore/>
        <w:spacing w:after="480" w:before="480"/>
        <w:jc w:val="center"/>
      </w:pPr>
      <w:r>
        <w:rPr>
          <w:rFonts w:ascii="Arial" w:cs="Arial" w:eastAsia="Arial" w:hAnsi="Arial"/>
          <w:b/>
          <w:bCs/>
          <w:color w:val="A00D1A"/>
          <w:sz w:val="32"/>
          <w:szCs w:val="32"/>
        </w:rPr>
        <w:t xml:space="preserve">Note d’accompagnement — version pour transmission externe</w:t>
      </w:r>
    </w:p>
    <w:p>
      <w:pPr>
        <w:spacing w:after="60" w:before="60" w:line="300"/>
      </w:pPr>
      <w:r>
        <w:rPr>
          <w:rFonts w:ascii="Arial" w:cs="Arial" w:eastAsia="Arial" w:hAnsi="Arial"/>
          <w:color w:val="222222"/>
          <w:sz w:val="22"/>
          <w:szCs w:val="22"/>
        </w:rPr>
        <w:t xml:space="preserve">La présente version du Document Unique d’Évaluation des Risques Professionnels (DUERP) d’IM2S Protection Incendie est destinée à être transmise aux partenaires de la prévention suivants :</w:t>
      </w:r>
    </w:p>
    <w:p>
      <w:pPr>
        <w:pStyle w:val="ListParagraph"/>
        <w:numPr>
          <w:ilvl w:val="0"/>
          <w:numId w:val="2"/>
        </w:numPr>
        <w:spacing w:after="40" w:before="40" w:line="300"/>
      </w:pPr>
      <w:r>
        <w:rPr>
          <w:rFonts w:ascii="Arial" w:cs="Arial" w:eastAsia="Arial" w:hAnsi="Arial"/>
          <w:b/>
          <w:bCs/>
          <w:sz w:val="22"/>
          <w:szCs w:val="22"/>
        </w:rPr>
        <w:t xml:space="preserve">APST BTP 06</w:t>
      </w:r>
      <w:r>
        <w:rPr>
          <w:rFonts w:ascii="Arial" w:cs="Arial" w:eastAsia="Arial" w:hAnsi="Arial"/>
          <w:sz w:val="22"/>
          <w:szCs w:val="22"/>
        </w:rPr>
        <w:t xml:space="preserve"> — Service de santé au travail interentreprises pour le secteur du Bâtiment et des Travaux Publics — Alpes-Maritimes.</w:t>
      </w:r>
    </w:p>
    <w:p>
      <w:pPr>
        <w:pStyle w:val="ListParagraph"/>
        <w:numPr>
          <w:ilvl w:val="0"/>
          <w:numId w:val="2"/>
        </w:numPr>
        <w:spacing w:after="40" w:before="40" w:line="300"/>
      </w:pPr>
      <w:r>
        <w:rPr>
          <w:rFonts w:ascii="Arial" w:cs="Arial" w:eastAsia="Arial" w:hAnsi="Arial"/>
          <w:b/>
          <w:bCs/>
          <w:sz w:val="22"/>
          <w:szCs w:val="22"/>
        </w:rPr>
        <w:t xml:space="preserve">Mme SAMBRONI</w:t>
      </w:r>
      <w:r>
        <w:rPr>
          <w:rFonts w:ascii="Arial" w:cs="Arial" w:eastAsia="Arial" w:hAnsi="Arial"/>
          <w:sz w:val="22"/>
          <w:szCs w:val="22"/>
        </w:rPr>
        <w:t xml:space="preserve"> — médecin du travail / service de prévention référent.</w:t>
      </w:r>
    </w:p>
    <w:p>
      <w:pPr>
        <w:spacing w:after="60" w:before="240" w:line="300"/>
      </w:pPr>
      <w:r>
        <w:rPr>
          <w:rFonts w:ascii="Arial" w:cs="Arial" w:eastAsia="Arial" w:hAnsi="Arial"/>
          <w:color w:val="222222"/>
          <w:sz w:val="22"/>
          <w:szCs w:val="22"/>
        </w:rPr>
        <w:t xml:space="preserve">Cette version reflète fidèlement la réalité opérationnelle d’IM2S Protection Incendie au 27 mai 2026, telle qu’elle a été collectée à l’occasion de la réunion du 26 mars 2026 et de l’entretien d’actualisation du 19 mai 2026. Elle intègre les bonnes pratiques en place ainsi que les axes d’amélioration en cours de formalisation, dans une logique d’amélioration continue et de coopération avec les partenaires de la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Posture coopérative</w:t>
            </w:r>
          </w:p>
          <w:p>
            <w:r>
              <w:rPr>
                <w:rFonts w:ascii="Arial" w:cs="Arial" w:eastAsia="Arial" w:hAnsi="Arial"/>
                <w:color w:val="222222"/>
                <w:sz w:val="22"/>
                <w:szCs w:val="22"/>
              </w:rPr>
              <w:t xml:space="preserve">IM2S Protection Incendie et son cabinet conseil HSE (LENAXIS / SECURE) souhaitent inscrire la démarche d’évaluation des risques dans une relation transparente et coopérative avec le service de santé au travail. Le DUERP est conçu comme un outil vivant, partagé, et susceptible d’évoluer en fonction des recommandations du médecin du travail (fiche d’entreprise, suivi médical renforcé, préconisations spécifiques).</w:t>
            </w:r>
          </w:p>
        </w:tc>
      </w:tr>
    </w:tbl>
    <w:p>
      <w:pPr>
        <w:pStyle w:val="Heading2"/>
        <w:keepNext/>
        <w:spacing w:after="140" w:before="280"/>
      </w:pPr>
      <w:r>
        <w:rPr>
          <w:rFonts w:ascii="Arial" w:cs="Arial" w:eastAsia="Arial" w:hAnsi="Arial"/>
          <w:b/>
          <w:bCs/>
          <w:color w:val="1A1A1A"/>
          <w:sz w:val="28"/>
          <w:szCs w:val="28"/>
        </w:rPr>
        <w:t xml:space="preserve">Coordonnées pour échanges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Gérant IM2S Protection Incendie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04 93 58 75 38 — contact@im2s.fr</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Consultant HSE externe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Adresse du siège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Adresse opérationnelle complémentaire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w:t>
            </w:r>
          </w:p>
        </w:tc>
      </w:tr>
    </w:tbl>
    <w:p>
      <w:pPr>
        <w:spacing w:after="60" w:before="240" w:line="300"/>
      </w:pPr>
      <w:r>
        <w:rPr>
          <w:rFonts w:ascii="Arial" w:cs="Arial" w:eastAsia="Arial" w:hAnsi="Arial"/>
          <w:color w:val="222222"/>
          <w:sz w:val="22"/>
          <w:szCs w:val="22"/>
        </w:rPr>
        <w:t xml:space="preserve">Le cabinet conseil reste à votre disposition pour toute précision ou approfondissement, et tout particulièrement pour discuter de la priorisation des actions de prévention à programmer.</w:t>
      </w:r>
    </w:p>
    <w:p>
      <w:pPr>
        <w:pStyle w:val="Heading1"/>
        <w:keepNext/>
        <w:pageBreakBefore/>
        <w:spacing w:after="240" w:before="480"/>
      </w:pPr>
      <w:r>
        <w:rPr>
          <w:rFonts w:ascii="Arial" w:cs="Arial" w:eastAsia="Arial" w:hAnsi="Arial"/>
          <w:b/>
          <w:bCs/>
          <w:color w:val="A00D1A"/>
          <w:sz w:val="36"/>
          <w:szCs w:val="36"/>
        </w:rPr>
        <w:t xml:space="preserve">1. Résumé exécutif et profil d’entreprise</w:t>
      </w:r>
    </w:p>
    <w:p>
      <w:pPr>
        <w:pStyle w:val="Heading2"/>
        <w:keepNext/>
        <w:spacing w:after="140" w:before="280"/>
      </w:pPr>
      <w:r>
        <w:rPr>
          <w:rFonts w:ascii="Arial" w:cs="Arial" w:eastAsia="Arial" w:hAnsi="Arial"/>
          <w:b/>
          <w:bCs/>
          <w:color w:val="1A1A1A"/>
          <w:sz w:val="28"/>
          <w:szCs w:val="28"/>
        </w:rPr>
        <w:t xml:space="preserve">1.1. Identité et activité</w:t>
      </w:r>
    </w:p>
    <w:p>
      <w:pPr>
        <w:spacing w:after="60" w:before="60" w:line="300"/>
      </w:pPr>
      <w:r>
        <w:rPr>
          <w:rFonts w:ascii="Arial" w:cs="Arial" w:eastAsia="Arial" w:hAnsi="Arial"/>
          <w:color w:val="222222"/>
          <w:sz w:val="22"/>
          <w:szCs w:val="22"/>
        </w:rPr>
        <w:t xml:space="preserve">IM2S PROTECTION INCENDIE (sigle ; dénomination officielle : INSTALLATION MAINTENANCE DE SYSTÈME DE SÉCURITÉ ET PROTECTION INCENDIE) est une SARL spécialisée dans la vente, l’installation et la maintenance de matériel de sécurité incendie. L’entreprise intervient sur ERP, ERT, bâtiments industriels, immeubles d’habitation et tertiaires, principalement dans les Alpes-Maritimes et au-delà. Elle pratique également l’intermédiation en contrats de télésurveillance, et sous-traite la pose et l’entretien à des entreprises partenaires.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6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Dénomination officielle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MAINTENANCE DE SYSTÈME DE SÉCURITÉ ET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Sigle commercial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 au capital de 100 000 €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siège (actif depuis 01/09/2022)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 —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00018 (ZI Les Nertières — fermé 02/05/2013)</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00026 (Espace La Gaude — fermé 01/09/2022)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création initiale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05/06/2008 (immatriculation initiale)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d’immatriculation siège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01/09/2022 (transfert au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du capital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5 000 € à la création (2008) ; porté à 100 000 € en septembre 2016 par incorporation de réserves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clôture exercice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31 décembre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 / APE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 (référence historique mentionnée en séance : 45.3A — ancien code NAF antérieur à 2008)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 complémentaire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 (mentionnée en visite du 26/03/2026)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Site Web officiel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https://www.im2s.fr/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Présence Monaco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 dédié https://www.im2s.mc/ (présence monégasque)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Vente, installation, maintenance SSI (NF S 61-932/933/934/970) ; désenfumage naturel et mécanique ; compartimentage ; éclairage de sécurité ; colonne sèche ; extincteurs portatifs ; signalétique ; intermédiation contrats de télésurveillance. Interventions ERP, ERT, habitat collectif, ICPE.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Méthodologie propriétaire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PRIMO » — audit des obligations réglementaires clients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et associé unique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moyen 2022 (confirmé)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14 ETP — 10 ouvriers + 4 employés (source : comptes sociaux 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Tranche INSEE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10 à 19 salariés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ouvriers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 Ouvriers du BTP (entreprises &gt; 10 salariés) — confirmé Pappers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ETAM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2609 — ETAM du Bâtiment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Patrimoine immobilier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propriété — possiblement portés par SCI LA FRISETIANE (liée)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Certifications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Qualification désenfumage naturel n°5442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formation EPI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APSAD R6 — utilisation de simulateurs BullsEye™ (réalité virtuelle)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Partenariat fournisseur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Distributeur officiel des extincteurs ANDRIEU (fabricant français)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Marque employeur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Podcast interne « IM2S Protection Incendie MORNING » (Apple Podcasts, Spotify, Podcastics)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Note publique GoWork</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5/5 (avis employeur)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Travail en hauteur — maîtrise opérationnelle confirmée</w:t>
            </w:r>
          </w:p>
          <w:p>
            <w:r>
              <w:rPr>
                <w:rFonts w:ascii="Arial" w:cs="Arial" w:eastAsia="Arial" w:hAnsi="Arial"/>
                <w:color w:val="222222"/>
                <w:sz w:val="22"/>
                <w:szCs w:val="22"/>
              </w:rPr>
              <w:t xml:space="preserve">IM2S Protection Incendie maîtrise le travail en hauteur dans le cadre de son activité : matériel professionnel adapté (échelles HYMER, casques MSA, harnais individuels), bonnes pratiques d’accès appliquées, chantiers en toiture menés avec les protections adéquates. La présente édition formalise la mise en place complémentaire d’un permis de travail en hauteur pour les interventions en toiture et points hauts, et l’annexion de fiches conseils techniques.
Voir fiches FR-01 et FR-02 pour le détail des mesures de prévention.</w:t>
            </w:r>
          </w:p>
        </w:tc>
      </w:tr>
    </w:tbl>
    <w:p>
      <w:pPr>
        <w:pStyle w:val="Heading2"/>
        <w:keepNext/>
        <w:spacing w:after="140" w:before="280"/>
      </w:pPr>
      <w:r>
        <w:rPr>
          <w:rFonts w:ascii="Arial" w:cs="Arial" w:eastAsia="Arial" w:hAnsi="Arial"/>
          <w:b/>
          <w:bCs/>
          <w:color w:val="1A1A1A"/>
          <w:sz w:val="28"/>
          <w:szCs w:val="28"/>
        </w:rPr>
        <w:t xml:space="preserve">1.2. Synthèse de la situation HSE</w:t>
      </w:r>
    </w:p>
    <w:p>
      <w:pPr>
        <w:spacing w:after="60" w:before="60" w:line="300"/>
      </w:pPr>
      <w:r>
        <w:rPr>
          <w:rFonts w:ascii="Arial" w:cs="Arial" w:eastAsia="Arial" w:hAnsi="Arial"/>
          <w:color w:val="222222"/>
          <w:sz w:val="22"/>
          <w:szCs w:val="22"/>
        </w:rPr>
        <w:t xml:space="preserve">L’évaluation s’appuie sur trois sources convergentes :</w:t>
      </w:r>
    </w:p>
    <w:p>
      <w:pPr>
        <w:pStyle w:val="ListParagraph"/>
        <w:numPr>
          <w:ilvl w:val="0"/>
          <w:numId w:val="2"/>
        </w:numPr>
        <w:spacing w:after="40" w:before="40" w:line="300"/>
      </w:pPr>
      <w:r>
        <w:rPr>
          <w:rFonts w:ascii="Arial" w:cs="Arial" w:eastAsia="Arial" w:hAnsi="Arial"/>
          <w:b/>
          <w:bCs/>
          <w:sz w:val="22"/>
          <w:szCs w:val="22"/>
        </w:rPr>
        <w:t xml:space="preserve">Diagnostic Riskattitude 2016</w:t>
      </w:r>
      <w:r>
        <w:rPr>
          <w:rFonts w:ascii="Arial" w:cs="Arial" w:eastAsia="Arial" w:hAnsi="Arial"/>
          <w:sz w:val="22"/>
          <w:szCs w:val="22"/>
        </w:rPr>
        <w:t xml:space="preserve"> — note globale 14,46/20, deux unités de travail recensées (ADMINISTRATIF/COMPTABILITÉ et TECHNICIENS), risque biologique signalé comme « important » (8,89/20).</w:t>
      </w:r>
    </w:p>
    <w:p>
      <w:pPr>
        <w:pStyle w:val="ListParagraph"/>
        <w:numPr>
          <w:ilvl w:val="0"/>
          <w:numId w:val="2"/>
        </w:numPr>
        <w:spacing w:after="40" w:before="40" w:line="300"/>
      </w:pPr>
      <w:r>
        <w:rPr>
          <w:rFonts w:ascii="Arial" w:cs="Arial" w:eastAsia="Arial" w:hAnsi="Arial"/>
          <w:b/>
          <w:bCs/>
          <w:sz w:val="22"/>
          <w:szCs w:val="22"/>
        </w:rPr>
        <w:t xml:space="preserve">Compte rendu d’entretien d’actualisation</w:t>
      </w:r>
      <w:r>
        <w:rPr>
          <w:rFonts w:ascii="Arial" w:cs="Arial" w:eastAsia="Arial" w:hAnsi="Arial"/>
          <w:sz w:val="22"/>
          <w:szCs w:val="22"/>
        </w:rPr>
        <w:t xml:space="preserve"> du 19 janvier — effectif de 9 personnes (dont 2 femmes), formation EPI réalisée en 2015 (jamais renouvelée), 6 salariés sur 9 habilités électrique, formations SST jamais réalisées, RPS jamais évalué.</w:t>
      </w:r>
    </w:p>
    <w:p>
      <w:pPr>
        <w:pStyle w:val="ListParagraph"/>
        <w:numPr>
          <w:ilvl w:val="0"/>
          <w:numId w:val="2"/>
        </w:numPr>
        <w:spacing w:after="40" w:before="40" w:line="300"/>
      </w:pPr>
      <w:r>
        <w:rPr>
          <w:rFonts w:ascii="Arial" w:cs="Arial" w:eastAsia="Arial" w:hAnsi="Arial"/>
          <w:b/>
          <w:bCs/>
          <w:sz w:val="22"/>
          <w:szCs w:val="22"/>
        </w:rPr>
        <w:t xml:space="preserve">Diagnostic auto-évaluation Risqapp/SecureMetrix</w:t>
      </w:r>
      <w:r>
        <w:rPr>
          <w:rFonts w:ascii="Arial" w:cs="Arial" w:eastAsia="Arial" w:hAnsi="Arial"/>
          <w:sz w:val="22"/>
          <w:szCs w:val="22"/>
        </w:rPr>
        <w:t xml:space="preserve"> du 19 mai 2026 — note globale 53/100 (maturité modérée). Les domaines les plus faibles sont : circulations / déplacements (34/100), manutention (41/100), organisation interne (45/100), RPS (49/100).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Constat principal</w:t>
            </w:r>
          </w:p>
          <w:p>
            <w:r>
              <w:rPr>
                <w:rFonts w:ascii="Arial" w:cs="Arial" w:eastAsia="Arial" w:hAnsi="Arial"/>
                <w:color w:val="222222"/>
                <w:sz w:val="22"/>
                <w:szCs w:val="22"/>
              </w:rPr>
              <w:t xml:space="preserve">IM2S présente une culture sécurité ancienne (DUERP existant depuis 2016) mais l’auto-évaluation 2026 met en évidence plusieurs non-conformités potentielles : aucun SST formé, RPS jamais évalué dans le DUERP, formation EPI datant de 10 ans, formation gestes &amp; postures jamais réalisée, 3 salariés non habilités électrique sur 9. Le présent DUERP édition 2026 v1 vise à reprendre l’ensemble de ces points en y associant un plan d’action priorisé.</w:t>
            </w:r>
          </w:p>
        </w:tc>
      </w:tr>
    </w:tbl>
    <w:p>
      <w:pPr>
        <w:pStyle w:val="Heading2"/>
        <w:keepNext/>
        <w:spacing w:after="140" w:before="280"/>
      </w:pPr>
      <w:r>
        <w:rPr>
          <w:rFonts w:ascii="Arial" w:cs="Arial" w:eastAsia="Arial" w:hAnsi="Arial"/>
          <w:b/>
          <w:bCs/>
          <w:color w:val="1A1A1A"/>
          <w:sz w:val="28"/>
          <w:szCs w:val="28"/>
        </w:rPr>
        <w:t xml:space="preserve">1.3. Top 10 des risques prioritaires</w:t>
      </w:r>
    </w:p>
    <w:p>
      <w:pPr>
        <w:spacing w:after="60" w:before="60" w:line="300"/>
      </w:pPr>
      <w:r>
        <w:rPr>
          <w:rFonts w:ascii="Arial" w:cs="Arial" w:eastAsia="Arial" w:hAnsi="Arial"/>
          <w:color w:val="222222"/>
          <w:sz w:val="22"/>
          <w:szCs w:val="22"/>
        </w:rPr>
        <w:t xml:space="preserve">La hiérarchisation ci-dessous résulte du croisement entre la gravité intrinsèque, la fréquence d’exposition réelle pour IM2S et le degré de maîtrise actuel. Les fiches détaillées correspondantes figurent en partie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463"/>
        <w:gridCol w:w="1463"/>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 principales</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hauteur (échafaudage, PEMP, échelle)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 BT (3 salariés non habilités)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Plan de prévention chez le client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UT5,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lourde (charges &gt; 55 kg)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 UT5</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Amiante (bâtiments &lt; 1997, DTA non vérifié)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astreintes, charge mentale, jamais évalué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Incendie chantier (points chauds, permis de feu)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plain-pied (circulations, score 34/100)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Toutes UT</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batteries (acide, Li-ion)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bl>
    <w:p>
      <w:pPr>
        <w:pStyle w:val="Heading2"/>
        <w:keepNext/>
        <w:spacing w:after="140" w:before="280"/>
      </w:pPr>
      <w:r>
        <w:rPr>
          <w:rFonts w:ascii="Arial" w:cs="Arial" w:eastAsia="Arial" w:hAnsi="Arial"/>
          <w:b/>
          <w:bCs/>
          <w:color w:val="1A1A1A"/>
          <w:sz w:val="28"/>
          <w:szCs w:val="28"/>
        </w:rPr>
        <w:t xml:space="preserve">1.4. Évolution 2016 → 2026</w:t>
      </w:r>
    </w:p>
    <w:p>
      <w:pPr>
        <w:spacing w:after="60" w:before="60" w:line="300"/>
      </w:pPr>
      <w:r>
        <w:rPr>
          <w:rFonts w:ascii="Arial" w:cs="Arial" w:eastAsia="Arial" w:hAnsi="Arial"/>
          <w:color w:val="222222"/>
          <w:sz w:val="22"/>
          <w:szCs w:val="22"/>
        </w:rPr>
        <w:t xml:space="preserve">Une comparaison stricte est délicate, les méthodologies différant (Riskattitude 2016 : cotation /20 ; Risqapp 2026 : score de maturité /100, auto-évaluation interne). Néanmoins, lorsque l’on rapporte la note 2016 à 100 (en multipliant par 5), on observe une baisse apparente sur 8 catégories sur 9. Deux lectures co-existent : soit la situation s’est réellement dégradée, soit l’auto-évaluation 2026 est plus honnête et sévère que l’audit externe initial. Quoi qu’il en soit, plusieurs items réglementaires structurants (RPS, SST, formation gestes &amp; postures, plan de prévention) restent à traiter en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Réserve méthodologique</w:t>
            </w:r>
          </w:p>
          <w:p>
            <w:r>
              <w:rPr>
                <w:rFonts w:ascii="Arial" w:cs="Arial" w:eastAsia="Arial" w:hAnsi="Arial"/>
                <w:color w:val="222222"/>
                <w:sz w:val="22"/>
                <w:szCs w:val="22"/>
              </w:rPr>
              <w:t xml:space="preserve">L’auto-évaluation 2026 ayant été réalisée par le gérant lui-même via un outil en ligne sous compte « SecureMetrix », son opposabilité réglementaire est inférieure à celle d’un audit externe contradictoire. La présente édition du DUERP est cosignée par M. David MUSEUR (LENAXIS / SECURE), consultant externe, ce qui lui confère une opposabilité renforcée vis-à-vis de l’Inspection du travail, de la CARSAT et de l’assureur.</w:t>
            </w:r>
          </w:p>
        </w:tc>
      </w:tr>
    </w:tbl>
    <w:p>
      <w:pPr>
        <w:pStyle w:val="Heading2"/>
        <w:keepNext/>
        <w:spacing w:after="140" w:before="280"/>
      </w:pPr>
      <w:r>
        <w:rPr>
          <w:rFonts w:ascii="Arial" w:cs="Arial" w:eastAsia="Arial" w:hAnsi="Arial"/>
          <w:b/>
          <w:bCs/>
          <w:color w:val="1A1A1A"/>
          <w:sz w:val="28"/>
          <w:szCs w:val="28"/>
        </w:rPr>
        <w:t xml:space="preserve">1.5. Capacité d’investissement HSE — données financières 2022</w:t>
      </w:r>
    </w:p>
    <w:p>
      <w:pPr>
        <w:spacing w:after="60" w:before="60" w:line="300"/>
      </w:pPr>
      <w:r>
        <w:rPr>
          <w:rFonts w:ascii="Arial" w:cs="Arial" w:eastAsia="Arial" w:hAnsi="Arial"/>
          <w:color w:val="222222"/>
          <w:sz w:val="22"/>
          <w:szCs w:val="22"/>
        </w:rPr>
        <w:t xml:space="preserve">La vitalité économique d’IM2S détermine sa capacité à investir dans la prévention des risques. L’exploitation des comptes sociaux de l’exercice clos au 31/12/2022 (déposés en novembre 2023) démontre une situation financière solide qui ne justifie aucune restriction budgétaire HSE.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2022</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Chiffre d’affaires (produits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1 646 262 €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Résultat net (bénéfice)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158 837 € — marge nette ~9,6 %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Report à nouveau cumulé</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647 017 € (après affectation du résultat et versement de dividendes 20 000 € bruts en juin 2023)</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Immobilisations corporelles brutes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393 659 € (dont matériel de transport &gt; 203 000 €, outillage 22 000 €)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résultat net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~159 k€ (2022) → ~154 k€ (2023) → ~161 k€ (2024) — marge stable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Tendance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Marges stables, trésorerie pléthorique, capacité d’autofinancement préservée même après dividendes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Conséquence opérationnelle HSE</w:t>
            </w:r>
          </w:p>
          <w:p>
            <w:r>
              <w:rPr>
                <w:rFonts w:ascii="Arial" w:cs="Arial" w:eastAsia="Arial" w:hAnsi="Arial"/>
                <w:color w:val="222222"/>
                <w:sz w:val="22"/>
                <w:szCs w:val="22"/>
              </w:rPr>
              <w:t xml:space="preserve">Aucune restriction budgétaire ne saurait entraver la mise en œuvre du plan d’action de prévention. L’entreprise a les moyens (i) du renouvellement régulier de sa flotte VUL pour le risque routier, (ii) du financement des formations certifiantes pour les 14 collaborateurs (SST, CACES R486, habilitations NFC 18-510, amiante SS4, PRAP), et (iii) de l’investissement en équipements ergonomiques pour les TMS (aides à la manutention mécanique, outillage anti-vibratile).</w:t>
            </w:r>
          </w:p>
        </w:tc>
      </w:tr>
    </w:tbl>
    <w:p>
      <w:pPr>
        <w:pStyle w:val="Heading2"/>
        <w:keepNext/>
        <w:spacing w:after="140" w:before="280"/>
      </w:pPr>
      <w:r>
        <w:rPr>
          <w:rFonts w:ascii="Arial" w:cs="Arial" w:eastAsia="Arial" w:hAnsi="Arial"/>
          <w:b/>
          <w:bCs/>
          <w:color w:val="1A1A1A"/>
          <w:sz w:val="28"/>
          <w:szCs w:val="28"/>
        </w:rPr>
        <w:t xml:space="preserve">1.6. Marque employeur et culture sécurité — éléments positifs</w:t>
      </w:r>
    </w:p>
    <w:p>
      <w:pPr>
        <w:spacing w:after="60" w:before="60" w:line="300"/>
      </w:pPr>
      <w:r>
        <w:rPr>
          <w:rFonts w:ascii="Arial" w:cs="Arial" w:eastAsia="Arial" w:hAnsi="Arial"/>
          <w:color w:val="222222"/>
          <w:sz w:val="22"/>
          <w:szCs w:val="22"/>
        </w:rPr>
        <w:t xml:space="preserve">Plusieurs éléments distinguent IM2S des standards habituels du secteur BTP et contribuent indirectement à la prévention des Risques Psycho-Sociaux (RPS) :</w:t>
      </w:r>
    </w:p>
    <w:p>
      <w:pPr>
        <w:pStyle w:val="ListParagraph"/>
        <w:numPr>
          <w:ilvl w:val="0"/>
          <w:numId w:val="2"/>
        </w:numPr>
        <w:spacing w:after="40" w:before="40" w:line="300"/>
      </w:pPr>
      <w:r>
        <w:rPr>
          <w:rFonts w:ascii="Arial" w:cs="Arial" w:eastAsia="Arial" w:hAnsi="Arial"/>
          <w:b/>
          <w:bCs/>
          <w:sz w:val="22"/>
          <w:szCs w:val="22"/>
        </w:rPr>
        <w:t xml:space="preserve">Podcast interne « IM2S Protection Incendie MORNING »</w:t>
      </w:r>
      <w:r>
        <w:rPr>
          <w:rFonts w:ascii="Arial" w:cs="Arial" w:eastAsia="Arial" w:hAnsi="Arial"/>
          <w:sz w:val="22"/>
          <w:szCs w:val="22"/>
        </w:rPr>
        <w:t xml:space="preserve"> — diffusé sur Apple Podcasts, Spotify, Podcastics. Animé par les salariés (« Steph24 »), il vise à « parler de l’entreprise, du métier, des sujets que l’on a envie de partager autour d’un café ». Du point de vue HSE, c’est un indicateur du climat social et un dispositif de lutte contre l’isolement professionnel des techniciens itinérants — à valoriser dans la fiche FR-21.</w:t>
      </w:r>
    </w:p>
    <w:p>
      <w:pPr>
        <w:pStyle w:val="ListParagraph"/>
        <w:numPr>
          <w:ilvl w:val="0"/>
          <w:numId w:val="2"/>
        </w:numPr>
        <w:spacing w:after="40" w:before="40" w:line="300"/>
      </w:pPr>
      <w:r>
        <w:rPr>
          <w:rFonts w:ascii="Arial" w:cs="Arial" w:eastAsia="Arial" w:hAnsi="Arial"/>
          <w:b/>
          <w:bCs/>
          <w:sz w:val="22"/>
          <w:szCs w:val="22"/>
        </w:rPr>
        <w:t xml:space="preserve">Note 5/5 sur GoWork</w:t>
      </w:r>
      <w:r>
        <w:rPr>
          <w:rFonts w:ascii="Arial" w:cs="Arial" w:eastAsia="Arial" w:hAnsi="Arial"/>
          <w:sz w:val="22"/>
          <w:szCs w:val="22"/>
        </w:rPr>
        <w:t xml:space="preserve"> (avis employeur) — IM2S est cité pour le choix de fournir « des produits français fiables » (extincteurs ANDRIEU).</w:t>
      </w:r>
    </w:p>
    <w:p>
      <w:pPr>
        <w:pStyle w:val="ListParagraph"/>
        <w:numPr>
          <w:ilvl w:val="0"/>
          <w:numId w:val="2"/>
        </w:numPr>
        <w:spacing w:after="40" w:before="40" w:line="300"/>
      </w:pPr>
      <w:r>
        <w:rPr>
          <w:rFonts w:ascii="Arial" w:cs="Arial" w:eastAsia="Arial" w:hAnsi="Arial"/>
          <w:b/>
          <w:bCs/>
          <w:sz w:val="22"/>
          <w:szCs w:val="22"/>
        </w:rPr>
        <w:t xml:space="preserve">Cahier de doléances ouvert</w:t>
      </w:r>
      <w:r>
        <w:rPr>
          <w:rFonts w:ascii="Arial" w:cs="Arial" w:eastAsia="Arial" w:hAnsi="Arial"/>
          <w:sz w:val="22"/>
          <w:szCs w:val="22"/>
        </w:rPr>
        <w:t xml:space="preserve"> aux salariés (confirmé CR 19/01) — facilite la remontée de signaux faibles.</w:t>
      </w:r>
    </w:p>
    <w:p>
      <w:pPr>
        <w:pStyle w:val="ListParagraph"/>
        <w:numPr>
          <w:ilvl w:val="0"/>
          <w:numId w:val="2"/>
        </w:numPr>
        <w:spacing w:after="40" w:before="40" w:line="300"/>
      </w:pPr>
      <w:r>
        <w:rPr>
          <w:rFonts w:ascii="Arial" w:cs="Arial" w:eastAsia="Arial" w:hAnsi="Arial"/>
          <w:b/>
          <w:bCs/>
          <w:sz w:val="22"/>
          <w:szCs w:val="22"/>
        </w:rPr>
        <w:t xml:space="preserve">Causeries sécurité régulières</w:t>
      </w:r>
      <w:r>
        <w:rPr>
          <w:rFonts w:ascii="Arial" w:cs="Arial" w:eastAsia="Arial" w:hAnsi="Arial"/>
          <w:sz w:val="22"/>
          <w:szCs w:val="22"/>
        </w:rPr>
        <w:t xml:space="preserve"> — confirmées au CR 19/01.</w:t>
      </w:r>
    </w:p>
    <w:p>
      <w:pPr>
        <w:pStyle w:val="ListParagraph"/>
        <w:numPr>
          <w:ilvl w:val="0"/>
          <w:numId w:val="2"/>
        </w:numPr>
        <w:spacing w:after="40" w:before="40" w:line="300"/>
      </w:pPr>
      <w:r>
        <w:rPr>
          <w:rFonts w:ascii="Arial" w:cs="Arial" w:eastAsia="Arial" w:hAnsi="Arial"/>
          <w:b/>
          <w:bCs/>
          <w:sz w:val="22"/>
          <w:szCs w:val="22"/>
        </w:rPr>
        <w:t xml:space="preserve">Charte EPI signée</w:t>
      </w:r>
      <w:r>
        <w:rPr>
          <w:rFonts w:ascii="Arial" w:cs="Arial" w:eastAsia="Arial" w:hAnsi="Arial"/>
          <w:sz w:val="22"/>
          <w:szCs w:val="22"/>
        </w:rPr>
        <w:t xml:space="preserve"> par les nouveaux entrants — bonne pratique.</w:t>
      </w:r>
    </w:p>
    <w:p>
      <w:pPr>
        <w:pStyle w:val="ListParagraph"/>
        <w:numPr>
          <w:ilvl w:val="0"/>
          <w:numId w:val="2"/>
        </w:numPr>
        <w:spacing w:after="40" w:before="40" w:line="300"/>
      </w:pPr>
      <w:r>
        <w:rPr>
          <w:rFonts w:ascii="Arial" w:cs="Arial" w:eastAsia="Arial" w:hAnsi="Arial"/>
          <w:b/>
          <w:bCs/>
          <w:sz w:val="22"/>
          <w:szCs w:val="22"/>
        </w:rPr>
        <w:t xml:space="preserve">Méthodologie propriétaire « PRIMO »</w:t>
      </w:r>
      <w:r>
        <w:rPr>
          <w:rFonts w:ascii="Arial" w:cs="Arial" w:eastAsia="Arial" w:hAnsi="Arial"/>
          <w:sz w:val="22"/>
          <w:szCs w:val="22"/>
        </w:rPr>
        <w:t xml:space="preserve"> — outil interne d’audit des obligations réglementaires clients. Démontre une maturité technique.</w:t>
      </w:r>
    </w:p>
    <w:p>
      <w:pPr>
        <w:pStyle w:val="ListParagraph"/>
        <w:numPr>
          <w:ilvl w:val="0"/>
          <w:numId w:val="2"/>
        </w:numPr>
        <w:spacing w:after="40" w:before="40" w:line="300"/>
      </w:pPr>
      <w:r>
        <w:rPr>
          <w:rFonts w:ascii="Arial" w:cs="Arial" w:eastAsia="Arial" w:hAnsi="Arial"/>
          <w:b/>
          <w:bCs/>
          <w:sz w:val="22"/>
          <w:szCs w:val="22"/>
        </w:rPr>
        <w:t xml:space="preserve">Devis Sérigraphie Moderne SAS</w:t>
      </w:r>
      <w:r>
        <w:rPr>
          <w:rFonts w:ascii="Arial" w:cs="Arial" w:eastAsia="Arial" w:hAnsi="Arial"/>
          <w:sz w:val="22"/>
          <w:szCs w:val="22"/>
        </w:rPr>
        <w:t xml:space="preserve"> — clause amiante explicite (« présence d’amiante probable pour bâtiments antérieurs à 1997 ; exigence du repérage ; refus d’intervention sans plan de retrait préalable »), clause co-activité (« activité sur site arrêtée pendant les travaux »), grilles anti-chute 1200 Joules prévues. Niveau de maturité contractuelle élevé.</w:t>
      </w:r>
    </w:p>
    <w:p>
      <w:pPr>
        <w:pStyle w:val="Heading2"/>
        <w:keepNext/>
        <w:spacing w:after="140" w:before="280"/>
      </w:pPr>
      <w:r>
        <w:rPr>
          <w:rFonts w:ascii="Arial" w:cs="Arial" w:eastAsia="Arial" w:hAnsi="Arial"/>
          <w:b/>
          <w:bCs/>
          <w:color w:val="1A1A1A"/>
          <w:sz w:val="28"/>
          <w:szCs w:val="28"/>
        </w:rPr>
        <w:t xml:space="preserve">1.7. Certifications et qualifications professionnelles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et portée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n°80634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générale Qualibat — confiance des donneurs d’ordre, marchés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n°5442</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spécifique « Désenfumage naturel » — métier de cœur d’IM2S, cohérent avec le devis Sérigraphie Moderne SAS.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APSAD R6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Utilisé pour les formations Équipiers de Première Intervention (EPI) qu’IM2S dispense à ses clients. Simulateurs BullsEye™ (réalité virtuelle).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Distributeur officiel ANDRIEU</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Fabricant français d’extincteurs (NF). Choix mis en avant dans les avis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NF S 61-932/933/934/970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Normes d’installation et de maintenance des SSI — référentiel technique applicable aux interventions d’IM2S.</w:t>
            </w:r>
          </w:p>
        </w:tc>
      </w:tr>
    </w:tbl>
    <w:p>
      <w:pPr>
        <w:pStyle w:val="Heading2"/>
        <w:keepNext/>
        <w:spacing w:after="140" w:before="280"/>
      </w:pPr>
      <w:r>
        <w:rPr>
          <w:rFonts w:ascii="Arial" w:cs="Arial" w:eastAsia="Arial" w:hAnsi="Arial"/>
          <w:b/>
          <w:bCs/>
          <w:color w:val="1A1A1A"/>
          <w:sz w:val="28"/>
          <w:szCs w:val="28"/>
        </w:rPr>
        <w:t xml:space="preserve">1.8. Points positifs confirmés en visite et entretien d’actualisation</w:t>
      </w:r>
    </w:p>
    <w:p>
      <w:pPr>
        <w:spacing w:after="60" w:before="60" w:line="300"/>
      </w:pPr>
      <w:r>
        <w:rPr>
          <w:rFonts w:ascii="Arial" w:cs="Arial" w:eastAsia="Arial" w:hAnsi="Arial"/>
          <w:color w:val="222222"/>
          <w:sz w:val="22"/>
          <w:szCs w:val="22"/>
        </w:rPr>
        <w:t xml:space="preserve">À l’issue de la visite du 26/03/2026 et de l’entretien d’actualisation du 19/05/2026, plusieurs éléments structurants de la prévention sont confirmés en place et fonctionnels chez IM2S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 / preuve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Règlement intérieur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 et en vigueur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Fiches de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Établies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 les postes concernés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Charte EPI signée par les nouveaux entrants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Bonne pratique d’accueil sécurité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Cahier de doléances ouvert aux salariés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d’expression apprécié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Trousse de secours au siège + dans chaque véhicule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vérifiée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Contrôles sur chantier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structurée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Causeries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Régulières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électrique (Q18 annuel)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des extincteurs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Exercices d’évacuation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Travail en hauteur — maîtrise opérationnelle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Maîtrisé</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casques MSA, harnais — cf. photos IMG_2073, IMG_2074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w:t>
            </w:r>
          </w:p>
          <w:p>
            <w:r>
              <w:rPr>
                <w:rFonts w:ascii="Arial" w:cs="Arial" w:eastAsia="Arial" w:hAnsi="Arial"/>
                <w:color w:val="222222"/>
                <w:sz w:val="22"/>
                <w:szCs w:val="22"/>
              </w:rPr>
              <w:t xml:space="preserve">Cette synthèse positive vient équilibrer les axes d’amélioration identifiés ailleurs dans le DUERP. Elle traduit un socle de prévention déjà bien structuré, sur lequel le plan d’action 2026 viendra apporter des compléments formels (formations SST et PRAP à programmer, permis travail hauteur formalisé, inventaire chimique, etc.).</w:t>
            </w:r>
          </w:p>
        </w:tc>
      </w:tr>
    </w:tbl>
    <w:p>
      <w:pPr>
        <w:pStyle w:val="Heading2"/>
        <w:keepNext/>
        <w:spacing w:after="140" w:before="280"/>
      </w:pPr>
      <w:r>
        <w:rPr>
          <w:rFonts w:ascii="Arial" w:cs="Arial" w:eastAsia="Arial" w:hAnsi="Arial"/>
          <w:b/>
          <w:bCs/>
          <w:color w:val="1A1A1A"/>
          <w:sz w:val="28"/>
          <w:szCs w:val="28"/>
        </w:rPr>
        <w:t xml:space="preserve">1.9. Événement factuel — accident du travail rapporté</w:t>
      </w:r>
    </w:p>
    <w:p>
      <w:pPr>
        <w:spacing w:after="60" w:before="60" w:line="300"/>
      </w:pPr>
      <w:r>
        <w:rPr>
          <w:rFonts w:ascii="Arial" w:cs="Arial" w:eastAsia="Arial" w:hAnsi="Arial"/>
          <w:color w:val="222222"/>
          <w:sz w:val="22"/>
          <w:szCs w:val="22"/>
        </w:rPr>
        <w:t xml:space="preserve">Lors de la réunion du 26/03/2026, le gérant a porté à la connaissance du consultant un accident du travail intervenu antérieurement, qu’il convient d’intégrer formellement au registre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de l’événement</w:t>
            </w:r>
          </w:p>
          <w:p>
            <w:r>
              <w:rPr>
                <w:rFonts w:ascii="Arial" w:cs="Arial" w:eastAsia="Arial" w:hAnsi="Arial"/>
                <w:color w:val="222222"/>
                <w:sz w:val="22"/>
                <w:szCs w:val="22"/>
              </w:rPr>
              <w:t xml:space="preserve">Un collaborateur, intervenant sur la maintenance d’un mécanisme à câble en partie haute (trappe d’accès), a été heurté par la trappe lors d’une rupture du câble de retenue.
Conséquence : contusion à la tête (bosse). Arrêt de travail d’environ 10 jours. Pas de séquelle.
Cet accident a été déclaré conformément à l’article L.441-1 du Code de la Sécurité Sociale.</w:t>
            </w:r>
          </w:p>
        </w:tc>
      </w:tr>
    </w:tbl>
    <w:p>
      <w:pPr>
        <w:spacing w:after="60" w:before="60" w:line="300"/>
      </w:pPr>
      <w:r>
        <w:rPr>
          <w:rFonts w:ascii="Arial" w:cs="Arial" w:eastAsia="Arial" w:hAnsi="Arial"/>
          <w:color w:val="222222"/>
          <w:sz w:val="22"/>
          <w:szCs w:val="22"/>
        </w:rPr>
        <w:t xml:space="preserve">Actions à inscrire au plan de prévention :</w:t>
      </w:r>
    </w:p>
    <w:p>
      <w:pPr>
        <w:pStyle w:val="ListParagraph"/>
        <w:numPr>
          <w:ilvl w:val="0"/>
          <w:numId w:val="2"/>
        </w:numPr>
        <w:spacing w:after="40" w:before="40" w:line="300"/>
      </w:pPr>
      <w:r>
        <w:rPr>
          <w:rFonts w:ascii="Arial" w:cs="Arial" w:eastAsia="Arial" w:hAnsi="Arial"/>
          <w:color w:val="222222"/>
          <w:sz w:val="22"/>
          <w:szCs w:val="22"/>
        </w:rPr>
        <w:t xml:space="preserve">Analyse formalisée des causes (mécanique du système, état du câble de retenue, contrôle préventif).</w:t>
      </w:r>
    </w:p>
    <w:p>
      <w:pPr>
        <w:pStyle w:val="ListParagraph"/>
        <w:numPr>
          <w:ilvl w:val="0"/>
          <w:numId w:val="2"/>
        </w:numPr>
        <w:spacing w:after="40" w:before="40" w:line="300"/>
      </w:pPr>
      <w:r>
        <w:rPr>
          <w:rFonts w:ascii="Arial" w:cs="Arial" w:eastAsia="Arial" w:hAnsi="Arial"/>
          <w:color w:val="222222"/>
          <w:sz w:val="22"/>
          <w:szCs w:val="22"/>
        </w:rPr>
        <w:t xml:space="preserve">Fiche de retour d’expérience (REX) à diffuser aux techniciens.</w:t>
      </w:r>
    </w:p>
    <w:p>
      <w:pPr>
        <w:pStyle w:val="ListParagraph"/>
        <w:numPr>
          <w:ilvl w:val="0"/>
          <w:numId w:val="2"/>
        </w:numPr>
        <w:spacing w:after="40" w:before="40" w:line="300"/>
      </w:pPr>
      <w:r>
        <w:rPr>
          <w:rFonts w:ascii="Arial" w:cs="Arial" w:eastAsia="Arial" w:hAnsi="Arial"/>
          <w:color w:val="222222"/>
          <w:sz w:val="22"/>
          <w:szCs w:val="22"/>
        </w:rPr>
        <w:t xml:space="preserve">Vérification du programme de maintenance préventive des mécanismes à câble dans les installations clientes.</w:t>
      </w:r>
    </w:p>
    <w:p>
      <w:pPr>
        <w:pStyle w:val="ListParagraph"/>
        <w:numPr>
          <w:ilvl w:val="0"/>
          <w:numId w:val="2"/>
        </w:numPr>
        <w:spacing w:after="40" w:before="40" w:line="300"/>
      </w:pPr>
      <w:r>
        <w:rPr>
          <w:rFonts w:ascii="Arial" w:cs="Arial" w:eastAsia="Arial" w:hAnsi="Arial"/>
          <w:color w:val="222222"/>
          <w:sz w:val="22"/>
          <w:szCs w:val="22"/>
        </w:rPr>
        <w:t xml:space="preserve">Sensibilisation spécifique au risque résiduel d’intervention sous charge en position haute.</w:t>
      </w:r>
    </w:p>
    <w:p>
      <w:pPr>
        <w:pStyle w:val="Heading2"/>
        <w:keepNext/>
        <w:spacing w:after="140" w:before="280"/>
      </w:pPr>
      <w:r>
        <w:rPr>
          <w:rFonts w:ascii="Arial" w:cs="Arial" w:eastAsia="Arial" w:hAnsi="Arial"/>
          <w:b/>
          <w:bCs/>
          <w:color w:val="1A1A1A"/>
          <w:sz w:val="28"/>
          <w:szCs w:val="28"/>
        </w:rPr>
        <w:t xml:space="preserve">1.10. Synthèse des photos positives intégrées au DUERP</w:t>
      </w:r>
    </w:p>
    <w:p>
      <w:pPr>
        <w:spacing w:after="60" w:before="60" w:line="300"/>
      </w:pPr>
      <w:r>
        <w:rPr>
          <w:rFonts w:ascii="Arial" w:cs="Arial" w:eastAsia="Arial" w:hAnsi="Arial"/>
          <w:color w:val="222222"/>
          <w:sz w:val="22"/>
          <w:szCs w:val="22"/>
        </w:rPr>
        <w:t xml:space="preserve">Les photographies prises lors de la visite du 26/03/2026 sont analysées en détail dans la note de synthèse photographique (référence NSP-IM2S-2026-03-26-v1). Les photographies suivantes constituent des éléments de preuve de la maîtrise des risques et sont intégrées en pièces probantes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Sujet</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 associée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d’évacuation officiel conforme NFX 08-070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FR-07 (Incendie)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Armoire électrique Schneider — étiquetage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de sécurité dans boîtier rouge réglementaire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IMG_2068</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Vue magasin atelier organisé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Bouteille de gaz correctement arrimée (bonne pratique)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FR-03 / FR-08</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IMG_2071</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Magasin organisé avec étiquetage kanban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rangées + BAES + supports pédagogiques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FR-02 (Hauteur)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MSA disponibles pour les techniciens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FR-01 (Hauteur), EPI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Affichage des consignes de sécurité 3 colonnes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IMG_2081 / IMG_2082 / IMG_2083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Coffrets électriques secondaires IP étanches Schneider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IMG_2084 / IMG_2085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TGBT Schneider PrismaSeT — installation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bl>
    <w:p>
      <w:pPr>
        <w:pStyle w:val="Heading1"/>
        <w:keepNext/>
        <w:pageBreakBefore/>
        <w:spacing w:after="240" w:before="480"/>
      </w:pPr>
      <w:r>
        <w:rPr>
          <w:rFonts w:ascii="Arial" w:cs="Arial" w:eastAsia="Arial" w:hAnsi="Arial"/>
          <w:b/>
          <w:bCs/>
          <w:color w:val="A00D1A"/>
          <w:sz w:val="36"/>
          <w:szCs w:val="36"/>
        </w:rPr>
        <w:t xml:space="preserve">2. Gouvernance HSE — acteurs internes et externes</w:t>
      </w:r>
    </w:p>
    <w:p>
      <w:pPr>
        <w:spacing w:after="60" w:before="60" w:line="300"/>
      </w:pPr>
      <w:r>
        <w:rPr>
          <w:rFonts w:ascii="Arial" w:cs="Arial" w:eastAsia="Arial" w:hAnsi="Arial"/>
          <w:color w:val="222222"/>
          <w:sz w:val="22"/>
          <w:szCs w:val="22"/>
        </w:rPr>
        <w:t xml:space="preserve">La prévention des risques professionnels chez IM2S s’articule autour des acteurs suivants. L’identification précise de chacun est une condition de l’opposabilité du DUERP : un document anonyme ou sans pilote nommé est plus difficile à défendre devant l’Inspection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Identification</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 au regard du DUERP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Employeur / Chef d’entreprise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unique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Responsabilité juridique de l’évaluation des risques (Art. L.4121-1) ; signature du DUERP ; mise en œuvre du plan d’action ; mise à jour annuelle.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mise à jour du DUERP ; appui méthodologique ; veille réglementaire ; cosignature.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 — service interentreprises BTP probable, par ex. APAS-BTP]</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de la fiche d’entreprise (Art. R.4624-46) ; suivi médical des salariés ; conseil sur les RPS, les TMS et les expositions.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HSE interne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 recommandation : nommer un référent santé-sécurité parmi l’encadrement]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Animation de la démarche ; remontée des presque-accidents ; mise à jour entre les revues annuelles.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SST — Sauveteurs Secouristes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 à ce jour selon CR entretien 19/01</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former en priorité : minimum 1 SST par site, idéalement 15 % de l’effectif (recommandation CNAMTS).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 harcèlement (le cas échéant)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si effectif ≥ 11 salariés]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Loi du 05/09/2018 ; obligation pour les entreprises d’au moins 11 salariés.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Alpes-Maritimes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sanctions en cas de manquement ; accès au DUERP sur simple demande.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CARSAT Sud-Est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aides financières simplifiées (TPE-PME) ; bouquet de services prévention.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Antenne PACA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Conseils en prévention spécifiques BTP ; outils sectoriels ; accompagnement gratuit pour adhérents.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et décennale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Clauses sécurité ; exigences APSAD ; rapport annuel sinistralité.</w:t>
            </w:r>
          </w:p>
        </w:tc>
      </w:tr>
    </w:tbl>
    <w:p>
      <w:pPr>
        <w:pStyle w:val="Heading2"/>
        <w:keepNext/>
        <w:spacing w:after="140" w:before="280"/>
      </w:pPr>
      <w:r>
        <w:rPr>
          <w:rFonts w:ascii="Arial" w:cs="Arial" w:eastAsia="Arial" w:hAnsi="Arial"/>
          <w:b/>
          <w:bCs/>
          <w:color w:val="1A1A1A"/>
          <w:sz w:val="28"/>
          <w:szCs w:val="28"/>
        </w:rPr>
        <w:t xml:space="preserve">2.1. Engagement de l’employeur</w:t>
      </w:r>
    </w:p>
    <w:p>
      <w:pPr>
        <w:pBdr>
          <w:left w:val="single" w:color="A00D1A" w:sz="18" w:space="12"/>
        </w:pBdr>
        <w:spacing w:after="120" w:before="120" w:line="280"/>
        <w:ind w:left="360"/>
      </w:pPr>
      <w:r>
        <w:rPr>
          <w:rFonts w:ascii="Arial" w:cs="Arial" w:eastAsia="Arial" w:hAnsi="Arial"/>
          <w:i/>
          <w:iCs/>
          <w:color w:val="5A5B5C"/>
          <w:sz w:val="22"/>
          <w:szCs w:val="22"/>
        </w:rPr>
        <w:t xml:space="preserve">« En tant que chef d’entreprise d’IM2S Protection Incendie, je m’engage à prendre les mesures nécessaires pour assurer la sécurité et protéger la santé physique et mentale de mes salariés, conformément à l’article L.4121-1 du Code du travail. Cet engagement s’appuie sur les principes généraux de prévention (Art. L.4121-2) : éviter les risques, évaluer ceux qui ne peuvent l’être, combattre les risques à la source, adapter le travail à l’homme, tenir compte de l’évolution de la technique, remplacer ce qui est dangereux par ce qui l’est moins, planifier la prévention, donner la priorité aux protections collectives sur les protections individuelles, donner les instructions appropriées aux travailleurs. »</w:t>
      </w:r>
    </w:p>
    <w:p>
      <w:pPr>
        <w:spacing w:after="60" w:before="60" w:line="300"/>
        <w:jc w:val="right"/>
      </w:pPr>
      <w:r>
        <w:rPr>
          <w:rFonts w:ascii="Arial" w:cs="Arial" w:eastAsia="Arial" w:hAnsi="Arial"/>
          <w:i/>
          <w:iCs/>
          <w:color w:val="5A5B5C"/>
          <w:sz w:val="22"/>
          <w:szCs w:val="22"/>
        </w:rPr>
        <w:t xml:space="preserve">— M. Stéphane KNOLL, Gérant</w:t>
      </w:r>
    </w:p>
    <w:p>
      <w:pPr>
        <w:pStyle w:val="Heading2"/>
        <w:keepNext/>
        <w:spacing w:after="140" w:before="280"/>
      </w:pPr>
      <w:r>
        <w:rPr>
          <w:rFonts w:ascii="Arial" w:cs="Arial" w:eastAsia="Arial" w:hAnsi="Arial"/>
          <w:b/>
          <w:bCs/>
          <w:color w:val="1A1A1A"/>
          <w:sz w:val="28"/>
          <w:szCs w:val="28"/>
        </w:rPr>
        <w:t xml:space="preserve">2.2. Modalités de consultation des salariés</w:t>
      </w:r>
    </w:p>
    <w:p>
      <w:pPr>
        <w:spacing w:after="60" w:before="60" w:line="300"/>
      </w:pPr>
      <w:r>
        <w:rPr>
          <w:rFonts w:ascii="Arial" w:cs="Arial" w:eastAsia="Arial" w:hAnsi="Arial"/>
          <w:color w:val="222222"/>
          <w:sz w:val="22"/>
          <w:szCs w:val="22"/>
        </w:rPr>
        <w:t xml:space="preserve">Conformément à l’article L.4121-3 du Code du travail, l’employeur évalue les risques après consultation des travailleurs. Les modalités retenues chez IM2S sont :</w:t>
      </w:r>
    </w:p>
    <w:p>
      <w:pPr>
        <w:pStyle w:val="ListParagraph"/>
        <w:numPr>
          <w:ilvl w:val="0"/>
          <w:numId w:val="2"/>
        </w:numPr>
        <w:spacing w:after="40" w:before="40" w:line="300"/>
      </w:pPr>
      <w:r>
        <w:rPr>
          <w:rFonts w:ascii="Arial" w:cs="Arial" w:eastAsia="Arial" w:hAnsi="Arial"/>
          <w:color w:val="222222"/>
          <w:sz w:val="22"/>
          <w:szCs w:val="22"/>
        </w:rPr>
        <w:t xml:space="preserve">Causeries sécurité régulières (confirmées au CR entretien 19/01).</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(confirmé au CR entretien).</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les conditions de travail, à intégrer (Art. L.6315-1 — entretien professionnel obligatoire tous les 2 ans).</w:t>
      </w:r>
    </w:p>
    <w:p>
      <w:pPr>
        <w:pStyle w:val="ListParagraph"/>
        <w:numPr>
          <w:ilvl w:val="0"/>
          <w:numId w:val="2"/>
        </w:numPr>
        <w:spacing w:after="40" w:before="40" w:line="300"/>
      </w:pPr>
      <w:r>
        <w:rPr>
          <w:rFonts w:ascii="Arial" w:cs="Arial" w:eastAsia="Arial" w:hAnsi="Arial"/>
          <w:color w:val="222222"/>
          <w:sz w:val="22"/>
          <w:szCs w:val="22"/>
        </w:rPr>
        <w:t xml:space="preserve">Revue annuelle du DUERP avec restitution aux salariés.</w:t>
      </w:r>
    </w:p>
    <w:p>
      <w:pPr>
        <w:pStyle w:val="Heading2"/>
        <w:keepNext/>
        <w:spacing w:after="140" w:before="280"/>
      </w:pPr>
      <w:r>
        <w:rPr>
          <w:rFonts w:ascii="Arial" w:cs="Arial" w:eastAsia="Arial" w:hAnsi="Arial"/>
          <w:b/>
          <w:bCs/>
          <w:color w:val="1A1A1A"/>
          <w:sz w:val="28"/>
          <w:szCs w:val="28"/>
        </w:rPr>
        <w:t xml:space="preserve">2.3. Documents associés et registres tenus</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édition courante + archivage des versions antérieures (40 ans).</w:t>
      </w:r>
    </w:p>
    <w:p>
      <w:pPr>
        <w:pStyle w:val="ListParagraph"/>
        <w:numPr>
          <w:ilvl w:val="0"/>
          <w:numId w:val="2"/>
        </w:numPr>
        <w:spacing w:after="40" w:before="40" w:line="300"/>
      </w:pPr>
      <w:r>
        <w:rPr>
          <w:rFonts w:ascii="Arial" w:cs="Arial" w:eastAsia="Arial" w:hAnsi="Arial"/>
          <w:color w:val="222222"/>
          <w:sz w:val="22"/>
          <w:szCs w:val="22"/>
        </w:rPr>
        <w:t xml:space="preserve">Registre Hygiène Sécurité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accidents du travail.</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(Art. L.441-4 CSS — sur autorisation préalable CARSAT).</w:t>
      </w:r>
    </w:p>
    <w:p>
      <w:pPr>
        <w:pStyle w:val="ListParagraph"/>
        <w:numPr>
          <w:ilvl w:val="0"/>
          <w:numId w:val="2"/>
        </w:numPr>
        <w:spacing w:after="40" w:before="40" w:line="300"/>
      </w:pPr>
      <w:r>
        <w:rPr>
          <w:rFonts w:ascii="Arial" w:cs="Arial" w:eastAsia="Arial" w:hAnsi="Arial"/>
          <w:color w:val="222222"/>
          <w:sz w:val="22"/>
          <w:szCs w:val="22"/>
        </w:rPr>
        <w:t xml:space="preserve">Registre incendie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vérifications électriques périodiques.</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(confirmé).</w:t>
      </w:r>
    </w:p>
    <w:p>
      <w:pPr>
        <w:pStyle w:val="ListParagraph"/>
        <w:numPr>
          <w:ilvl w:val="0"/>
          <w:numId w:val="2"/>
        </w:numPr>
        <w:spacing w:after="40" w:before="40" w:line="300"/>
      </w:pPr>
      <w:r>
        <w:rPr>
          <w:rFonts w:ascii="Arial" w:cs="Arial" w:eastAsia="Arial" w:hAnsi="Arial"/>
          <w:color w:val="222222"/>
          <w:sz w:val="22"/>
          <w:szCs w:val="22"/>
        </w:rPr>
        <w:t xml:space="preserve">Registre des plans de prévention signés [À CRÉER].</w:t>
      </w:r>
    </w:p>
    <w:p>
      <w:pPr>
        <w:pStyle w:val="ListParagraph"/>
        <w:numPr>
          <w:ilvl w:val="0"/>
          <w:numId w:val="2"/>
        </w:numPr>
        <w:spacing w:after="40" w:before="40" w:line="300"/>
      </w:pPr>
      <w:r>
        <w:rPr>
          <w:rFonts w:ascii="Arial" w:cs="Arial" w:eastAsia="Arial" w:hAnsi="Arial"/>
          <w:color w:val="222222"/>
          <w:sz w:val="22"/>
          <w:szCs w:val="22"/>
        </w:rPr>
        <w:t xml:space="preserve">Affichages obligatoires (consignes incendie, numéros d’urgence, médecine du travail, harcèlement, durée du travail, etc.).</w:t>
      </w:r>
    </w:p>
    <w:p>
      <w:pPr>
        <w:pStyle w:val="Heading1"/>
        <w:keepNext/>
        <w:pageBreakBefore/>
        <w:spacing w:after="240" w:before="480"/>
      </w:pPr>
      <w:r>
        <w:rPr>
          <w:rFonts w:ascii="Arial" w:cs="Arial" w:eastAsia="Arial" w:hAnsi="Arial"/>
          <w:b/>
          <w:bCs/>
          <w:color w:val="A00D1A"/>
          <w:sz w:val="36"/>
          <w:szCs w:val="36"/>
        </w:rPr>
        <w:t xml:space="preserve">3. Méthodologie d’évaluation des risques</w:t>
      </w:r>
    </w:p>
    <w:p>
      <w:pPr>
        <w:pStyle w:val="Heading2"/>
        <w:keepNext/>
        <w:spacing w:after="140" w:before="280"/>
      </w:pPr>
      <w:r>
        <w:rPr>
          <w:rFonts w:ascii="Arial" w:cs="Arial" w:eastAsia="Arial" w:hAnsi="Arial"/>
          <w:b/>
          <w:bCs/>
          <w:color w:val="1A1A1A"/>
          <w:sz w:val="28"/>
          <w:szCs w:val="28"/>
        </w:rPr>
        <w:t xml:space="preserve">3.1. Cadre réglementaire</w:t>
      </w:r>
    </w:p>
    <w:p>
      <w:pPr>
        <w:spacing w:after="60" w:before="60" w:line="300"/>
      </w:pPr>
      <w:r>
        <w:rPr>
          <w:rFonts w:ascii="Arial" w:cs="Arial" w:eastAsia="Arial" w:hAnsi="Arial"/>
          <w:color w:val="222222"/>
          <w:sz w:val="22"/>
          <w:szCs w:val="22"/>
        </w:rPr>
        <w:t xml:space="preserve">L’évaluation des risques est encadrée par :</w:t>
      </w:r>
    </w:p>
    <w:p>
      <w:pPr>
        <w:pStyle w:val="ListParagraph"/>
        <w:numPr>
          <w:ilvl w:val="0"/>
          <w:numId w:val="2"/>
        </w:numPr>
        <w:spacing w:after="40" w:before="40" w:line="300"/>
      </w:pPr>
      <w:r>
        <w:rPr>
          <w:rFonts w:ascii="Arial" w:cs="Arial" w:eastAsia="Arial" w:hAnsi="Arial"/>
          <w:b/>
          <w:bCs/>
          <w:sz w:val="22"/>
          <w:szCs w:val="22"/>
        </w:rPr>
        <w:t xml:space="preserve">Code du travail Art. L.4121-1</w:t>
      </w:r>
      <w:r>
        <w:rPr>
          <w:rFonts w:ascii="Arial" w:cs="Arial" w:eastAsia="Arial" w:hAnsi="Arial"/>
          <w:sz w:val="22"/>
          <w:szCs w:val="22"/>
        </w:rPr>
        <w:t xml:space="preserve"> : obligation générale de sécurité de l’employeur.</w:t>
      </w:r>
    </w:p>
    <w:p>
      <w:pPr>
        <w:pStyle w:val="ListParagraph"/>
        <w:numPr>
          <w:ilvl w:val="0"/>
          <w:numId w:val="2"/>
        </w:numPr>
        <w:spacing w:after="40" w:before="40" w:line="300"/>
      </w:pPr>
      <w:r>
        <w:rPr>
          <w:rFonts w:ascii="Arial" w:cs="Arial" w:eastAsia="Arial" w:hAnsi="Arial"/>
          <w:b/>
          <w:bCs/>
          <w:sz w:val="22"/>
          <w:szCs w:val="22"/>
        </w:rPr>
        <w:t xml:space="preserve">Code du travail Art. L.4121-2</w:t>
      </w:r>
      <w:r>
        <w:rPr>
          <w:rFonts w:ascii="Arial" w:cs="Arial" w:eastAsia="Arial" w:hAnsi="Arial"/>
          <w:sz w:val="22"/>
          <w:szCs w:val="22"/>
        </w:rPr>
        <w:t xml:space="preserve"> : neuf principes généraux de prévention.</w:t>
      </w:r>
    </w:p>
    <w:p>
      <w:pPr>
        <w:pStyle w:val="ListParagraph"/>
        <w:numPr>
          <w:ilvl w:val="0"/>
          <w:numId w:val="2"/>
        </w:numPr>
        <w:spacing w:after="40" w:before="40" w:line="300"/>
      </w:pPr>
      <w:r>
        <w:rPr>
          <w:rFonts w:ascii="Arial" w:cs="Arial" w:eastAsia="Arial" w:hAnsi="Arial"/>
          <w:b/>
          <w:bCs/>
          <w:sz w:val="22"/>
          <w:szCs w:val="22"/>
        </w:rPr>
        <w:t xml:space="preserve">Code du travail Art. L.4121-3</w:t>
      </w:r>
      <w:r>
        <w:rPr>
          <w:rFonts w:ascii="Arial" w:cs="Arial" w:eastAsia="Arial" w:hAnsi="Arial"/>
          <w:sz w:val="22"/>
          <w:szCs w:val="22"/>
        </w:rPr>
        <w:t xml:space="preserve"> : évaluation des risques par unité de travail, après consultation des travailleurs.</w:t>
      </w:r>
    </w:p>
    <w:p>
      <w:pPr>
        <w:pStyle w:val="ListParagraph"/>
        <w:numPr>
          <w:ilvl w:val="0"/>
          <w:numId w:val="2"/>
        </w:numPr>
        <w:spacing w:after="40" w:before="40" w:line="300"/>
      </w:pPr>
      <w:r>
        <w:rPr>
          <w:rFonts w:ascii="Arial" w:cs="Arial" w:eastAsia="Arial" w:hAnsi="Arial"/>
          <w:b/>
          <w:bCs/>
          <w:sz w:val="22"/>
          <w:szCs w:val="22"/>
        </w:rPr>
        <w:t xml:space="preserve">Code du travail Art. R.4121-1 et R.4121-2</w:t>
      </w:r>
      <w:r>
        <w:rPr>
          <w:rFonts w:ascii="Arial" w:cs="Arial" w:eastAsia="Arial" w:hAnsi="Arial"/>
          <w:sz w:val="22"/>
          <w:szCs w:val="22"/>
        </w:rPr>
        <w:t xml:space="preserve"> : transcription des résultats dans le DUERP ; mise à jour au moins annuelle.</w:t>
      </w:r>
    </w:p>
    <w:p>
      <w:pPr>
        <w:pStyle w:val="ListParagraph"/>
        <w:numPr>
          <w:ilvl w:val="0"/>
          <w:numId w:val="2"/>
        </w:numPr>
        <w:spacing w:after="40" w:before="40" w:line="300"/>
      </w:pPr>
      <w:r>
        <w:rPr>
          <w:rFonts w:ascii="Arial" w:cs="Arial" w:eastAsia="Arial" w:hAnsi="Arial"/>
          <w:b/>
          <w:bCs/>
          <w:sz w:val="22"/>
          <w:szCs w:val="22"/>
        </w:rPr>
        <w:t xml:space="preserve">Code du travail Art. L.4121-3-1 et D.4121-9</w:t>
      </w:r>
      <w:r>
        <w:rPr>
          <w:rFonts w:ascii="Arial" w:cs="Arial" w:eastAsia="Arial" w:hAnsi="Arial"/>
          <w:sz w:val="22"/>
          <w:szCs w:val="22"/>
        </w:rPr>
        <w:t xml:space="preserve"> (loi n° 2021-1018 du 02/08/2021) : conservation des versions du DUERP pendant 40 ans ; mise à disposition des travailleurs exposés ; dépôt dématérialisé obligatoire à partir d’une certaine taille d’entreprise.</w:t>
      </w:r>
    </w:p>
    <w:p>
      <w:pPr>
        <w:pStyle w:val="Heading2"/>
        <w:keepNext/>
        <w:spacing w:after="140" w:before="280"/>
      </w:pPr>
      <w:r>
        <w:rPr>
          <w:rFonts w:ascii="Arial" w:cs="Arial" w:eastAsia="Arial" w:hAnsi="Arial"/>
          <w:b/>
          <w:bCs/>
          <w:color w:val="1A1A1A"/>
          <w:sz w:val="28"/>
          <w:szCs w:val="28"/>
        </w:rPr>
        <w:t xml:space="preserve">3.2. Démarche en quatre étapes</w:t>
      </w:r>
    </w:p>
    <w:p>
      <w:pPr>
        <w:pStyle w:val="ListParagraph"/>
        <w:numPr>
          <w:ilvl w:val="0"/>
          <w:numId w:val="3"/>
        </w:numPr>
        <w:spacing w:after="40" w:before="40"/>
      </w:pPr>
      <w:r>
        <w:rPr>
          <w:rFonts w:ascii="Arial" w:cs="Arial" w:eastAsia="Arial" w:hAnsi="Arial"/>
          <w:sz w:val="22"/>
          <w:szCs w:val="22"/>
        </w:rPr>
        <w:t xml:space="preserve">Identification des unités de travail (UT) : regroupement de salariés exposés à des risques similaires.</w:t>
      </w:r>
    </w:p>
    <w:p>
      <w:pPr>
        <w:pStyle w:val="ListParagraph"/>
        <w:numPr>
          <w:ilvl w:val="0"/>
          <w:numId w:val="3"/>
        </w:numPr>
        <w:spacing w:after="40" w:before="40"/>
      </w:pPr>
      <w:r>
        <w:rPr>
          <w:rFonts w:ascii="Arial" w:cs="Arial" w:eastAsia="Arial" w:hAnsi="Arial"/>
          <w:sz w:val="22"/>
          <w:szCs w:val="22"/>
        </w:rPr>
        <w:t xml:space="preserve">Identification des dangers et situations dangereuses dans chaque UT.</w:t>
      </w:r>
    </w:p>
    <w:p>
      <w:pPr>
        <w:pStyle w:val="ListParagraph"/>
        <w:numPr>
          <w:ilvl w:val="0"/>
          <w:numId w:val="3"/>
        </w:numPr>
        <w:spacing w:after="40" w:before="40"/>
      </w:pPr>
      <w:r>
        <w:rPr>
          <w:rFonts w:ascii="Arial" w:cs="Arial" w:eastAsia="Arial" w:hAnsi="Arial"/>
          <w:sz w:val="22"/>
          <w:szCs w:val="22"/>
        </w:rPr>
        <w:t xml:space="preserve">Évaluation du niveau de risque (gravité × fréquence × défaut de maîtrise).</w:t>
      </w:r>
    </w:p>
    <w:p>
      <w:pPr>
        <w:pStyle w:val="ListParagraph"/>
        <w:numPr>
          <w:ilvl w:val="0"/>
          <w:numId w:val="3"/>
        </w:numPr>
        <w:spacing w:after="40" w:before="40"/>
      </w:pPr>
      <w:r>
        <w:rPr>
          <w:rFonts w:ascii="Arial" w:cs="Arial" w:eastAsia="Arial" w:hAnsi="Arial"/>
          <w:sz w:val="22"/>
          <w:szCs w:val="22"/>
        </w:rPr>
        <w:t xml:space="preserve">Définition et hiérarchisation du plan d’action, suivi des indicateurs.</w:t>
      </w:r>
    </w:p>
    <w:p>
      <w:pPr>
        <w:pStyle w:val="Heading2"/>
        <w:keepNext/>
        <w:spacing w:after="140" w:before="280"/>
      </w:pPr>
      <w:r>
        <w:rPr>
          <w:rFonts w:ascii="Arial" w:cs="Arial" w:eastAsia="Arial" w:hAnsi="Arial"/>
          <w:b/>
          <w:bCs/>
          <w:color w:val="1A1A1A"/>
          <w:sz w:val="28"/>
          <w:szCs w:val="28"/>
        </w:rPr>
        <w:t xml:space="preserve">3.3. Grille de cotation utilisée</w:t>
      </w:r>
    </w:p>
    <w:p>
      <w:pPr>
        <w:spacing w:after="60" w:before="60" w:line="300"/>
      </w:pPr>
      <w:r>
        <w:rPr>
          <w:rFonts w:ascii="Arial" w:cs="Arial" w:eastAsia="Arial" w:hAnsi="Arial"/>
          <w:color w:val="222222"/>
          <w:sz w:val="22"/>
          <w:szCs w:val="22"/>
        </w:rPr>
        <w:t xml:space="preserve">Trois critères sont notés de 1 à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826"/>
      </w:tblGrid>
      <w:tr>
        <w:trPr>
          <w:tblHeader/>
        </w:trPr>
        <w:tc>
          <w:tcPr>
            <w:tcW w:type="dxa" w:w="1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Bénigne — soins simples sans arrêt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Très rare — exposition exceptionnelle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Très 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Légère — arrêt &lt; 8 jours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Occasionnelle — quelques fois par an</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Sérieuse — arrêt &gt; 8 jours, séquelles possibles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Fréquente — mensuelle ou hebdomadaire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Partielle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Grave / mortelle — invalidité permanente, décès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Permanente — quotidienne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Faible ou nulle</w:t>
            </w:r>
          </w:p>
        </w:tc>
      </w:tr>
    </w:tbl>
    <w:p>
      <w:pPr>
        <w:spacing w:after="60" w:before="180" w:line="300"/>
      </w:pPr>
      <w:r>
        <w:rPr>
          <w:rFonts w:ascii="Arial" w:cs="Arial" w:eastAsia="Arial" w:hAnsi="Arial"/>
          <w:color w:val="222222"/>
          <w:sz w:val="22"/>
          <w:szCs w:val="22"/>
        </w:rPr>
        <w:t xml:space="preserve">Le niveau de risque résulte du croisement Gravité × Fréquence × Maîtrise, classé en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26"/>
        <w:gridCol w:w="3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G × F (avec maîtrise faible)</w:t>
            </w:r>
          </w:p>
        </w:tc>
        <w:tc>
          <w:tcPr>
            <w:tcW w:type="dxa" w:w="1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d’action préconisé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à 3</w:t>
            </w:r>
          </w:p>
        </w:tc>
        <w:tc>
          <w:tcPr>
            <w:tcW w:type="dxa" w:w="12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Vert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Surveillance simple — traitement dans les 12 mois si 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FFC107"/>
                <w:sz w:val="20"/>
                <w:szCs w:val="20"/>
              </w:rPr>
              <w:t xml:space="preserve">MODÉRÉ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 à 6</w:t>
            </w:r>
          </w:p>
        </w:tc>
        <w:tc>
          <w:tcPr>
            <w:tcW w:type="dxa" w:w="1226"/>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Jaune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6 à 9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 à 11</w:t>
            </w:r>
          </w:p>
        </w:tc>
        <w:tc>
          <w:tcPr>
            <w:tcW w:type="dxa" w:w="1226"/>
            <w:tcBorders>
              <w:top w:val="single" w:color="CCCCCC" w:sz="4"/>
              <w:left w:val="single" w:color="CCCCCC" w:sz="4"/>
              <w:bottom w:val="single" w:color="CCCCCC" w:sz="4"/>
              <w:right w:val="single" w:color="CCCCCC" w:sz="4"/>
            </w:tcBorders>
            <w:shd w:fill="FFCC8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Orange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3 à 6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à 16</w:t>
            </w:r>
          </w:p>
        </w:tc>
        <w:tc>
          <w:tcPr>
            <w:tcW w:type="dxa" w:w="1226"/>
            <w:tcBorders>
              <w:top w:val="single" w:color="CCCCCC" w:sz="4"/>
              <w:left w:val="single" w:color="CCCCCC" w:sz="4"/>
              <w:bottom w:val="single" w:color="CCCCCC" w:sz="4"/>
              <w:right w:val="single" w:color="CCCCCC" w:sz="4"/>
            </w:tcBorders>
            <w:shd w:fill="EF9A9A"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Rouge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immédiat — sous 30 jours maximum</w:t>
            </w:r>
          </w:p>
        </w:tc>
      </w:tr>
    </w:tbl>
    <w:p>
      <w:pPr>
        <w:pStyle w:val="Heading2"/>
        <w:keepNext/>
        <w:spacing w:after="140" w:before="280"/>
      </w:pPr>
      <w:r>
        <w:rPr>
          <w:rFonts w:ascii="Arial" w:cs="Arial" w:eastAsia="Arial" w:hAnsi="Arial"/>
          <w:b/>
          <w:bCs/>
          <w:color w:val="1A1A1A"/>
          <w:sz w:val="28"/>
          <w:szCs w:val="28"/>
        </w:rPr>
        <w:t xml:space="preserve">3.4. Sources mobilisées pour cette édition 2026</w:t>
      </w:r>
    </w:p>
    <w:p>
      <w:pPr>
        <w:pStyle w:val="ListParagraph"/>
        <w:numPr>
          <w:ilvl w:val="0"/>
          <w:numId w:val="2"/>
        </w:numPr>
        <w:spacing w:after="40" w:before="40" w:line="300"/>
      </w:pPr>
      <w:r>
        <w:rPr>
          <w:rFonts w:ascii="Arial" w:cs="Arial" w:eastAsia="Arial" w:hAnsi="Arial"/>
          <w:color w:val="222222"/>
          <w:sz w:val="22"/>
          <w:szCs w:val="22"/>
        </w:rPr>
        <w:t xml:space="preserve">Document unique Riskattitude — édition 01/02/2016, évaluation du 07/12/2015, 13 pages détaillées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rapport du 05/02/2016, 44 pages.</w:t>
      </w:r>
    </w:p>
    <w:p>
      <w:pPr>
        <w:pStyle w:val="ListParagraph"/>
        <w:numPr>
          <w:ilvl w:val="0"/>
          <w:numId w:val="2"/>
        </w:numPr>
        <w:spacing w:after="40" w:before="40" w:line="300"/>
      </w:pPr>
      <w:r>
        <w:rPr>
          <w:rFonts w:ascii="Arial" w:cs="Arial" w:eastAsia="Arial" w:hAnsi="Arial"/>
          <w:color w:val="222222"/>
          <w:sz w:val="22"/>
          <w:szCs w:val="22"/>
        </w:rPr>
        <w:t xml:space="preserve">Compte 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auto-évaluation Risqapp/SecureMetrix — visite du 19/05/2026, rapport du 27/05/2026, 52 pages.</w:t>
      </w:r>
    </w:p>
    <w:p>
      <w:pPr>
        <w:pStyle w:val="ListParagraph"/>
        <w:numPr>
          <w:ilvl w:val="0"/>
          <w:numId w:val="2"/>
        </w:numPr>
        <w:spacing w:after="40" w:before="40" w:line="300"/>
      </w:pPr>
      <w:r>
        <w:rPr>
          <w:rFonts w:ascii="Arial" w:cs="Arial" w:eastAsia="Arial" w:hAnsi="Arial"/>
          <w:color w:val="222222"/>
          <w:sz w:val="22"/>
          <w:szCs w:val="22"/>
        </w:rPr>
        <w:t xml:space="preserve">Extrait Pappers (RNE) du 26/05/2026.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(sous réserve d’obtention d’une version OCR — fichier scanné illisible).</w:t>
      </w:r>
    </w:p>
    <w:p>
      <w:pPr>
        <w:pStyle w:val="Heading1"/>
        <w:keepNext/>
        <w:pageBreakBefore/>
        <w:spacing w:after="240" w:before="480"/>
      </w:pPr>
      <w:r>
        <w:rPr>
          <w:rFonts w:ascii="Arial" w:cs="Arial" w:eastAsia="Arial" w:hAnsi="Arial"/>
          <w:b/>
          <w:bCs/>
          <w:color w:val="A00D1A"/>
          <w:sz w:val="36"/>
          <w:szCs w:val="36"/>
        </w:rPr>
        <w:t xml:space="preserve">4. Unités de travail</w:t>
      </w:r>
    </w:p>
    <w:p>
      <w:pPr>
        <w:spacing w:after="60" w:before="60" w:line="300"/>
      </w:pPr>
      <w:r>
        <w:rPr>
          <w:rFonts w:ascii="Arial" w:cs="Arial" w:eastAsia="Arial" w:hAnsi="Arial"/>
          <w:color w:val="222222"/>
          <w:sz w:val="22"/>
          <w:szCs w:val="22"/>
        </w:rPr>
        <w:t xml:space="preserve">La cartographie des unités de travail (UT) constitue le squelette du DUERP. L’édition 2016 ne retenait que 2 UT (Administratif et Techniciens). L’édition 2026 v1 les détaille en 6 UT plus représentatives de l’organisation réelle d’IM2S, ce qui permet de cibler plus finement les risques et les actions de prévention.</w:t>
      </w:r>
    </w:p>
    <w:p>
      <w:pPr>
        <w:spacing w:after="60" w:before="60" w:line="300"/>
      </w:pPr>
      <w:r>
        <w:rPr>
          <w:rFonts w:ascii="Arial" w:cs="Arial" w:eastAsia="Arial" w:hAnsi="Arial"/>
          <w:color w:val="222222"/>
          <w:sz w:val="22"/>
          <w:szCs w:val="22"/>
        </w:rPr>
        <w:t xml:space="preserve">Les effectifs par UT restent en placeholder « [À COMPLÉTER] » jusqu’à transmission par le client de la liste nominative des salariés (P1 du plan de production).</w:t>
      </w:r>
    </w:p>
    <w:p>
      <w:pPr>
        <w:pStyle w:val="Heading2"/>
        <w:keepNext/>
        <w:spacing w:after="140" w:before="280"/>
      </w:pPr>
      <w:r>
        <w:rPr>
          <w:rFonts w:ascii="Arial" w:cs="Arial" w:eastAsia="Arial" w:hAnsi="Arial"/>
          <w:b/>
          <w:bCs/>
          <w:color w:val="1A1A1A"/>
          <w:sz w:val="28"/>
          <w:szCs w:val="28"/>
        </w:rPr>
        <w:t xml:space="preserve">UT1 — Administration / Comptabilité /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ETP (sur base 4 employés 2022)</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Astrae Center, 235 Allée Hector Pintus, 06610 La Gaude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Accueil clients, gestion administrative et commerciale, comptabilité, devis et facturation, suivi des contrats de maintenance et télésurveillance.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Travail sur écran et TMS</w:t>
      </w:r>
    </w:p>
    <w:p>
      <w:pPr>
        <w:pStyle w:val="ListParagraph"/>
        <w:numPr>
          <w:ilvl w:val="0"/>
          <w:numId w:val="2"/>
        </w:numPr>
        <w:spacing w:after="40" w:before="40" w:line="300"/>
      </w:pPr>
      <w:r>
        <w:rPr>
          <w:rFonts w:ascii="Arial" w:cs="Arial" w:eastAsia="Arial" w:hAnsi="Arial"/>
          <w:color w:val="222222"/>
          <w:sz w:val="22"/>
          <w:szCs w:val="22"/>
        </w:rPr>
        <w:t xml:space="preserve">RPS — charge mentale</w:t>
      </w:r>
    </w:p>
    <w:p>
      <w:pPr>
        <w:pStyle w:val="ListParagraph"/>
        <w:numPr>
          <w:ilvl w:val="0"/>
          <w:numId w:val="2"/>
        </w:numPr>
        <w:spacing w:after="40" w:before="40" w:line="300"/>
      </w:pPr>
      <w:r>
        <w:rPr>
          <w:rFonts w:ascii="Arial" w:cs="Arial" w:eastAsia="Arial" w:hAnsi="Arial"/>
          <w:color w:val="222222"/>
          <w:sz w:val="22"/>
          <w:szCs w:val="22"/>
        </w:rPr>
        <w:t xml:space="preserve">Risque incendie locaux</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occasionnels</w:t>
      </w:r>
    </w:p>
    <w:p>
      <w:pPr>
        <w:pStyle w:val="ListParagraph"/>
        <w:numPr>
          <w:ilvl w:val="0"/>
          <w:numId w:val="2"/>
        </w:numPr>
        <w:spacing w:after="40" w:before="40" w:line="300"/>
      </w:pPr>
      <w:r>
        <w:rPr>
          <w:rFonts w:ascii="Arial" w:cs="Arial" w:eastAsia="Arial" w:hAnsi="Arial"/>
          <w:color w:val="222222"/>
          <w:sz w:val="22"/>
          <w:szCs w:val="22"/>
        </w:rPr>
        <w:t xml:space="preserve">Circulation et chute de plain-pied</w:t>
      </w:r>
    </w:p>
    <w:p>
      <w:pPr>
        <w:pStyle w:val="Heading2"/>
        <w:keepNext/>
        <w:spacing w:after="140" w:before="280"/>
      </w:pPr>
      <w:r>
        <w:rPr>
          <w:rFonts w:ascii="Arial" w:cs="Arial" w:eastAsia="Arial" w:hAnsi="Arial"/>
          <w:b/>
          <w:bCs/>
          <w:color w:val="1A1A1A"/>
          <w:sz w:val="28"/>
          <w:szCs w:val="28"/>
        </w:rPr>
        <w:t xml:space="preserve">UT2 — Atelier / Magasin / Préparation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ETP (partagé avec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zone de stockage et préparation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Réception et stockage du matériel SSI (centrales, détecteurs, batteries), préparation des kits chantier, manipulation d’extincteurs et de batteries, petites opérations de pré-câblage.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Manutention de charges lourdes (extincteurs, batteries)</w:t>
      </w:r>
    </w:p>
    <w:p>
      <w:pPr>
        <w:pStyle w:val="ListParagraph"/>
        <w:numPr>
          <w:ilvl w:val="0"/>
          <w:numId w:val="2"/>
        </w:numPr>
        <w:spacing w:after="40" w:before="40" w:line="300"/>
      </w:pPr>
      <w:r>
        <w:rPr>
          <w:rFonts w:ascii="Arial" w:cs="Arial" w:eastAsia="Arial" w:hAnsi="Arial"/>
          <w:color w:val="222222"/>
          <w:sz w:val="22"/>
          <w:szCs w:val="22"/>
        </w:rPr>
        <w:t xml:space="preserve">Risque chimique batteries (acide, Li-ion)</w:t>
      </w:r>
    </w:p>
    <w:p>
      <w:pPr>
        <w:pStyle w:val="ListParagraph"/>
        <w:numPr>
          <w:ilvl w:val="0"/>
          <w:numId w:val="2"/>
        </w:numPr>
        <w:spacing w:after="40" w:before="40" w:line="300"/>
      </w:pPr>
      <w:r>
        <w:rPr>
          <w:rFonts w:ascii="Arial" w:cs="Arial" w:eastAsia="Arial" w:hAnsi="Arial"/>
          <w:color w:val="222222"/>
          <w:sz w:val="22"/>
          <w:szCs w:val="22"/>
        </w:rPr>
        <w:t xml:space="preserve">Risque électrique TBT/BT atelier</w:t>
      </w:r>
    </w:p>
    <w:p>
      <w:pPr>
        <w:pStyle w:val="ListParagraph"/>
        <w:numPr>
          <w:ilvl w:val="0"/>
          <w:numId w:val="2"/>
        </w:numPr>
        <w:spacing w:after="40" w:before="40" w:line="300"/>
      </w:pPr>
      <w:r>
        <w:rPr>
          <w:rFonts w:ascii="Arial" w:cs="Arial" w:eastAsia="Arial" w:hAnsi="Arial"/>
          <w:color w:val="222222"/>
          <w:sz w:val="22"/>
          <w:szCs w:val="22"/>
        </w:rPr>
        <w:t xml:space="preserve">Chute d’objets — stockage en hauteur</w:t>
      </w:r>
    </w:p>
    <w:p>
      <w:pPr>
        <w:pStyle w:val="ListParagraph"/>
        <w:numPr>
          <w:ilvl w:val="0"/>
          <w:numId w:val="2"/>
        </w:numPr>
        <w:spacing w:after="40" w:before="40" w:line="300"/>
      </w:pPr>
      <w:r>
        <w:rPr>
          <w:rFonts w:ascii="Arial" w:cs="Arial" w:eastAsia="Arial" w:hAnsi="Arial"/>
          <w:color w:val="222222"/>
          <w:sz w:val="22"/>
          <w:szCs w:val="22"/>
        </w:rPr>
        <w:t xml:space="preserve">Outillage à main et machines portatives</w:t>
      </w:r>
    </w:p>
    <w:p>
      <w:pPr>
        <w:pStyle w:val="Heading2"/>
        <w:keepNext/>
        <w:spacing w:after="140" w:before="280"/>
      </w:pPr>
      <w:r>
        <w:rPr>
          <w:rFonts w:ascii="Arial" w:cs="Arial" w:eastAsia="Arial" w:hAnsi="Arial"/>
          <w:b/>
          <w:bCs/>
          <w:color w:val="1A1A1A"/>
          <w:sz w:val="28"/>
          <w:szCs w:val="28"/>
        </w:rPr>
        <w:t xml:space="preserve">UT3 — Techniciens d’installation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ETP (sur base 10 ouvriers 2022, partagés avec 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clients (ERP, industrie, habitat, tertiaire)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Pose de centrales SSI, détecteurs incendie, déclencheurs manuels, sirènes, blocs d’éclairage de sécurité, systèmes de désenfumage. Tirage de câbles, perçages, fixations en hauteur.</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 (échafaudage, PEMP, échelle)</w:t>
      </w:r>
    </w:p>
    <w:p>
      <w:pPr>
        <w:pStyle w:val="ListParagraph"/>
        <w:numPr>
          <w:ilvl w:val="0"/>
          <w:numId w:val="2"/>
        </w:numPr>
        <w:spacing w:after="40" w:before="40" w:line="300"/>
      </w:pPr>
      <w:r>
        <w:rPr>
          <w:rFonts w:ascii="Arial" w:cs="Arial" w:eastAsia="Arial" w:hAnsi="Arial"/>
          <w:color w:val="222222"/>
          <w:sz w:val="22"/>
          <w:szCs w:val="22"/>
        </w:rPr>
        <w:t xml:space="preserve">Risque électrique BT</w:t>
      </w:r>
    </w:p>
    <w:p>
      <w:pPr>
        <w:pStyle w:val="ListParagraph"/>
        <w:numPr>
          <w:ilvl w:val="0"/>
          <w:numId w:val="2"/>
        </w:numPr>
        <w:spacing w:after="40" w:before="40" w:line="300"/>
      </w:pPr>
      <w:r>
        <w:rPr>
          <w:rFonts w:ascii="Arial" w:cs="Arial" w:eastAsia="Arial" w:hAnsi="Arial"/>
          <w:color w:val="222222"/>
          <w:sz w:val="22"/>
          <w:szCs w:val="22"/>
        </w:rPr>
        <w:t xml:space="preserve">Risque incendie point chaud (perçage, soudure)</w:t>
      </w:r>
    </w:p>
    <w:p>
      <w:pPr>
        <w:pStyle w:val="ListParagraph"/>
        <w:numPr>
          <w:ilvl w:val="0"/>
          <w:numId w:val="2"/>
        </w:numPr>
        <w:spacing w:after="40" w:before="40" w:line="300"/>
      </w:pPr>
      <w:r>
        <w:rPr>
          <w:rFonts w:ascii="Arial" w:cs="Arial" w:eastAsia="Arial" w:hAnsi="Arial"/>
          <w:color w:val="222222"/>
          <w:sz w:val="22"/>
          <w:szCs w:val="22"/>
        </w:rPr>
        <w:t xml:space="preserve">Poussières (perçage cloisons, plâtre, ciment)</w:t>
      </w:r>
    </w:p>
    <w:p>
      <w:pPr>
        <w:pStyle w:val="ListParagraph"/>
        <w:numPr>
          <w:ilvl w:val="0"/>
          <w:numId w:val="2"/>
        </w:numPr>
        <w:spacing w:after="40" w:before="40" w:line="300"/>
      </w:pPr>
      <w:r>
        <w:rPr>
          <w:rFonts w:ascii="Arial" w:cs="Arial" w:eastAsia="Arial" w:hAnsi="Arial"/>
          <w:color w:val="222222"/>
          <w:sz w:val="22"/>
          <w:szCs w:val="22"/>
        </w:rPr>
        <w:t xml:space="preserve">Amiante (bâtiments antérieurs à 1997)</w:t>
      </w:r>
    </w:p>
    <w:p>
      <w:pPr>
        <w:pStyle w:val="ListParagraph"/>
        <w:numPr>
          <w:ilvl w:val="0"/>
          <w:numId w:val="2"/>
        </w:numPr>
        <w:spacing w:after="40" w:before="40" w:line="300"/>
      </w:pPr>
      <w:r>
        <w:rPr>
          <w:rFonts w:ascii="Arial" w:cs="Arial" w:eastAsia="Arial" w:hAnsi="Arial"/>
          <w:color w:val="222222"/>
          <w:sz w:val="22"/>
          <w:szCs w:val="22"/>
        </w:rPr>
        <w:t xml:space="preserve">Co-activité ERP en exploitation</w:t>
      </w:r>
    </w:p>
    <w:p>
      <w:pPr>
        <w:pStyle w:val="ListParagraph"/>
        <w:numPr>
          <w:ilvl w:val="0"/>
          <w:numId w:val="2"/>
        </w:numPr>
        <w:spacing w:after="40" w:before="40" w:line="300"/>
      </w:pPr>
      <w:r>
        <w:rPr>
          <w:rFonts w:ascii="Arial" w:cs="Arial" w:eastAsia="Arial" w:hAnsi="Arial"/>
          <w:color w:val="222222"/>
          <w:sz w:val="22"/>
          <w:szCs w:val="22"/>
        </w:rPr>
        <w:t xml:space="preserve">Manutention</w:t>
      </w:r>
    </w:p>
    <w:p>
      <w:pPr>
        <w:pStyle w:val="Heading2"/>
        <w:keepNext/>
        <w:spacing w:after="140" w:before="280"/>
      </w:pPr>
      <w:r>
        <w:rPr>
          <w:rFonts w:ascii="Arial" w:cs="Arial" w:eastAsia="Arial" w:hAnsi="Arial"/>
          <w:b/>
          <w:bCs/>
          <w:color w:val="1A1A1A"/>
          <w:sz w:val="28"/>
          <w:szCs w:val="28"/>
        </w:rPr>
        <w:t xml:space="preserve">UT4 — Techniciens de maintenance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 ETP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clients en exploitation — multi-sites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des SSI installés (NF S 61-933), tests de déclenchement, remplacement de détecteurs et batteries, mise à jour de centrales, intervention sur RIA et extincteurs (APSAD R1/R5).</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w:t>
      </w:r>
    </w:p>
    <w:p>
      <w:pPr>
        <w:pStyle w:val="ListParagraph"/>
        <w:numPr>
          <w:ilvl w:val="0"/>
          <w:numId w:val="2"/>
        </w:numPr>
        <w:spacing w:after="40" w:before="40" w:line="300"/>
      </w:pPr>
      <w:r>
        <w:rPr>
          <w:rFonts w:ascii="Arial" w:cs="Arial" w:eastAsia="Arial" w:hAnsi="Arial"/>
          <w:color w:val="222222"/>
          <w:sz w:val="22"/>
          <w:szCs w:val="22"/>
        </w:rPr>
        <w:t xml:space="preserve">Risque électrique sous tension</w:t>
      </w:r>
    </w:p>
    <w:p>
      <w:pPr>
        <w:pStyle w:val="ListParagraph"/>
        <w:numPr>
          <w:ilvl w:val="0"/>
          <w:numId w:val="2"/>
        </w:numPr>
        <w:spacing w:after="40" w:before="40" w:line="300"/>
      </w:pPr>
      <w:r>
        <w:rPr>
          <w:rFonts w:ascii="Arial" w:cs="Arial" w:eastAsia="Arial" w:hAnsi="Arial"/>
          <w:color w:val="222222"/>
          <w:sz w:val="22"/>
          <w:szCs w:val="22"/>
        </w:rPr>
        <w:t xml:space="preserve">Co-activité site exploité</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multi-sites)</w:t>
      </w:r>
    </w:p>
    <w:p>
      <w:pPr>
        <w:pStyle w:val="ListParagraph"/>
        <w:numPr>
          <w:ilvl w:val="0"/>
          <w:numId w:val="2"/>
        </w:numPr>
        <w:spacing w:after="40" w:before="40" w:line="300"/>
      </w:pPr>
      <w:r>
        <w:rPr>
          <w:rFonts w:ascii="Arial" w:cs="Arial" w:eastAsia="Arial" w:hAnsi="Arial"/>
          <w:color w:val="222222"/>
          <w:sz w:val="22"/>
          <w:szCs w:val="22"/>
        </w:rPr>
        <w:t xml:space="preserve">Astreinte / RPS</w:t>
      </w:r>
    </w:p>
    <w:p>
      <w:pPr>
        <w:pStyle w:val="ListParagraph"/>
        <w:numPr>
          <w:ilvl w:val="0"/>
          <w:numId w:val="2"/>
        </w:numPr>
        <w:spacing w:after="40" w:before="40" w:line="300"/>
      </w:pPr>
      <w:r>
        <w:rPr>
          <w:rFonts w:ascii="Arial" w:cs="Arial" w:eastAsia="Arial" w:hAnsi="Arial"/>
          <w:color w:val="222222"/>
          <w:sz w:val="22"/>
          <w:szCs w:val="22"/>
        </w:rPr>
        <w:t xml:space="preserve">Travail seul / isolé</w:t>
      </w:r>
    </w:p>
    <w:p>
      <w:pPr>
        <w:pStyle w:val="Heading2"/>
        <w:keepNext/>
        <w:spacing w:after="140" w:before="280"/>
      </w:pPr>
      <w:r>
        <w:rPr>
          <w:rFonts w:ascii="Arial" w:cs="Arial" w:eastAsia="Arial" w:hAnsi="Arial"/>
          <w:b/>
          <w:bCs/>
          <w:color w:val="1A1A1A"/>
          <w:sz w:val="28"/>
          <w:szCs w:val="28"/>
        </w:rPr>
        <w:t xml:space="preserve">UT5 — Conducteurs /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Fonction transverse — assurée par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Route — VUL et véhicules de service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Transport du matériel entre siège, fournisseurs et chantiers ; chargement et déchargement des véhicules ; arrimage des charges ; livraisons clients.</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Risque routier en mission</w:t>
      </w:r>
    </w:p>
    <w:p>
      <w:pPr>
        <w:pStyle w:val="ListParagraph"/>
        <w:numPr>
          <w:ilvl w:val="0"/>
          <w:numId w:val="2"/>
        </w:numPr>
        <w:spacing w:after="40" w:before="40" w:line="300"/>
      </w:pPr>
      <w:r>
        <w:rPr>
          <w:rFonts w:ascii="Arial" w:cs="Arial" w:eastAsia="Arial" w:hAnsi="Arial"/>
          <w:color w:val="222222"/>
          <w:sz w:val="22"/>
          <w:szCs w:val="22"/>
        </w:rPr>
        <w:t xml:space="preserve">Manutention chargement/déchargement</w:t>
      </w:r>
    </w:p>
    <w:p>
      <w:pPr>
        <w:pStyle w:val="ListParagraph"/>
        <w:numPr>
          <w:ilvl w:val="0"/>
          <w:numId w:val="2"/>
        </w:numPr>
        <w:spacing w:after="40" w:before="40" w:line="300"/>
      </w:pPr>
      <w:r>
        <w:rPr>
          <w:rFonts w:ascii="Arial" w:cs="Arial" w:eastAsia="Arial" w:hAnsi="Arial"/>
          <w:color w:val="222222"/>
          <w:sz w:val="22"/>
          <w:szCs w:val="22"/>
        </w:rPr>
        <w:t xml:space="preserve">TMS dos</w:t>
      </w:r>
    </w:p>
    <w:p>
      <w:pPr>
        <w:pStyle w:val="ListParagraph"/>
        <w:numPr>
          <w:ilvl w:val="0"/>
          <w:numId w:val="2"/>
        </w:numPr>
        <w:spacing w:after="40" w:before="40" w:line="300"/>
      </w:pPr>
      <w:r>
        <w:rPr>
          <w:rFonts w:ascii="Arial" w:cs="Arial" w:eastAsia="Arial" w:hAnsi="Arial"/>
          <w:color w:val="222222"/>
          <w:sz w:val="22"/>
          <w:szCs w:val="22"/>
        </w:rPr>
        <w:t xml:space="preserve">Co-activité quais clients</w:t>
      </w:r>
    </w:p>
    <w:p>
      <w:pPr>
        <w:pStyle w:val="ListParagraph"/>
        <w:numPr>
          <w:ilvl w:val="0"/>
          <w:numId w:val="2"/>
        </w:numPr>
        <w:spacing w:after="40" w:before="40" w:line="300"/>
      </w:pPr>
      <w:r>
        <w:rPr>
          <w:rFonts w:ascii="Arial" w:cs="Arial" w:eastAsia="Arial" w:hAnsi="Arial"/>
          <w:color w:val="222222"/>
          <w:sz w:val="22"/>
          <w:szCs w:val="22"/>
        </w:rPr>
        <w:t xml:space="preserve">Fatigue / charge horaire</w:t>
      </w:r>
    </w:p>
    <w:p>
      <w:pPr>
        <w:pStyle w:val="Heading2"/>
        <w:keepNext/>
        <w:spacing w:after="140" w:before="280"/>
      </w:pPr>
      <w:r>
        <w:rPr>
          <w:rFonts w:ascii="Arial" w:cs="Arial" w:eastAsia="Arial" w:hAnsi="Arial"/>
          <w:b/>
          <w:bCs/>
          <w:color w:val="1A1A1A"/>
          <w:sz w:val="28"/>
          <w:szCs w:val="28"/>
        </w:rPr>
        <w:t xml:space="preserve">UT6 — Encadrement de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~1-2 ETP (chargé d’affaires +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et siège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Chargé d’affaires, conducteur de travaux, chef d’équipe : préparation des chantiers, rédaction des PPSPS et plans de prévention, coordination avec maître d’ouvrage, MOE et coordonnateur SPS, suivi opérationnel.</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RPS — charge mentale, multi-projets</w:t>
      </w:r>
    </w:p>
    <w:p>
      <w:pPr>
        <w:pStyle w:val="ListParagraph"/>
        <w:numPr>
          <w:ilvl w:val="0"/>
          <w:numId w:val="2"/>
        </w:numPr>
        <w:spacing w:after="40" w:before="40" w:line="300"/>
      </w:pPr>
      <w:r>
        <w:rPr>
          <w:rFonts w:ascii="Arial" w:cs="Arial" w:eastAsia="Arial" w:hAnsi="Arial"/>
          <w:color w:val="222222"/>
          <w:sz w:val="22"/>
          <w:szCs w:val="22"/>
        </w:rPr>
        <w:t xml:space="preserve">Risque routier</w:t>
      </w:r>
    </w:p>
    <w:p>
      <w:pPr>
        <w:pStyle w:val="ListParagraph"/>
        <w:numPr>
          <w:ilvl w:val="0"/>
          <w:numId w:val="2"/>
        </w:numPr>
        <w:spacing w:after="40" w:before="40" w:line="300"/>
      </w:pPr>
      <w:r>
        <w:rPr>
          <w:rFonts w:ascii="Arial" w:cs="Arial" w:eastAsia="Arial" w:hAnsi="Arial"/>
          <w:color w:val="222222"/>
          <w:sz w:val="22"/>
          <w:szCs w:val="22"/>
        </w:rPr>
        <w:t xml:space="preserve">Co-activité</w:t>
      </w:r>
    </w:p>
    <w:p>
      <w:pPr>
        <w:pStyle w:val="ListParagraph"/>
        <w:numPr>
          <w:ilvl w:val="0"/>
          <w:numId w:val="2"/>
        </w:numPr>
        <w:spacing w:after="40" w:before="40" w:line="300"/>
      </w:pPr>
      <w:r>
        <w:rPr>
          <w:rFonts w:ascii="Arial" w:cs="Arial" w:eastAsia="Arial" w:hAnsi="Arial"/>
          <w:color w:val="222222"/>
          <w:sz w:val="22"/>
          <w:szCs w:val="22"/>
        </w:rPr>
        <w:t xml:space="preserve">Risques liés à la responsabilité légale (SPS, PPSPS, plan de prévention)</w:t>
      </w:r>
    </w:p>
    <w:p>
      <w:pPr>
        <w:pStyle w:val="ListParagraph"/>
        <w:numPr>
          <w:ilvl w:val="0"/>
          <w:numId w:val="2"/>
        </w:numPr>
        <w:spacing w:after="40" w:before="40" w:line="300"/>
      </w:pPr>
      <w:r>
        <w:rPr>
          <w:rFonts w:ascii="Arial" w:cs="Arial" w:eastAsia="Arial" w:hAnsi="Arial"/>
          <w:color w:val="222222"/>
          <w:sz w:val="22"/>
          <w:szCs w:val="22"/>
        </w:rPr>
        <w:t xml:space="preserve">Travail sur écran</w:t>
      </w:r>
    </w:p>
    <w:p>
      <w:pPr>
        <w:pStyle w:val="Heading1"/>
        <w:keepNext/>
        <w:pageBreakBefore/>
        <w:spacing w:after="240" w:before="480"/>
      </w:pPr>
      <w:r>
        <w:rPr>
          <w:rFonts w:ascii="Arial" w:cs="Arial" w:eastAsia="Arial" w:hAnsi="Arial"/>
          <w:b/>
          <w:bCs/>
          <w:color w:val="A00D1A"/>
          <w:sz w:val="36"/>
          <w:szCs w:val="36"/>
        </w:rPr>
        <w:t xml:space="preserve">5. Inventaire des risques par famille</w:t>
      </w:r>
    </w:p>
    <w:p>
      <w:pPr>
        <w:spacing w:after="60" w:before="60" w:line="300"/>
      </w:pPr>
      <w:r>
        <w:rPr>
          <w:rFonts w:ascii="Arial" w:cs="Arial" w:eastAsia="Arial" w:hAnsi="Arial"/>
          <w:color w:val="222222"/>
          <w:sz w:val="22"/>
          <w:szCs w:val="22"/>
        </w:rPr>
        <w:t xml:space="preserve">Les 25 fiches de risque détaillées en partie 6 se regroupent en 11 familles de risque. Chaque famille fait l’objet d’un rappel réglementaire et d’un classement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27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Fiches associées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de chute de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FR-01, FR-02, FR-03, FR-04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FR-05, FR-06</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incendie sur chantier et au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FR-07, FR-08</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manuelle / TMS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FR-09, FR-10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FR-11, FR-12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F6</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FR-13, FR-14, FR-15</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amiante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FR-16, FR-17</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F8</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physique (bruit, vibrations, écran)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FR-18, FR-19, FR-20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F9</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Organisation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FR-21, FR-22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Intervention chez le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FR-23, FR-24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biologique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FR-25</w:t>
            </w:r>
          </w:p>
        </w:tc>
      </w:tr>
    </w:tbl>
    <w:p>
      <w:pPr>
        <w:pStyle w:val="Heading3"/>
        <w:keepNext/>
        <w:spacing w:after="100" w:before="200"/>
      </w:pPr>
      <w:r>
        <w:rPr>
          <w:rFonts w:ascii="Arial" w:cs="Arial" w:eastAsia="Arial" w:hAnsi="Arial"/>
          <w:b/>
          <w:bCs/>
          <w:color w:val="5A5B5C"/>
          <w:sz w:val="24"/>
          <w:szCs w:val="24"/>
        </w:rPr>
        <w:t xml:space="preserve">F1 — Risque de chute de hauteur</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d’accident mortel du secteur BTP — Art. R.4323-58 à R.4323-90 du Code du travail ; Recommandations CARSAT R.408 (échafaudages) et R.457 (couvertures).</w:t>
      </w:r>
    </w:p>
    <w:p>
      <w:pPr>
        <w:pStyle w:val="Heading3"/>
        <w:keepNext/>
        <w:spacing w:after="100" w:before="200"/>
      </w:pPr>
      <w:r>
        <w:rPr>
          <w:rFonts w:ascii="Arial" w:cs="Arial" w:eastAsia="Arial" w:hAnsi="Arial"/>
          <w:b/>
          <w:bCs/>
          <w:color w:val="5A5B5C"/>
          <w:sz w:val="24"/>
          <w:szCs w:val="24"/>
        </w:rPr>
        <w:t xml:space="preserve">F2 — Risque électrique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Norme NF C 18-510 ; habilitation obligatoire pour toute intervention sur installation électrique (Art. R.4544-9 et suivants).</w:t>
      </w:r>
    </w:p>
    <w:p>
      <w:pPr>
        <w:pStyle w:val="Heading3"/>
        <w:keepNext/>
        <w:spacing w:after="100" w:before="200"/>
      </w:pPr>
      <w:r>
        <w:rPr>
          <w:rFonts w:ascii="Arial" w:cs="Arial" w:eastAsia="Arial" w:hAnsi="Arial"/>
          <w:b/>
          <w:bCs/>
          <w:color w:val="5A5B5C"/>
          <w:sz w:val="24"/>
          <w:szCs w:val="24"/>
        </w:rPr>
        <w:t xml:space="preserve">F3 — Risque incendie sur chantier et au poste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R.4227-1 à R.4227-57 du Code du travail ; permis de feu obligatoire pour travaux par points chauds.</w:t>
      </w:r>
    </w:p>
    <w:p>
      <w:pPr>
        <w:pStyle w:val="Heading3"/>
        <w:keepNext/>
        <w:spacing w:after="100" w:before="200"/>
      </w:pPr>
      <w:r>
        <w:rPr>
          <w:rFonts w:ascii="Arial" w:cs="Arial" w:eastAsia="Arial" w:hAnsi="Arial"/>
          <w:b/>
          <w:bCs/>
          <w:color w:val="5A5B5C"/>
          <w:sz w:val="24"/>
          <w:szCs w:val="24"/>
        </w:rPr>
        <w:t xml:space="preserve">F4 — Manutention manuelle / TMS</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R.4541-1 et suivants ; charges &gt; 55 kg interdites sans aide mécanique (Art. R.4541-9). Recommandation CARSAT R.482 (manutention BTP).</w:t>
      </w:r>
    </w:p>
    <w:p>
      <w:pPr>
        <w:pStyle w:val="Heading3"/>
        <w:keepNext/>
        <w:spacing w:after="100" w:before="200"/>
      </w:pPr>
      <w:r>
        <w:rPr>
          <w:rFonts w:ascii="Arial" w:cs="Arial" w:eastAsia="Arial" w:hAnsi="Arial"/>
          <w:b/>
          <w:bCs/>
          <w:color w:val="5A5B5C"/>
          <w:sz w:val="24"/>
          <w:szCs w:val="24"/>
        </w:rPr>
        <w:t xml:space="preserve">F5 — Risque routier en mission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de mortalité au travail en France. Recommandation CARSAT R.471 (risques routiers professionnels).</w:t>
      </w:r>
    </w:p>
    <w:p>
      <w:pPr>
        <w:pStyle w:val="Heading3"/>
        <w:keepNext/>
        <w:spacing w:after="100" w:before="200"/>
      </w:pPr>
      <w:r>
        <w:rPr>
          <w:rFonts w:ascii="Arial" w:cs="Arial" w:eastAsia="Arial" w:hAnsi="Arial"/>
          <w:b/>
          <w:bCs/>
          <w:color w:val="5A5B5C"/>
          <w:sz w:val="24"/>
          <w:szCs w:val="24"/>
        </w:rPr>
        <w:t xml:space="preserve">F6 — Risque chimique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R.4412-1 et suivants ; FDS obligatoires ; CMR (cancérogène-mutagène-toxique pour la reproduction) en suivi renforcé.</w:t>
      </w:r>
    </w:p>
    <w:p>
      <w:pPr>
        <w:pStyle w:val="Heading3"/>
        <w:keepNext/>
        <w:spacing w:after="100" w:before="200"/>
      </w:pPr>
      <w:r>
        <w:rPr>
          <w:rFonts w:ascii="Arial" w:cs="Arial" w:eastAsia="Arial" w:hAnsi="Arial"/>
          <w:b/>
          <w:bCs/>
          <w:color w:val="5A5B5C"/>
          <w:sz w:val="24"/>
          <w:szCs w:val="24"/>
        </w:rPr>
        <w:t xml:space="preserve">F7 — Risque amiante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R.4412-94 à R.4412-148 ; arrêté du 23/02/2012 ; sous-section 4 pour interventions sur matériaux susceptibles de libérer des fibres.</w:t>
      </w:r>
    </w:p>
    <w:p>
      <w:pPr>
        <w:pStyle w:val="Heading3"/>
        <w:keepNext/>
        <w:spacing w:after="100" w:before="200"/>
      </w:pPr>
      <w:r>
        <w:rPr>
          <w:rFonts w:ascii="Arial" w:cs="Arial" w:eastAsia="Arial" w:hAnsi="Arial"/>
          <w:b/>
          <w:bCs/>
          <w:color w:val="5A5B5C"/>
          <w:sz w:val="24"/>
          <w:szCs w:val="24"/>
        </w:rPr>
        <w:t xml:space="preserve">F8 — Risque physique (bruit, vibrations, écran)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R.4431-1 (bruit), R.4441-1 (vibrations), R.4542-1 (écrans).</w:t>
      </w:r>
    </w:p>
    <w:p>
      <w:pPr>
        <w:pStyle w:val="Heading3"/>
        <w:keepNext/>
        <w:spacing w:after="100" w:before="200"/>
      </w:pPr>
      <w:r>
        <w:rPr>
          <w:rFonts w:ascii="Arial" w:cs="Arial" w:eastAsia="Arial" w:hAnsi="Arial"/>
          <w:b/>
          <w:bCs/>
          <w:color w:val="5A5B5C"/>
          <w:sz w:val="24"/>
          <w:szCs w:val="24"/>
        </w:rPr>
        <w:t xml:space="preserve">F9 — RPS / Organisation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L.4121-1 et L.4121-2 ; ANI du 02/07/2008 et accord du 19/06/2013 sur la QVT.</w:t>
      </w:r>
    </w:p>
    <w:p>
      <w:pPr>
        <w:pStyle w:val="Heading3"/>
        <w:keepNext/>
        <w:spacing w:after="100" w:before="200"/>
      </w:pPr>
      <w:r>
        <w:rPr>
          <w:rFonts w:ascii="Arial" w:cs="Arial" w:eastAsia="Arial" w:hAnsi="Arial"/>
          <w:b/>
          <w:bCs/>
          <w:color w:val="5A5B5C"/>
          <w:sz w:val="24"/>
          <w:szCs w:val="24"/>
        </w:rPr>
        <w:t xml:space="preserve">F10 — Co-activité / Intervention chez le client</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Plan de prévention (Art. R.4512-6 et suivants) — obligatoire dès 400 h cumulées sur 12 mois OU travaux dangereux. PPSPS sur opérations de catégorie 1 ou 2 (Art. L.4532-2 et suivants).</w:t>
      </w:r>
    </w:p>
    <w:p>
      <w:pPr>
        <w:pStyle w:val="Heading3"/>
        <w:keepNext/>
        <w:spacing w:after="100" w:before="200"/>
      </w:pPr>
      <w:r>
        <w:rPr>
          <w:rFonts w:ascii="Arial" w:cs="Arial" w:eastAsia="Arial" w:hAnsi="Arial"/>
          <w:b/>
          <w:bCs/>
          <w:color w:val="5A5B5C"/>
          <w:sz w:val="24"/>
          <w:szCs w:val="24"/>
        </w:rPr>
        <w:t xml:space="preserve">F11 — Risque biologique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R.4421-1 et suivants ; AES (accident d’exposition au sang) ; agents biologiques groupes 1 à 4.</w:t>
      </w:r>
    </w:p>
    <w:p>
      <w:pPr>
        <w:pStyle w:val="Heading1"/>
        <w:keepNext/>
        <w:pageBreakBefore/>
        <w:spacing w:after="240" w:before="480"/>
      </w:pPr>
      <w:r>
        <w:rPr>
          <w:rFonts w:ascii="Arial" w:cs="Arial" w:eastAsia="Arial" w:hAnsi="Arial"/>
          <w:b/>
          <w:bCs/>
          <w:color w:val="A00D1A"/>
          <w:sz w:val="36"/>
          <w:szCs w:val="36"/>
        </w:rPr>
        <w:t xml:space="preserve">6. Fiches détaillées de risque</w:t>
      </w:r>
    </w:p>
    <w:p>
      <w:pPr>
        <w:spacing w:after="60" w:before="60" w:line="300"/>
      </w:pPr>
      <w:r>
        <w:rPr>
          <w:rFonts w:ascii="Arial" w:cs="Arial" w:eastAsia="Arial" w:hAnsi="Arial"/>
          <w:color w:val="222222"/>
          <w:sz w:val="22"/>
          <w:szCs w:val="22"/>
        </w:rPr>
        <w:t xml:space="preserve">Les 25 fiches ci-dessous détaillent chaque risque identifié pour IM2S. Elles sont organisées par famille (F1 à F11) et numérotées FR-01 à FR-25. Chaque fiche est conçue pour être détachable et utilisable en autonomie sur un chantier (causerie, briefing).</w:t>
      </w:r>
    </w:p>
    <w:p>
      <w:pPr>
        <w:pStyle w:val="Heading2"/>
        <w:keepNext/>
        <w:spacing w:after="140" w:before="280"/>
      </w:pPr>
      <w:r>
        <w:rPr>
          <w:rFonts w:ascii="Arial" w:cs="Arial" w:eastAsia="Arial" w:hAnsi="Arial"/>
          <w:b/>
          <w:bCs/>
          <w:color w:val="1A1A1A"/>
          <w:sz w:val="28"/>
          <w:szCs w:val="28"/>
        </w:rPr>
        <w:t xml:space="preserve">FR-01 — Chute de hauteur depuis échafaudage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échafaudage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Pose d’installations SSI en hauteur (centrales, sirènes, désenfumage, éclairage de sécurité) nécessitant l’utilisation d’échafaudages de pied ou roulants. Risque accru sur chantiers neufs et en rénovation.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mortelle ou invalidante ; traumatismes crâniens, fractures multiples, paraplégie.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Travail en hauteur déclaré « bien maîtrisé » (CR entretien 19/01).</w:t>
      </w:r>
    </w:p>
    <w:p>
      <w:pPr>
        <w:pStyle w:val="ListParagraph"/>
        <w:numPr>
          <w:ilvl w:val="0"/>
          <w:numId w:val="2"/>
        </w:numPr>
        <w:spacing w:after="40" w:before="40" w:line="300"/>
      </w:pPr>
      <w:r>
        <w:rPr>
          <w:rFonts w:ascii="Arial" w:cs="Arial" w:eastAsia="Arial" w:hAnsi="Arial"/>
          <w:color w:val="222222"/>
          <w:sz w:val="22"/>
          <w:szCs w:val="22"/>
        </w:rPr>
        <w:t xml:space="preserve">EPI antichute mis à disposition (charte EPI signée).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Mise en place d’un permis de travail en hauteur formalisé avant chaque intervention au-dessus de 2 m.</w:t>
      </w:r>
    </w:p>
    <w:p>
      <w:pPr>
        <w:pStyle w:val="ListParagraph"/>
        <w:numPr>
          <w:ilvl w:val="0"/>
          <w:numId w:val="2"/>
        </w:numPr>
        <w:spacing w:after="40" w:before="40" w:line="300"/>
      </w:pPr>
      <w:r>
        <w:rPr>
          <w:rFonts w:ascii="Arial" w:cs="Arial" w:eastAsia="Arial" w:hAnsi="Arial"/>
          <w:color w:val="222222"/>
          <w:sz w:val="22"/>
          <w:szCs w:val="22"/>
        </w:rPr>
        <w:t xml:space="preserve">Vérification mensuelle documentée des échafaudages et harnais (registre).</w:t>
      </w:r>
    </w:p>
    <w:p>
      <w:pPr>
        <w:pStyle w:val="ListParagraph"/>
        <w:numPr>
          <w:ilvl w:val="0"/>
          <w:numId w:val="2"/>
        </w:numPr>
        <w:spacing w:after="40" w:before="40" w:line="300"/>
      </w:pPr>
      <w:r>
        <w:rPr>
          <w:rFonts w:ascii="Arial" w:cs="Arial" w:eastAsia="Arial" w:hAnsi="Arial"/>
          <w:color w:val="222222"/>
          <w:sz w:val="22"/>
          <w:szCs w:val="22"/>
        </w:rPr>
        <w:t xml:space="preserve">Formation montage / démontage / utilisation des échafaudages (Recommandation CARSAT R.408) — recyclage triennal.</w:t>
      </w:r>
    </w:p>
    <w:p>
      <w:pPr>
        <w:pStyle w:val="ListParagraph"/>
        <w:numPr>
          <w:ilvl w:val="0"/>
          <w:numId w:val="2"/>
        </w:numPr>
        <w:spacing w:after="40" w:before="40" w:line="300"/>
      </w:pPr>
      <w:r>
        <w:rPr>
          <w:rFonts w:ascii="Arial" w:cs="Arial" w:eastAsia="Arial" w:hAnsi="Arial"/>
          <w:color w:val="222222"/>
          <w:sz w:val="22"/>
          <w:szCs w:val="22"/>
        </w:rPr>
        <w:t xml:space="preserve">Vérification des EPI antichute par personne compétente, périodicité 12 mois maximum (Art. R.4323-99).</w:t>
      </w:r>
    </w:p>
    <w:p>
      <w:pPr>
        <w:pStyle w:val="ListParagraph"/>
        <w:numPr>
          <w:ilvl w:val="0"/>
          <w:numId w:val="2"/>
        </w:numPr>
        <w:spacing w:after="40" w:before="40" w:line="300"/>
      </w:pPr>
      <w:r>
        <w:rPr>
          <w:rFonts w:ascii="Arial" w:cs="Arial" w:eastAsia="Arial" w:hAnsi="Arial"/>
          <w:color w:val="222222"/>
          <w:sz w:val="22"/>
          <w:szCs w:val="22"/>
        </w:rPr>
        <w:t xml:space="preserve">Affichage des consignes de sécurité travail en hauteur sur chaque chantier.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Code du travail Art. R.4323-58 à R.4323-90</w:t>
      </w:r>
    </w:p>
    <w:p>
      <w:pPr>
        <w:pStyle w:val="ListParagraph"/>
        <w:numPr>
          <w:ilvl w:val="0"/>
          <w:numId w:val="2"/>
        </w:numPr>
        <w:spacing w:after="40" w:before="40" w:line="300"/>
      </w:pPr>
      <w:r>
        <w:rPr>
          <w:rFonts w:ascii="Arial" w:cs="Arial" w:eastAsia="Arial" w:hAnsi="Arial"/>
          <w:color w:val="222222"/>
          <w:sz w:val="22"/>
          <w:szCs w:val="22"/>
        </w:rPr>
        <w:t xml:space="preserve">R.4323-99 (vérification EPI)</w:t>
      </w:r>
    </w:p>
    <w:p>
      <w:pPr>
        <w:pStyle w:val="ListParagraph"/>
        <w:numPr>
          <w:ilvl w:val="0"/>
          <w:numId w:val="2"/>
        </w:numPr>
        <w:spacing w:after="40" w:before="40" w:line="300"/>
      </w:pPr>
      <w:r>
        <w:rPr>
          <w:rFonts w:ascii="Arial" w:cs="Arial" w:eastAsia="Arial" w:hAnsi="Arial"/>
          <w:color w:val="222222"/>
          <w:sz w:val="22"/>
          <w:szCs w:val="22"/>
        </w:rPr>
        <w:t xml:space="preserve">Décret n° 2004-924 du 01/09/2004</w:t>
      </w:r>
    </w:p>
    <w:p>
      <w:pPr>
        <w:pStyle w:val="ListParagraph"/>
        <w:numPr>
          <w:ilvl w:val="0"/>
          <w:numId w:val="2"/>
        </w:numPr>
        <w:spacing w:after="40" w:before="40" w:line="300"/>
      </w:pPr>
      <w:r>
        <w:rPr>
          <w:rFonts w:ascii="Arial" w:cs="Arial" w:eastAsia="Arial" w:hAnsi="Arial"/>
          <w:color w:val="222222"/>
          <w:sz w:val="22"/>
          <w:szCs w:val="22"/>
        </w:rPr>
        <w:t xml:space="preserve">Recommandation CARSAT R.408</w:t>
      </w:r>
    </w:p>
    <w:p>
      <w:r>
        <w:br w:type="page"/>
      </w:r>
    </w:p>
    <w:p>
      <w:pPr>
        <w:pStyle w:val="Heading2"/>
        <w:keepNext/>
        <w:spacing w:after="140" w:before="280"/>
      </w:pPr>
      <w:r>
        <w:rPr>
          <w:rFonts w:ascii="Arial" w:cs="Arial" w:eastAsia="Arial" w:hAnsi="Arial"/>
          <w:b/>
          <w:bCs/>
          <w:color w:val="1A1A1A"/>
          <w:sz w:val="28"/>
          <w:szCs w:val="28"/>
        </w:rPr>
        <w:t xml:space="preserve">FR-02 — Chute de hauteur depuis PEMP / nacelle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PEMP / nacelle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plates-formes élévatrices mobiles de personnes (PEMP) pour installation et maintenance SSI dans bâtiments à grande hauteur (entrepôts, halls industriels, ERP de catégorie 1 à 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depuis nacelle, écrasement entre nacelle et obstacle, basculement de la PEMP.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nombre de salariés titulaires du CACES R486.</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Tableau de bord des CACES R486 catégories A et B : nom, date de délivrance, date d’expiration (validité 5 ans).</w:t>
      </w:r>
    </w:p>
    <w:p>
      <w:pPr>
        <w:pStyle w:val="ListParagraph"/>
        <w:numPr>
          <w:ilvl w:val="0"/>
          <w:numId w:val="2"/>
        </w:numPr>
        <w:spacing w:after="40" w:before="40" w:line="300"/>
      </w:pPr>
      <w:r>
        <w:rPr>
          <w:rFonts w:ascii="Arial" w:cs="Arial" w:eastAsia="Arial" w:hAnsi="Arial"/>
          <w:color w:val="222222"/>
          <w:sz w:val="22"/>
          <w:szCs w:val="22"/>
        </w:rPr>
        <w:t xml:space="preserve">Autorisation de conduite délivrée par l’employeur (Art. R.4323-56) — distincte du CACES.</w:t>
      </w:r>
    </w:p>
    <w:p>
      <w:pPr>
        <w:pStyle w:val="ListParagraph"/>
        <w:numPr>
          <w:ilvl w:val="0"/>
          <w:numId w:val="2"/>
        </w:numPr>
        <w:spacing w:after="40" w:before="40" w:line="300"/>
      </w:pPr>
      <w:r>
        <w:rPr>
          <w:rFonts w:ascii="Arial" w:cs="Arial" w:eastAsia="Arial" w:hAnsi="Arial"/>
          <w:color w:val="222222"/>
          <w:sz w:val="22"/>
          <w:szCs w:val="22"/>
        </w:rPr>
        <w:t xml:space="preserve">Vérification d’adéquation avant chaque utilisation (sol stable, dégagement, météo).</w:t>
      </w:r>
    </w:p>
    <w:p>
      <w:pPr>
        <w:pStyle w:val="ListParagraph"/>
        <w:numPr>
          <w:ilvl w:val="0"/>
          <w:numId w:val="2"/>
        </w:numPr>
        <w:spacing w:after="40" w:before="40" w:line="300"/>
      </w:pPr>
      <w:r>
        <w:rPr>
          <w:rFonts w:ascii="Arial" w:cs="Arial" w:eastAsia="Arial" w:hAnsi="Arial"/>
          <w:color w:val="222222"/>
          <w:sz w:val="22"/>
          <w:szCs w:val="22"/>
        </w:rPr>
        <w:t xml:space="preserve">Port systématique du harnais avec longe courte attachée au point d’ancrage de la nacelle.</w:t>
      </w:r>
    </w:p>
    <w:p>
      <w:pPr>
        <w:pStyle w:val="ListParagraph"/>
        <w:numPr>
          <w:ilvl w:val="0"/>
          <w:numId w:val="2"/>
        </w:numPr>
        <w:spacing w:after="40" w:before="40" w:line="300"/>
      </w:pPr>
      <w:r>
        <w:rPr>
          <w:rFonts w:ascii="Arial" w:cs="Arial" w:eastAsia="Arial" w:hAnsi="Arial"/>
          <w:color w:val="222222"/>
          <w:sz w:val="22"/>
          <w:szCs w:val="22"/>
        </w:rPr>
        <w:t xml:space="preserve">Visite générale périodique de la PEMP — 6 mois (Arrêté du 01/03/2004).</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R.4323-55 à R.4323-57</w:t>
      </w:r>
    </w:p>
    <w:p>
      <w:pPr>
        <w:pStyle w:val="ListParagraph"/>
        <w:numPr>
          <w:ilvl w:val="0"/>
          <w:numId w:val="2"/>
        </w:numPr>
        <w:spacing w:after="40" w:before="40" w:line="300"/>
      </w:pPr>
      <w:r>
        <w:rPr>
          <w:rFonts w:ascii="Arial" w:cs="Arial" w:eastAsia="Arial" w:hAnsi="Arial"/>
          <w:color w:val="222222"/>
          <w:sz w:val="22"/>
          <w:szCs w:val="22"/>
        </w:rPr>
        <w:t xml:space="preserve">Arrêté du 01/03/2004 (VGP)</w:t>
      </w:r>
    </w:p>
    <w:p>
      <w:pPr>
        <w:pStyle w:val="ListParagraph"/>
        <w:numPr>
          <w:ilvl w:val="0"/>
          <w:numId w:val="2"/>
        </w:numPr>
        <w:spacing w:after="40" w:before="40" w:line="300"/>
      </w:pPr>
      <w:r>
        <w:rPr>
          <w:rFonts w:ascii="Arial" w:cs="Arial" w:eastAsia="Arial" w:hAnsi="Arial"/>
          <w:color w:val="222222"/>
          <w:sz w:val="22"/>
          <w:szCs w:val="22"/>
        </w:rPr>
        <w:t xml:space="preserve">Recommandation CACES R.486</w:t>
      </w:r>
    </w:p>
    <w:p>
      <w:r>
        <w:br w:type="page"/>
      </w:r>
    </w:p>
    <w:p>
      <w:pPr>
        <w:pStyle w:val="Heading2"/>
        <w:keepNext/>
        <w:spacing w:after="140" w:before="280"/>
      </w:pPr>
      <w:r>
        <w:rPr>
          <w:rFonts w:ascii="Arial" w:cs="Arial" w:eastAsia="Arial" w:hAnsi="Arial"/>
          <w:b/>
          <w:bCs/>
          <w:color w:val="1A1A1A"/>
          <w:sz w:val="28"/>
          <w:szCs w:val="28"/>
        </w:rPr>
        <w:t xml:space="preserve">FR-03 — Chute depuis échelle, escabeau ou marchepied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depuis échelle, escabeau ou marchepied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d’échelles ou escabeaux pour interventions de courte durée (changement détecteur, contrôle visuel BAES) malgré l’interdiction réglementaire d’utiliser une échelle comme poste de travail.</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 faible hauteur mais conséquences graves possibles (fractures, traumatismes).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formalisée identifiée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Note interne rappelant le principe : l’échelle est un moyen d’accès, pas un poste de travail (Art. R.4323-63).</w:t>
      </w:r>
    </w:p>
    <w:p>
      <w:pPr>
        <w:pStyle w:val="ListParagraph"/>
        <w:numPr>
          <w:ilvl w:val="0"/>
          <w:numId w:val="2"/>
        </w:numPr>
        <w:spacing w:after="40" w:before="40" w:line="300"/>
      </w:pPr>
      <w:r>
        <w:rPr>
          <w:rFonts w:ascii="Arial" w:cs="Arial" w:eastAsia="Arial" w:hAnsi="Arial"/>
          <w:color w:val="222222"/>
          <w:sz w:val="22"/>
          <w:szCs w:val="22"/>
        </w:rPr>
        <w:t xml:space="preserve">Inventaire et marquage des échelles et escabeaux ; mise au rebut des matériels endommagés.</w:t>
      </w:r>
    </w:p>
    <w:p>
      <w:pPr>
        <w:pStyle w:val="ListParagraph"/>
        <w:numPr>
          <w:ilvl w:val="0"/>
          <w:numId w:val="2"/>
        </w:numPr>
        <w:spacing w:after="40" w:before="40" w:line="300"/>
      </w:pPr>
      <w:r>
        <w:rPr>
          <w:rFonts w:ascii="Arial" w:cs="Arial" w:eastAsia="Arial" w:hAnsi="Arial"/>
          <w:color w:val="222222"/>
          <w:sz w:val="22"/>
          <w:szCs w:val="22"/>
        </w:rPr>
        <w:t xml:space="preserve">Privilégier les plates-formes individuelles roulantes légères (PIRL) pour interventions ponctuelles en hauteur &lt; 3 m.</w:t>
      </w:r>
    </w:p>
    <w:p>
      <w:pPr>
        <w:pStyle w:val="ListParagraph"/>
        <w:numPr>
          <w:ilvl w:val="0"/>
          <w:numId w:val="2"/>
        </w:numPr>
        <w:spacing w:after="40" w:before="40" w:line="300"/>
      </w:pPr>
      <w:r>
        <w:rPr>
          <w:rFonts w:ascii="Arial" w:cs="Arial" w:eastAsia="Arial" w:hAnsi="Arial"/>
          <w:color w:val="222222"/>
          <w:sz w:val="22"/>
          <w:szCs w:val="22"/>
        </w:rPr>
        <w:t xml:space="preserve">Vérification visuelle quotidienne par l’utilisateur.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R.4323-63</w:t>
      </w:r>
    </w:p>
    <w:p>
      <w:pPr>
        <w:pStyle w:val="ListParagraph"/>
        <w:numPr>
          <w:ilvl w:val="0"/>
          <w:numId w:val="2"/>
        </w:numPr>
        <w:spacing w:after="40" w:before="40" w:line="300"/>
      </w:pPr>
      <w:r>
        <w:rPr>
          <w:rFonts w:ascii="Arial" w:cs="Arial" w:eastAsia="Arial" w:hAnsi="Arial"/>
          <w:color w:val="222222"/>
          <w:sz w:val="22"/>
          <w:szCs w:val="22"/>
        </w:rPr>
        <w:t xml:space="preserve">INRS ED 6110 (échelles, escabeaux)</w:t>
      </w:r>
    </w:p>
    <w:p>
      <w:r>
        <w:br w:type="page"/>
      </w:r>
    </w:p>
    <w:p>
      <w:pPr>
        <w:pStyle w:val="Heading2"/>
        <w:keepNext/>
        <w:spacing w:after="140" w:before="280"/>
      </w:pPr>
      <w:r>
        <w:rPr>
          <w:rFonts w:ascii="Arial" w:cs="Arial" w:eastAsia="Arial" w:hAnsi="Arial"/>
          <w:b/>
          <w:bCs/>
          <w:color w:val="1A1A1A"/>
          <w:sz w:val="28"/>
          <w:szCs w:val="28"/>
        </w:rPr>
        <w:t xml:space="preserve">FR-04 — Chute de plain-pied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plain-pied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Chute liée aux sols glissants, encombrement (câbles, palettes), dénivellations sur chantiers en construction ou en rénovation, et au siège dans les zones de circulation. L’auto-évaluation 2026 note un score de 34/100 sur circulations et déplacements (le plus bas).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Entorses, fractures, contusions, arrêts de travail de plusieurs semaines.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Voies de circulation piétons signalées (auto-éval 2026).</w:t>
      </w:r>
    </w:p>
    <w:p>
      <w:pPr>
        <w:pStyle w:val="ListParagraph"/>
        <w:numPr>
          <w:ilvl w:val="0"/>
          <w:numId w:val="2"/>
        </w:numPr>
        <w:spacing w:after="40" w:before="40" w:line="300"/>
      </w:pPr>
      <w:r>
        <w:rPr>
          <w:rFonts w:ascii="Arial" w:cs="Arial" w:eastAsia="Arial" w:hAnsi="Arial"/>
          <w:color w:val="222222"/>
          <w:sz w:val="22"/>
          <w:szCs w:val="22"/>
        </w:rPr>
        <w:t xml:space="preserve">Escaliers munis de mains courantes et marches antidérapantes.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Plan de circulation interne au siège (siège déménagé en 235 All. Hector Pintus — à formaliser sur ce nouveau site).</w:t>
      </w:r>
    </w:p>
    <w:p>
      <w:pPr>
        <w:pStyle w:val="ListParagraph"/>
        <w:numPr>
          <w:ilvl w:val="0"/>
          <w:numId w:val="2"/>
        </w:numPr>
        <w:spacing w:after="40" w:before="40" w:line="300"/>
      </w:pPr>
      <w:r>
        <w:rPr>
          <w:rFonts w:ascii="Arial" w:cs="Arial" w:eastAsia="Arial" w:hAnsi="Arial"/>
          <w:color w:val="222222"/>
          <w:sz w:val="22"/>
          <w:szCs w:val="22"/>
        </w:rPr>
        <w:t xml:space="preserve">Procédure de rangement et de nettoyage quotidien (zones de stockage, zones encombrées identifiées).</w:t>
      </w:r>
    </w:p>
    <w:p>
      <w:pPr>
        <w:pStyle w:val="ListParagraph"/>
        <w:numPr>
          <w:ilvl w:val="0"/>
          <w:numId w:val="2"/>
        </w:numPr>
        <w:spacing w:after="40" w:before="40" w:line="300"/>
      </w:pPr>
      <w:r>
        <w:rPr>
          <w:rFonts w:ascii="Arial" w:cs="Arial" w:eastAsia="Arial" w:hAnsi="Arial"/>
          <w:color w:val="222222"/>
          <w:sz w:val="22"/>
          <w:szCs w:val="22"/>
        </w:rPr>
        <w:t xml:space="preserve">Port systématique des chaussures de sécurité antidérapantes (S3) sur chantier.</w:t>
      </w:r>
    </w:p>
    <w:p>
      <w:pPr>
        <w:pStyle w:val="ListParagraph"/>
        <w:numPr>
          <w:ilvl w:val="0"/>
          <w:numId w:val="2"/>
        </w:numPr>
        <w:spacing w:after="40" w:before="40" w:line="300"/>
      </w:pPr>
      <w:r>
        <w:rPr>
          <w:rFonts w:ascii="Arial" w:cs="Arial" w:eastAsia="Arial" w:hAnsi="Arial"/>
          <w:color w:val="222222"/>
          <w:sz w:val="22"/>
          <w:szCs w:val="22"/>
        </w:rPr>
        <w:t xml:space="preserve">Signalisation provisoire (panneaux pliants) sur les zones glissantes ou en travaux.</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R.4214-1 et suivants</w:t>
      </w:r>
    </w:p>
    <w:p>
      <w:pPr>
        <w:pStyle w:val="ListParagraph"/>
        <w:numPr>
          <w:ilvl w:val="0"/>
          <w:numId w:val="2"/>
        </w:numPr>
        <w:spacing w:after="40" w:before="40" w:line="300"/>
      </w:pPr>
      <w:r>
        <w:rPr>
          <w:rFonts w:ascii="Arial" w:cs="Arial" w:eastAsia="Arial" w:hAnsi="Arial"/>
          <w:color w:val="222222"/>
          <w:sz w:val="22"/>
          <w:szCs w:val="22"/>
        </w:rPr>
        <w:t xml:space="preserve">Art. R.4224-3</w:t>
      </w:r>
    </w:p>
    <w:p>
      <w:r>
        <w:br w:type="page"/>
      </w:r>
    </w:p>
    <w:p>
      <w:pPr>
        <w:pStyle w:val="Heading2"/>
        <w:keepNext/>
        <w:spacing w:after="140" w:before="280"/>
      </w:pPr>
      <w:r>
        <w:rPr>
          <w:rFonts w:ascii="Arial" w:cs="Arial" w:eastAsia="Arial" w:hAnsi="Arial"/>
          <w:b/>
          <w:bCs/>
          <w:color w:val="1A1A1A"/>
          <w:sz w:val="28"/>
          <w:szCs w:val="28"/>
        </w:rPr>
        <w:t xml:space="preserve">FR-05 — Risque électrique BT — intervention sur installation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BT — intervention sur installation sous tension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Raccordement des centrales SSI sur tableaux BT, interventions de maintenance sur installations sous tension, contrôle de tension de batteries de secours.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Électrisation, électrocution, brûlure thermique, brûlure par arc électrique.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Selon CR entretien 19/01 : 6 personnes sur 9 ont suivi les formations d’habilitation électrique.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3 salariés (sur 9) potentiellement non habilités — à statuer immédiatement : soit habilitation, soit interdiction formelle d’accès aux installations électriques.</w:t>
      </w:r>
    </w:p>
    <w:p>
      <w:pPr>
        <w:pStyle w:val="ListParagraph"/>
        <w:numPr>
          <w:ilvl w:val="0"/>
          <w:numId w:val="2"/>
        </w:numPr>
        <w:spacing w:after="40" w:before="40" w:line="300"/>
      </w:pPr>
      <w:r>
        <w:rPr>
          <w:rFonts w:ascii="Arial" w:cs="Arial" w:eastAsia="Arial" w:hAnsi="Arial"/>
          <w:color w:val="222222"/>
          <w:sz w:val="22"/>
          <w:szCs w:val="22"/>
        </w:rPr>
        <w:t xml:space="preserve">Tableau de bord des habilitations NF C 18-510 : type (B0, B1V, B2V, BR, BC, BE Essai, H0V…), date de délivrance, date de recyclage (3 ans).</w:t>
      </w:r>
    </w:p>
    <w:p>
      <w:pPr>
        <w:pStyle w:val="ListParagraph"/>
        <w:numPr>
          <w:ilvl w:val="0"/>
          <w:numId w:val="2"/>
        </w:numPr>
        <w:spacing w:after="40" w:before="40" w:line="300"/>
      </w:pPr>
      <w:r>
        <w:rPr>
          <w:rFonts w:ascii="Arial" w:cs="Arial" w:eastAsia="Arial" w:hAnsi="Arial"/>
          <w:color w:val="222222"/>
          <w:sz w:val="22"/>
          <w:szCs w:val="22"/>
        </w:rPr>
        <w:t xml:space="preserve">Délivrance écrite des habilitations par l’employeur après formation et avis médical.</w:t>
      </w:r>
    </w:p>
    <w:p>
      <w:pPr>
        <w:pStyle w:val="ListParagraph"/>
        <w:numPr>
          <w:ilvl w:val="0"/>
          <w:numId w:val="2"/>
        </w:numPr>
        <w:spacing w:after="40" w:before="40" w:line="300"/>
      </w:pPr>
      <w:r>
        <w:rPr>
          <w:rFonts w:ascii="Arial" w:cs="Arial" w:eastAsia="Arial" w:hAnsi="Arial"/>
          <w:color w:val="222222"/>
          <w:sz w:val="22"/>
          <w:szCs w:val="22"/>
        </w:rPr>
        <w:t xml:space="preserve">Mise à disposition des EPI électriques : gants isolants classe 0 ou 00, casque, lunettes anti-arc, tapis isolant.</w:t>
      </w:r>
    </w:p>
    <w:p>
      <w:pPr>
        <w:pStyle w:val="ListParagraph"/>
        <w:numPr>
          <w:ilvl w:val="0"/>
          <w:numId w:val="2"/>
        </w:numPr>
        <w:spacing w:after="40" w:before="40" w:line="300"/>
      </w:pPr>
      <w:r>
        <w:rPr>
          <w:rFonts w:ascii="Arial" w:cs="Arial" w:eastAsia="Arial" w:hAnsi="Arial"/>
          <w:color w:val="222222"/>
          <w:sz w:val="22"/>
          <w:szCs w:val="22"/>
        </w:rPr>
        <w:t xml:space="preserve">Procédure de consignation / déconsignation électrique formalisée.</w:t>
      </w:r>
    </w:p>
    <w:p>
      <w:pPr>
        <w:pStyle w:val="ListParagraph"/>
        <w:numPr>
          <w:ilvl w:val="0"/>
          <w:numId w:val="2"/>
        </w:numPr>
        <w:spacing w:after="40" w:before="40" w:line="300"/>
      </w:pPr>
      <w:r>
        <w:rPr>
          <w:rFonts w:ascii="Arial" w:cs="Arial" w:eastAsia="Arial" w:hAnsi="Arial"/>
          <w:color w:val="222222"/>
          <w:sz w:val="22"/>
          <w:szCs w:val="22"/>
        </w:rPr>
        <w:t xml:space="preserve">Recyclage triennal de toutes les habilitations.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Art. R.4544-9 à R.4544-11</w:t>
      </w:r>
    </w:p>
    <w:p>
      <w:pPr>
        <w:pStyle w:val="ListParagraph"/>
        <w:numPr>
          <w:ilvl w:val="0"/>
          <w:numId w:val="2"/>
        </w:numPr>
        <w:spacing w:after="40" w:before="40" w:line="300"/>
      </w:pPr>
      <w:r>
        <w:rPr>
          <w:rFonts w:ascii="Arial" w:cs="Arial" w:eastAsia="Arial" w:hAnsi="Arial"/>
          <w:color w:val="222222"/>
          <w:sz w:val="22"/>
          <w:szCs w:val="22"/>
        </w:rPr>
        <w:t xml:space="preserve">Décret n° 2010-1118 du 22/09/2010</w:t>
      </w:r>
    </w:p>
    <w:p>
      <w:r>
        <w:br w:type="page"/>
      </w:r>
    </w:p>
    <w:p>
      <w:pPr>
        <w:pStyle w:val="Heading2"/>
        <w:keepNext/>
        <w:spacing w:after="140" w:before="280"/>
      </w:pPr>
      <w:r>
        <w:rPr>
          <w:rFonts w:ascii="Arial" w:cs="Arial" w:eastAsia="Arial" w:hAnsi="Arial"/>
          <w:b/>
          <w:bCs/>
          <w:color w:val="1A1A1A"/>
          <w:sz w:val="28"/>
          <w:szCs w:val="28"/>
        </w:rPr>
        <w:t xml:space="preserve">FR-06 — Risque électrique TBT — tirage de câbles et raccordement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TBT — tirage de câbles et raccordement</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Câblage des boucles de détection, raccordement des détecteurs, des déclencheurs manuels et des sirènes en très basse tension (TBT 24V).</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Bien que la TBT soit considérée comme sûre, risque de mauvais raccordement, de court-circuit avec dommage matériel ou incendie, et de mélange involontaire avec circuits BT voisins.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Habilitations BS / BE Manœuvre pour TBT (à vérifier nominativement).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de repérage des circuits avant intervention.</w:t>
      </w:r>
    </w:p>
    <w:p>
      <w:pPr>
        <w:pStyle w:val="ListParagraph"/>
        <w:numPr>
          <w:ilvl w:val="0"/>
          <w:numId w:val="2"/>
        </w:numPr>
        <w:spacing w:after="40" w:before="40" w:line="300"/>
      </w:pPr>
      <w:r>
        <w:rPr>
          <w:rFonts w:ascii="Arial" w:cs="Arial" w:eastAsia="Arial" w:hAnsi="Arial"/>
          <w:color w:val="222222"/>
          <w:sz w:val="22"/>
          <w:szCs w:val="22"/>
        </w:rPr>
        <w:t xml:space="preserve">Étiquetage systématique des câbles posés.</w:t>
      </w:r>
    </w:p>
    <w:p>
      <w:pPr>
        <w:pStyle w:val="ListParagraph"/>
        <w:numPr>
          <w:ilvl w:val="0"/>
          <w:numId w:val="2"/>
        </w:numPr>
        <w:spacing w:after="40" w:before="40" w:line="300"/>
      </w:pPr>
      <w:r>
        <w:rPr>
          <w:rFonts w:ascii="Arial" w:cs="Arial" w:eastAsia="Arial" w:hAnsi="Arial"/>
          <w:color w:val="222222"/>
          <w:sz w:val="22"/>
          <w:szCs w:val="22"/>
        </w:rPr>
        <w:t xml:space="preserve">Formation initiale spécifique SSI (NF S 61-932) — vérifier la qualification "Installateur SSI" par catégorie.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NF S 61-932</w:t>
      </w:r>
    </w:p>
    <w:p>
      <w:r>
        <w:br w:type="page"/>
      </w:r>
    </w:p>
    <w:p>
      <w:pPr>
        <w:pStyle w:val="Heading2"/>
        <w:keepNext/>
        <w:spacing w:after="140" w:before="280"/>
      </w:pPr>
      <w:r>
        <w:rPr>
          <w:rFonts w:ascii="Arial" w:cs="Arial" w:eastAsia="Arial" w:hAnsi="Arial"/>
          <w:b/>
          <w:bCs/>
          <w:color w:val="1A1A1A"/>
          <w:sz w:val="28"/>
          <w:szCs w:val="28"/>
        </w:rPr>
        <w:t xml:space="preserve">FR-07 — Risque incendie — travaux par points chauds (perçage, meulage)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travaux par points chauds (perçage, meulage)</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pour fixation de matériel SSI, meulages ponctuels, soudure occasionnelle, à proximité éventuelle de matériaux combustibles (cloisons sèches, isolants, mobilier).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Incendie sur chantier — gravité majorée si chantier en ERP exploité ou en présence d’autres entreprises.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Permis de feu délivré pour intervenants extérieurs (auto-éval 2026 : « Oui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Délivrer un permis de feu IM2S → IM2S pour les travaux propres à l’entreprise — pas uniquement aux intervenants extérieurs.</w:t>
      </w:r>
    </w:p>
    <w:p>
      <w:pPr>
        <w:pStyle w:val="ListParagraph"/>
        <w:numPr>
          <w:ilvl w:val="0"/>
          <w:numId w:val="2"/>
        </w:numPr>
        <w:spacing w:after="40" w:before="40" w:line="300"/>
      </w:pPr>
      <w:r>
        <w:rPr>
          <w:rFonts w:ascii="Arial" w:cs="Arial" w:eastAsia="Arial" w:hAnsi="Arial"/>
          <w:color w:val="222222"/>
          <w:sz w:val="22"/>
          <w:szCs w:val="22"/>
        </w:rPr>
        <w:t xml:space="preserve">Modèle de permis de feu APSAD (référentiel D9) systématiquement rempli avant intervention.</w:t>
      </w:r>
    </w:p>
    <w:p>
      <w:pPr>
        <w:pStyle w:val="ListParagraph"/>
        <w:numPr>
          <w:ilvl w:val="0"/>
          <w:numId w:val="2"/>
        </w:numPr>
        <w:spacing w:after="40" w:before="40" w:line="300"/>
      </w:pPr>
      <w:r>
        <w:rPr>
          <w:rFonts w:ascii="Arial" w:cs="Arial" w:eastAsia="Arial" w:hAnsi="Arial"/>
          <w:color w:val="222222"/>
          <w:sz w:val="22"/>
          <w:szCs w:val="22"/>
        </w:rPr>
        <w:t xml:space="preserve">Extincteur à eau pulvérisée 6 L et couverture anti-feu présents sur le poste de travail.</w:t>
      </w:r>
    </w:p>
    <w:p>
      <w:pPr>
        <w:pStyle w:val="ListParagraph"/>
        <w:numPr>
          <w:ilvl w:val="0"/>
          <w:numId w:val="2"/>
        </w:numPr>
        <w:spacing w:after="40" w:before="40" w:line="300"/>
      </w:pPr>
      <w:r>
        <w:rPr>
          <w:rFonts w:ascii="Arial" w:cs="Arial" w:eastAsia="Arial" w:hAnsi="Arial"/>
          <w:color w:val="222222"/>
          <w:sz w:val="22"/>
          <w:szCs w:val="22"/>
        </w:rPr>
        <w:t xml:space="preserve">Surveillance après-travaux pendant 2 heures (gardien thermique).</w:t>
      </w:r>
    </w:p>
    <w:p>
      <w:pPr>
        <w:pStyle w:val="ListParagraph"/>
        <w:numPr>
          <w:ilvl w:val="0"/>
          <w:numId w:val="2"/>
        </w:numPr>
        <w:spacing w:after="40" w:before="40" w:line="300"/>
      </w:pPr>
      <w:r>
        <w:rPr>
          <w:rFonts w:ascii="Arial" w:cs="Arial" w:eastAsia="Arial" w:hAnsi="Arial"/>
          <w:color w:val="222222"/>
          <w:sz w:val="22"/>
          <w:szCs w:val="22"/>
        </w:rPr>
        <w:t xml:space="preserve">Mise hors-tension préalable des zones concernées si possible.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APSAD D9</w:t>
      </w:r>
    </w:p>
    <w:p>
      <w:pPr>
        <w:pStyle w:val="ListParagraph"/>
        <w:numPr>
          <w:ilvl w:val="0"/>
          <w:numId w:val="2"/>
        </w:numPr>
        <w:spacing w:after="40" w:before="40" w:line="300"/>
      </w:pPr>
      <w:r>
        <w:rPr>
          <w:rFonts w:ascii="Arial" w:cs="Arial" w:eastAsia="Arial" w:hAnsi="Arial"/>
          <w:color w:val="222222"/>
          <w:sz w:val="22"/>
          <w:szCs w:val="22"/>
        </w:rPr>
        <w:t xml:space="preserve">Art. R.4227-30</w:t>
      </w:r>
    </w:p>
    <w:p>
      <w:pPr>
        <w:pStyle w:val="ListParagraph"/>
        <w:numPr>
          <w:ilvl w:val="0"/>
          <w:numId w:val="2"/>
        </w:numPr>
        <w:spacing w:after="40" w:before="40" w:line="300"/>
      </w:pPr>
      <w:r>
        <w:rPr>
          <w:rFonts w:ascii="Arial" w:cs="Arial" w:eastAsia="Arial" w:hAnsi="Arial"/>
          <w:color w:val="222222"/>
          <w:sz w:val="22"/>
          <w:szCs w:val="22"/>
        </w:rPr>
        <w:t xml:space="preserve">Code de l’assurance — clauses sécurité</w:t>
      </w:r>
    </w:p>
    <w:p>
      <w:r>
        <w:br w:type="page"/>
      </w:r>
    </w:p>
    <w:p>
      <w:pPr>
        <w:pStyle w:val="Heading2"/>
        <w:keepNext/>
        <w:spacing w:after="140" w:before="280"/>
      </w:pPr>
      <w:r>
        <w:rPr>
          <w:rFonts w:ascii="Arial" w:cs="Arial" w:eastAsia="Arial" w:hAnsi="Arial"/>
          <w:b/>
          <w:bCs/>
          <w:color w:val="1A1A1A"/>
          <w:sz w:val="28"/>
          <w:szCs w:val="28"/>
        </w:rPr>
        <w:t xml:space="preserve">FR-08 — Risque incendie — locaux de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locaux de l’entreprise</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Stockage de matériel SSI, batteries, petites quantités de produits d’entretien. Locaux administratifs avec équipements électriques (PC, serveurs, multiprises). Risque RPSF (relativement faible) mais sensible vu l’activité.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Destruction matérielle, perte des données, atteinte à la continuité d’activité, dommages corporels en cas de présence salariés.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Extincteurs en nombre suffisant, vérifiés annuellement (auto-éval 2026 — Oui).</w:t>
      </w:r>
    </w:p>
    <w:p>
      <w:pPr>
        <w:pStyle w:val="ListParagraph"/>
        <w:numPr>
          <w:ilvl w:val="0"/>
          <w:numId w:val="2"/>
        </w:numPr>
        <w:spacing w:after="40" w:before="40" w:line="300"/>
      </w:pPr>
      <w:r>
        <w:rPr>
          <w:rFonts w:ascii="Arial" w:cs="Arial" w:eastAsia="Arial" w:hAnsi="Arial"/>
          <w:color w:val="222222"/>
          <w:sz w:val="22"/>
          <w:szCs w:val="22"/>
        </w:rPr>
        <w:t xml:space="preserve">Plan d’évacuation affiché, balisage des itinéraires en place.</w:t>
      </w:r>
    </w:p>
    <w:p>
      <w:pPr>
        <w:pStyle w:val="ListParagraph"/>
        <w:numPr>
          <w:ilvl w:val="0"/>
          <w:numId w:val="2"/>
        </w:numPr>
        <w:spacing w:after="40" w:before="40" w:line="300"/>
      </w:pPr>
      <w:r>
        <w:rPr>
          <w:rFonts w:ascii="Arial" w:cs="Arial" w:eastAsia="Arial" w:hAnsi="Arial"/>
          <w:color w:val="222222"/>
          <w:sz w:val="22"/>
          <w:szCs w:val="22"/>
        </w:rPr>
        <w:t xml:space="preserve">Vérification annuelle des installations électriques par organisme agréé (Q18) — auto-éval 2026 confirme.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Reprendre les exercices d’évacuation périodiques (auto-éval 2026 : « Non »).</w:t>
      </w:r>
    </w:p>
    <w:p>
      <w:pPr>
        <w:pStyle w:val="ListParagraph"/>
        <w:numPr>
          <w:ilvl w:val="0"/>
          <w:numId w:val="2"/>
        </w:numPr>
        <w:spacing w:after="40" w:before="40" w:line="300"/>
      </w:pPr>
      <w:r>
        <w:rPr>
          <w:rFonts w:ascii="Arial" w:cs="Arial" w:eastAsia="Arial" w:hAnsi="Arial"/>
          <w:color w:val="222222"/>
          <w:sz w:val="22"/>
          <w:szCs w:val="22"/>
        </w:rPr>
        <w:t xml:space="preserve">Vérifier le bon fonctionnement du système d’alarme incendie au siège — auto-éval mentionne « non renseigné ».</w:t>
      </w:r>
    </w:p>
    <w:p>
      <w:pPr>
        <w:pStyle w:val="ListParagraph"/>
        <w:numPr>
          <w:ilvl w:val="0"/>
          <w:numId w:val="2"/>
        </w:numPr>
        <w:spacing w:after="40" w:before="40" w:line="300"/>
      </w:pPr>
      <w:r>
        <w:rPr>
          <w:rFonts w:ascii="Arial" w:cs="Arial" w:eastAsia="Arial" w:hAnsi="Arial"/>
          <w:color w:val="222222"/>
          <w:sz w:val="22"/>
          <w:szCs w:val="22"/>
        </w:rPr>
        <w:t xml:space="preserve">Vérification des portes coupe-feu et de leurs ventouses.</w:t>
      </w:r>
    </w:p>
    <w:p>
      <w:pPr>
        <w:pStyle w:val="ListParagraph"/>
        <w:numPr>
          <w:ilvl w:val="0"/>
          <w:numId w:val="2"/>
        </w:numPr>
        <w:spacing w:after="40" w:before="40" w:line="300"/>
      </w:pPr>
      <w:r>
        <w:rPr>
          <w:rFonts w:ascii="Arial" w:cs="Arial" w:eastAsia="Arial" w:hAnsi="Arial"/>
          <w:color w:val="222222"/>
          <w:sz w:val="22"/>
          <w:szCs w:val="22"/>
        </w:rPr>
        <w:t xml:space="preserve">Formation périodique des salariés à l’utilisation des extincteurs (au moins 1/an).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R.4227-1 à R.4227-57</w:t>
      </w:r>
    </w:p>
    <w:p>
      <w:pPr>
        <w:pStyle w:val="ListParagraph"/>
        <w:numPr>
          <w:ilvl w:val="0"/>
          <w:numId w:val="2"/>
        </w:numPr>
        <w:spacing w:after="40" w:before="40" w:line="300"/>
      </w:pPr>
      <w:r>
        <w:rPr>
          <w:rFonts w:ascii="Arial" w:cs="Arial" w:eastAsia="Arial" w:hAnsi="Arial"/>
          <w:color w:val="222222"/>
          <w:sz w:val="22"/>
          <w:szCs w:val="22"/>
        </w:rPr>
        <w:t xml:space="preserve">Art. R.4227-39 (exercices ≥ 2/an minimum)</w:t>
      </w:r>
    </w:p>
    <w:p>
      <w:r>
        <w:br w:type="page"/>
      </w:r>
    </w:p>
    <w:p>
      <w:pPr>
        <w:pStyle w:val="Heading2"/>
        <w:keepNext/>
        <w:spacing w:after="140" w:before="280"/>
      </w:pPr>
      <w:r>
        <w:rPr>
          <w:rFonts w:ascii="Arial" w:cs="Arial" w:eastAsia="Arial" w:hAnsi="Arial"/>
          <w:b/>
          <w:bCs/>
          <w:color w:val="1A1A1A"/>
          <w:sz w:val="28"/>
          <w:szCs w:val="28"/>
        </w:rPr>
        <w:t xml:space="preserve">FR-09 — Manutention manuelle de charges lourdes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Manutention manuelle de charges lourdes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 UT5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Transport et déplacement de centrales SSI, batteries de secours (jusqu’à 60 kg), extincteurs (jusqu’à 14 kg), bobines de câbles, coffrets. L’auto-éval 2026 indique explicitement que des charges supérieures à 55 kg sont portées.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Lombalgies aiguës, hernies discales, TMS chronique du membre supérieur, sciatique.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Dessertes mobiles et transpalettes mis à disposition.</w:t>
      </w:r>
    </w:p>
    <w:p>
      <w:pPr>
        <w:pStyle w:val="ListParagraph"/>
        <w:numPr>
          <w:ilvl w:val="0"/>
          <w:numId w:val="2"/>
        </w:numPr>
        <w:spacing w:after="40" w:before="40" w:line="300"/>
      </w:pPr>
      <w:r>
        <w:rPr>
          <w:rFonts w:ascii="Arial" w:cs="Arial" w:eastAsia="Arial" w:hAnsi="Arial"/>
          <w:color w:val="222222"/>
          <w:sz w:val="22"/>
          <w:szCs w:val="22"/>
        </w:rPr>
        <w:t xml:space="preserve">Chaussures de sécurité et gants de manutention fournis.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aucun salarié n’a suivi de formation gestes &amp; postures (CR entretien et auto-éval 2026 concordants) — à programmer dans les 6 mois.</w:t>
      </w:r>
    </w:p>
    <w:p>
      <w:pPr>
        <w:pStyle w:val="ListParagraph"/>
        <w:numPr>
          <w:ilvl w:val="0"/>
          <w:numId w:val="2"/>
        </w:numPr>
        <w:spacing w:after="40" w:before="40" w:line="300"/>
      </w:pPr>
      <w:r>
        <w:rPr>
          <w:rFonts w:ascii="Arial" w:cs="Arial" w:eastAsia="Arial" w:hAnsi="Arial"/>
          <w:color w:val="222222"/>
          <w:sz w:val="22"/>
          <w:szCs w:val="22"/>
        </w:rPr>
        <w:t xml:space="preserve">Rappel réglementaire : pas de port manuel &gt; 55 kg pour les hommes et &gt; 25 kg pour les femmes sans aide mécanique (Art. R.4541-9).</w:t>
      </w:r>
    </w:p>
    <w:p>
      <w:pPr>
        <w:pStyle w:val="ListParagraph"/>
        <w:numPr>
          <w:ilvl w:val="0"/>
          <w:numId w:val="2"/>
        </w:numPr>
        <w:spacing w:after="40" w:before="40" w:line="300"/>
      </w:pPr>
      <w:r>
        <w:rPr>
          <w:rFonts w:ascii="Arial" w:cs="Arial" w:eastAsia="Arial" w:hAnsi="Arial"/>
          <w:color w:val="222222"/>
          <w:sz w:val="22"/>
          <w:szCs w:val="22"/>
        </w:rPr>
        <w:t xml:space="preserve">Acquisition d’aides à la manutention spécifiques : diables, sangles de portage 2 personnes pour batteries.</w:t>
      </w:r>
    </w:p>
    <w:p>
      <w:pPr>
        <w:pStyle w:val="ListParagraph"/>
        <w:numPr>
          <w:ilvl w:val="0"/>
          <w:numId w:val="2"/>
        </w:numPr>
        <w:spacing w:after="40" w:before="40" w:line="300"/>
      </w:pPr>
      <w:r>
        <w:rPr>
          <w:rFonts w:ascii="Arial" w:cs="Arial" w:eastAsia="Arial" w:hAnsi="Arial"/>
          <w:color w:val="222222"/>
          <w:sz w:val="22"/>
          <w:szCs w:val="22"/>
        </w:rPr>
        <w:t xml:space="preserve">Réorganisation du magasin : pièces lourdes en bas des rayonnages (auto-éval 2026 : « Non »).</w:t>
      </w:r>
    </w:p>
    <w:p>
      <w:pPr>
        <w:pStyle w:val="ListParagraph"/>
        <w:numPr>
          <w:ilvl w:val="0"/>
          <w:numId w:val="2"/>
        </w:numPr>
        <w:spacing w:after="40" w:before="40" w:line="300"/>
      </w:pPr>
      <w:r>
        <w:rPr>
          <w:rFonts w:ascii="Arial" w:cs="Arial" w:eastAsia="Arial" w:hAnsi="Arial"/>
          <w:color w:val="222222"/>
          <w:sz w:val="22"/>
          <w:szCs w:val="22"/>
        </w:rPr>
        <w:t xml:space="preserve">Suivi médical renforcé pour les salariés manutentionnant régulièrement.</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R.4541-1 à R.4541-11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R.482</w:t>
      </w:r>
    </w:p>
    <w:p>
      <w:r>
        <w:br w:type="page"/>
      </w:r>
    </w:p>
    <w:p>
      <w:pPr>
        <w:pStyle w:val="Heading2"/>
        <w:keepNext/>
        <w:spacing w:after="140" w:before="280"/>
      </w:pPr>
      <w:r>
        <w:rPr>
          <w:rFonts w:ascii="Arial" w:cs="Arial" w:eastAsia="Arial" w:hAnsi="Arial"/>
          <w:b/>
          <w:bCs/>
          <w:color w:val="1A1A1A"/>
          <w:sz w:val="28"/>
          <w:szCs w:val="28"/>
        </w:rPr>
        <w:t xml:space="preserve">FR-10 — TMS et postures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TMS et postures contraintes</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sur écran prolongé (UT1, UT6) ; postures contraintes en hauteur, bras levés, accroupis (UT3, UT4) lors des installations en plafond ou en faux-plafond.</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chronique des épaules, du cou, lombalgies,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 plan TMS formalisé (auto-éval 2026 : « Non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TMS par le médecin du travail (à programmer dans la prochaine fiche d’entreprise).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des postes UT1 (siège réglable, écran à hauteur des yeux, repose-pieds à la demande).</w:t>
      </w:r>
    </w:p>
    <w:p>
      <w:pPr>
        <w:pStyle w:val="ListParagraph"/>
        <w:numPr>
          <w:ilvl w:val="0"/>
          <w:numId w:val="2"/>
        </w:numPr>
        <w:spacing w:after="40" w:before="40" w:line="300"/>
      </w:pPr>
      <w:r>
        <w:rPr>
          <w:rFonts w:ascii="Arial" w:cs="Arial" w:eastAsia="Arial" w:hAnsi="Arial"/>
          <w:color w:val="222222"/>
          <w:sz w:val="22"/>
          <w:szCs w:val="22"/>
        </w:rPr>
        <w:t xml:space="preserve">Rotation des tâches en chantier pour limiter le temps cumulé en position contrainte.</w:t>
      </w:r>
    </w:p>
    <w:p>
      <w:pPr>
        <w:pStyle w:val="ListParagraph"/>
        <w:numPr>
          <w:ilvl w:val="0"/>
          <w:numId w:val="2"/>
        </w:numPr>
        <w:spacing w:after="40" w:before="40" w:line="300"/>
      </w:pPr>
      <w:r>
        <w:rPr>
          <w:rFonts w:ascii="Arial" w:cs="Arial" w:eastAsia="Arial" w:hAnsi="Arial"/>
          <w:color w:val="222222"/>
          <w:sz w:val="22"/>
          <w:szCs w:val="22"/>
        </w:rPr>
        <w:t xml:space="preserve">Formation aux échauffements / étirements professionnels (3 séances initiales puis trimestriel).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 (écrans)</w:t>
      </w:r>
    </w:p>
    <w:p>
      <w:pPr>
        <w:pStyle w:val="ListParagraph"/>
        <w:numPr>
          <w:ilvl w:val="0"/>
          <w:numId w:val="2"/>
        </w:numPr>
        <w:spacing w:after="40" w:before="40" w:line="300"/>
      </w:pPr>
      <w:r>
        <w:rPr>
          <w:rFonts w:ascii="Arial" w:cs="Arial" w:eastAsia="Arial" w:hAnsi="Arial"/>
          <w:color w:val="222222"/>
          <w:sz w:val="22"/>
          <w:szCs w:val="22"/>
        </w:rPr>
        <w:t xml:space="preserve">INRS ED 957 (TMS membre supérieur)</w:t>
      </w:r>
    </w:p>
    <w:p>
      <w:r>
        <w:br w:type="page"/>
      </w:r>
    </w:p>
    <w:p>
      <w:pPr>
        <w:pStyle w:val="Heading2"/>
        <w:keepNext/>
        <w:spacing w:after="140" w:before="280"/>
      </w:pPr>
      <w:r>
        <w:rPr>
          <w:rFonts w:ascii="Arial" w:cs="Arial" w:eastAsia="Arial" w:hAnsi="Arial"/>
          <w:b/>
          <w:bCs/>
          <w:color w:val="1A1A1A"/>
          <w:sz w:val="28"/>
          <w:szCs w:val="28"/>
        </w:rPr>
        <w:t xml:space="preserve">FR-11 — Risque routier en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en mission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Déplacements multi-sites quotidiens en VUL et véhicules de service pour interventions chez les clients (Alpes-Maritimes et au-delà). L’auto-éval 2026 attribue 54/100 sur ce risque et identifie plusieurs points faibles.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grave ou mortel ; 1ère cause de mortalité au travail en France.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Liste des conducteurs tenue à jour.</w:t>
      </w:r>
    </w:p>
    <w:p>
      <w:pPr>
        <w:pStyle w:val="ListParagraph"/>
        <w:numPr>
          <w:ilvl w:val="0"/>
          <w:numId w:val="2"/>
        </w:numPr>
        <w:spacing w:after="40" w:before="40" w:line="300"/>
      </w:pPr>
      <w:r>
        <w:rPr>
          <w:rFonts w:ascii="Arial" w:cs="Arial" w:eastAsia="Arial" w:hAnsi="Arial"/>
          <w:color w:val="222222"/>
          <w:sz w:val="22"/>
          <w:szCs w:val="22"/>
        </w:rPr>
        <w:t xml:space="preserve">Carnet d’entretien des véhicules à jour, contrôles techniques suivis.</w:t>
      </w:r>
    </w:p>
    <w:p>
      <w:pPr>
        <w:pStyle w:val="ListParagraph"/>
        <w:numPr>
          <w:ilvl w:val="0"/>
          <w:numId w:val="2"/>
        </w:numPr>
        <w:spacing w:after="40" w:before="40" w:line="300"/>
      </w:pPr>
      <w:r>
        <w:rPr>
          <w:rFonts w:ascii="Arial" w:cs="Arial" w:eastAsia="Arial" w:hAnsi="Arial"/>
          <w:color w:val="222222"/>
          <w:sz w:val="22"/>
          <w:szCs w:val="22"/>
        </w:rPr>
        <w:t xml:space="preserve">Trousses de secours dans chaque véhicule.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Rédaction d’une charte des déplacements routiers professionnels (interdite au volant : alcool, stupéfiants, téléphone même main-libre, fatigue ; pauses obligatoires toutes les 2 h ; vitesse adaptée).</w:t>
      </w:r>
    </w:p>
    <w:p>
      <w:pPr>
        <w:pStyle w:val="ListParagraph"/>
        <w:numPr>
          <w:ilvl w:val="0"/>
          <w:numId w:val="2"/>
        </w:numPr>
        <w:spacing w:after="40" w:before="40" w:line="300"/>
      </w:pPr>
      <w:r>
        <w:rPr>
          <w:rFonts w:ascii="Arial" w:cs="Arial" w:eastAsia="Arial" w:hAnsi="Arial"/>
          <w:color w:val="222222"/>
          <w:sz w:val="22"/>
          <w:szCs w:val="22"/>
        </w:rPr>
        <w:t xml:space="preserve">Inscription de l’interdiction alcool / stupéfiants au volant dans le règlement intérieur.</w:t>
      </w:r>
    </w:p>
    <w:p>
      <w:pPr>
        <w:pStyle w:val="ListParagraph"/>
        <w:numPr>
          <w:ilvl w:val="0"/>
          <w:numId w:val="2"/>
        </w:numPr>
        <w:spacing w:after="40" w:before="40" w:line="300"/>
      </w:pPr>
      <w:r>
        <w:rPr>
          <w:rFonts w:ascii="Arial" w:cs="Arial" w:eastAsia="Arial" w:hAnsi="Arial"/>
          <w:color w:val="222222"/>
          <w:sz w:val="22"/>
          <w:szCs w:val="22"/>
        </w:rPr>
        <w:t xml:space="preserve">Formation post-permis ou stage prévention CARSAT pour tous les conducteurs (recommandation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Analyse systématique des accidents et constats amiables (auto-éval 2026 : « Non »).</w:t>
      </w:r>
    </w:p>
    <w:p>
      <w:pPr>
        <w:pStyle w:val="ListParagraph"/>
        <w:numPr>
          <w:ilvl w:val="0"/>
          <w:numId w:val="2"/>
        </w:numPr>
        <w:spacing w:after="40" w:before="40" w:line="300"/>
      </w:pPr>
      <w:r>
        <w:rPr>
          <w:rFonts w:ascii="Arial" w:cs="Arial" w:eastAsia="Arial" w:hAnsi="Arial"/>
          <w:color w:val="222222"/>
          <w:sz w:val="22"/>
          <w:szCs w:val="22"/>
        </w:rPr>
        <w:t xml:space="preserve">Affichage de la conduite à tenir en cas d’accident dans chaque véhicule.</w:t>
      </w:r>
    </w:p>
    <w:p>
      <w:pPr>
        <w:pStyle w:val="ListParagraph"/>
        <w:numPr>
          <w:ilvl w:val="0"/>
          <w:numId w:val="2"/>
        </w:numPr>
        <w:spacing w:after="40" w:before="40" w:line="300"/>
      </w:pPr>
      <w:r>
        <w:rPr>
          <w:rFonts w:ascii="Arial" w:cs="Arial" w:eastAsia="Arial" w:hAnsi="Arial"/>
          <w:color w:val="222222"/>
          <w:sz w:val="22"/>
          <w:szCs w:val="22"/>
        </w:rPr>
        <w:t xml:space="preserve">Limitation des déplacements par planification optimisée (regroupement géographique des interventions).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Code de la route</w:t>
      </w:r>
    </w:p>
    <w:p>
      <w:r>
        <w:br w:type="page"/>
      </w:r>
    </w:p>
    <w:p>
      <w:pPr>
        <w:pStyle w:val="Heading2"/>
        <w:keepNext/>
        <w:spacing w:after="140" w:before="280"/>
      </w:pPr>
      <w:r>
        <w:rPr>
          <w:rFonts w:ascii="Arial" w:cs="Arial" w:eastAsia="Arial" w:hAnsi="Arial"/>
          <w:b/>
          <w:bCs/>
          <w:color w:val="1A1A1A"/>
          <w:sz w:val="28"/>
          <w:szCs w:val="28"/>
        </w:rPr>
        <w:t xml:space="preserve">FR-12 — Risque routier — trajet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 trajet domicile-travail</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Trajets domicile-travail réalisés par véhicule personnel ou de service.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pris en charge en accident du travail (Art. L.411-2 CSS) — impact sur le taux AT/MP.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action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Sensibilisation annuelle sur les trajets domicile-travail (campagne CARSAT).</w:t>
      </w:r>
    </w:p>
    <w:p>
      <w:pPr>
        <w:pStyle w:val="ListParagraph"/>
        <w:numPr>
          <w:ilvl w:val="0"/>
          <w:numId w:val="2"/>
        </w:numPr>
        <w:spacing w:after="40" w:before="40" w:line="300"/>
      </w:pPr>
      <w:r>
        <w:rPr>
          <w:rFonts w:ascii="Arial" w:cs="Arial" w:eastAsia="Arial" w:hAnsi="Arial"/>
          <w:color w:val="222222"/>
          <w:sz w:val="22"/>
          <w:szCs w:val="22"/>
        </w:rPr>
        <w:t xml:space="preserve">Information sur le mode de transport le plus sûr selon le lieu de résidence.</w:t>
      </w:r>
    </w:p>
    <w:p>
      <w:pPr>
        <w:pStyle w:val="ListParagraph"/>
        <w:numPr>
          <w:ilvl w:val="0"/>
          <w:numId w:val="2"/>
        </w:numPr>
        <w:spacing w:after="40" w:before="40" w:line="300"/>
      </w:pPr>
      <w:r>
        <w:rPr>
          <w:rFonts w:ascii="Arial" w:cs="Arial" w:eastAsia="Arial" w:hAnsi="Arial"/>
          <w:color w:val="222222"/>
          <w:sz w:val="22"/>
          <w:szCs w:val="22"/>
        </w:rPr>
        <w:t xml:space="preserve">Étude de la faisabilité du télétravail partiel pour UT1.</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L.411-2 du Code de la sécurité sociale</w:t>
      </w:r>
    </w:p>
    <w:p>
      <w:r>
        <w:br w:type="page"/>
      </w:r>
    </w:p>
    <w:p>
      <w:pPr>
        <w:pStyle w:val="Heading2"/>
        <w:keepNext/>
        <w:spacing w:after="140" w:before="280"/>
      </w:pPr>
      <w:r>
        <w:rPr>
          <w:rFonts w:ascii="Arial" w:cs="Arial" w:eastAsia="Arial" w:hAnsi="Arial"/>
          <w:b/>
          <w:bCs/>
          <w:color w:val="1A1A1A"/>
          <w:sz w:val="28"/>
          <w:szCs w:val="28"/>
        </w:rPr>
        <w:t xml:space="preserve">FR-13 — Risque chimique — batteries SSI (acide, Li-ion)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batteries SSI (acide, Li-ion)</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Manipulation, stockage et remplacement de batteries plomb-acide ou lithium-ion (centrales SSI, alarmes, BAES). Risque chimique (acide sulfurique) et risque thermique (Li-ion).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Brûlures chimiques, intoxication, incendie / explosion en cas d’emballement thermique d’une batterie Li-ion endommagée.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Inventaire des produits chimiques tenu à jour (auto-éval 2026 — Oui).</w:t>
      </w:r>
    </w:p>
    <w:p>
      <w:pPr>
        <w:pStyle w:val="ListParagraph"/>
        <w:numPr>
          <w:ilvl w:val="0"/>
          <w:numId w:val="2"/>
        </w:numPr>
        <w:spacing w:after="40" w:before="40" w:line="300"/>
      </w:pPr>
      <w:r>
        <w:rPr>
          <w:rFonts w:ascii="Arial" w:cs="Arial" w:eastAsia="Arial" w:hAnsi="Arial"/>
          <w:color w:val="222222"/>
          <w:sz w:val="22"/>
          <w:szCs w:val="22"/>
        </w:rPr>
        <w:t xml:space="preserve">FDS disponibles, mises à jour transmises au médecin du travail.</w:t>
      </w:r>
    </w:p>
    <w:p>
      <w:pPr>
        <w:pStyle w:val="ListParagraph"/>
        <w:numPr>
          <w:ilvl w:val="0"/>
          <w:numId w:val="2"/>
        </w:numPr>
        <w:spacing w:after="40" w:before="40" w:line="300"/>
      </w:pPr>
      <w:r>
        <w:rPr>
          <w:rFonts w:ascii="Arial" w:cs="Arial" w:eastAsia="Arial" w:hAnsi="Arial"/>
          <w:color w:val="222222"/>
          <w:sz w:val="22"/>
          <w:szCs w:val="22"/>
        </w:rPr>
        <w:t xml:space="preserve">EPI mis à disposition (gants, lunettes).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formalisée de manipulation et remplacement des batteries (port EPI, déconnexion préalable, transport en bac de rétention).</w:t>
      </w:r>
    </w:p>
    <w:p>
      <w:pPr>
        <w:pStyle w:val="ListParagraph"/>
        <w:numPr>
          <w:ilvl w:val="0"/>
          <w:numId w:val="2"/>
        </w:numPr>
        <w:spacing w:after="40" w:before="40" w:line="300"/>
      </w:pPr>
      <w:r>
        <w:rPr>
          <w:rFonts w:ascii="Arial" w:cs="Arial" w:eastAsia="Arial" w:hAnsi="Arial"/>
          <w:color w:val="222222"/>
          <w:sz w:val="22"/>
          <w:szCs w:val="22"/>
        </w:rPr>
        <w:t xml:space="preserve">Filière agréée de recyclage des batteries (DEEE).</w:t>
      </w:r>
    </w:p>
    <w:p>
      <w:pPr>
        <w:pStyle w:val="ListParagraph"/>
        <w:numPr>
          <w:ilvl w:val="0"/>
          <w:numId w:val="2"/>
        </w:numPr>
        <w:spacing w:after="40" w:before="40" w:line="300"/>
      </w:pPr>
      <w:r>
        <w:rPr>
          <w:rFonts w:ascii="Arial" w:cs="Arial" w:eastAsia="Arial" w:hAnsi="Arial"/>
          <w:color w:val="222222"/>
          <w:sz w:val="22"/>
          <w:szCs w:val="22"/>
        </w:rPr>
        <w:t xml:space="preserve">Procédure spécifique batteries Li-ion : stockage dans bac de sable ou armoire dédiée ignifuge, séparation des autres matériaux combustibles.</w:t>
      </w:r>
    </w:p>
    <w:p>
      <w:pPr>
        <w:pStyle w:val="ListParagraph"/>
        <w:numPr>
          <w:ilvl w:val="0"/>
          <w:numId w:val="2"/>
        </w:numPr>
        <w:spacing w:after="40" w:before="40" w:line="300"/>
      </w:pPr>
      <w:r>
        <w:rPr>
          <w:rFonts w:ascii="Arial" w:cs="Arial" w:eastAsia="Arial" w:hAnsi="Arial"/>
          <w:color w:val="222222"/>
          <w:sz w:val="22"/>
          <w:szCs w:val="22"/>
        </w:rPr>
        <w:t xml:space="preserve">Sensibilisation à l’identification d’une batterie défectueuse (gonflement, surchauffe).</w:t>
      </w:r>
    </w:p>
    <w:p>
      <w:pPr>
        <w:pStyle w:val="ListParagraph"/>
        <w:numPr>
          <w:ilvl w:val="0"/>
          <w:numId w:val="2"/>
        </w:numPr>
        <w:spacing w:after="40" w:before="40" w:line="300"/>
      </w:pPr>
      <w:r>
        <w:rPr>
          <w:rFonts w:ascii="Arial" w:cs="Arial" w:eastAsia="Arial" w:hAnsi="Arial"/>
          <w:color w:val="222222"/>
          <w:sz w:val="22"/>
          <w:szCs w:val="22"/>
        </w:rPr>
        <w:t xml:space="preserve">Formation aux gestes de premiers secours en cas de projection acide (rinçage prolongé &gt; 15 min).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à R.4412-93</w:t>
      </w:r>
    </w:p>
    <w:p>
      <w:pPr>
        <w:pStyle w:val="ListParagraph"/>
        <w:numPr>
          <w:ilvl w:val="0"/>
          <w:numId w:val="2"/>
        </w:numPr>
        <w:spacing w:after="40" w:before="40" w:line="300"/>
      </w:pPr>
      <w:r>
        <w:rPr>
          <w:rFonts w:ascii="Arial" w:cs="Arial" w:eastAsia="Arial" w:hAnsi="Arial"/>
          <w:color w:val="222222"/>
          <w:sz w:val="22"/>
          <w:szCs w:val="22"/>
        </w:rPr>
        <w:t xml:space="preserve">INRS ED 6321 (batteries Li-ion)</w:t>
      </w:r>
    </w:p>
    <w:p>
      <w:pPr>
        <w:pStyle w:val="ListParagraph"/>
        <w:numPr>
          <w:ilvl w:val="0"/>
          <w:numId w:val="2"/>
        </w:numPr>
        <w:spacing w:after="40" w:before="40" w:line="300"/>
      </w:pPr>
      <w:r>
        <w:rPr>
          <w:rFonts w:ascii="Arial" w:cs="Arial" w:eastAsia="Arial" w:hAnsi="Arial"/>
          <w:color w:val="222222"/>
          <w:sz w:val="22"/>
          <w:szCs w:val="22"/>
        </w:rPr>
        <w:t xml:space="preserve">Règlement CLP 1272/2008</w:t>
      </w:r>
    </w:p>
    <w:p>
      <w:r>
        <w:br w:type="page"/>
      </w:r>
    </w:p>
    <w:p>
      <w:pPr>
        <w:pStyle w:val="Heading2"/>
        <w:keepNext/>
        <w:spacing w:after="140" w:before="280"/>
      </w:pPr>
      <w:r>
        <w:rPr>
          <w:rFonts w:ascii="Arial" w:cs="Arial" w:eastAsia="Arial" w:hAnsi="Arial"/>
          <w:b/>
          <w:bCs/>
          <w:color w:val="1A1A1A"/>
          <w:sz w:val="28"/>
          <w:szCs w:val="28"/>
        </w:rPr>
        <w:t xml:space="preserve">FR-14 — Risque chimique — colles, solvants, produits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colles, solvants, produits d’entretien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de colles cyanoacrylates, sprays nettoyants pour contacts, produits d’entretien des locaux. Le CR entretien 19/01 indique « pas d’utilisation de produit chimique » mais l’auto-éval 2026 confirme la présence de produits d’entretien — incohérence à clarifier.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Irritations cutanées, allergies de contact, troubles respiratoires.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FDS disponibles, étiquetage conforme, signalétique pictogrammes affichée.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Inventaire exhaustif des produits chimiques utilisés (même occasionnels) → unifier discours entre CR 19/01 et auto-éval 2026.</w:t>
      </w:r>
    </w:p>
    <w:p>
      <w:pPr>
        <w:pStyle w:val="ListParagraph"/>
        <w:numPr>
          <w:ilvl w:val="0"/>
          <w:numId w:val="2"/>
        </w:numPr>
        <w:spacing w:after="40" w:before="40" w:line="300"/>
      </w:pPr>
      <w:r>
        <w:rPr>
          <w:rFonts w:ascii="Arial" w:cs="Arial" w:eastAsia="Arial" w:hAnsi="Arial"/>
          <w:color w:val="222222"/>
          <w:sz w:val="22"/>
          <w:szCs w:val="22"/>
        </w:rPr>
        <w:t xml:space="preserve">Mise à disposition de savons non agressifs et pommades de protection des mains (auto-éval 2026 : « Non »).</w:t>
      </w:r>
    </w:p>
    <w:p>
      <w:pPr>
        <w:pStyle w:val="ListParagraph"/>
        <w:numPr>
          <w:ilvl w:val="0"/>
          <w:numId w:val="2"/>
        </w:numPr>
        <w:spacing w:after="40" w:before="40" w:line="300"/>
      </w:pPr>
      <w:r>
        <w:rPr>
          <w:rFonts w:ascii="Arial" w:cs="Arial" w:eastAsia="Arial" w:hAnsi="Arial"/>
          <w:color w:val="222222"/>
          <w:sz w:val="22"/>
          <w:szCs w:val="22"/>
        </w:rPr>
        <w:t xml:space="preserve">Procédure d’urgence chimique formalisée (douche oculaire, conduite à tenir en cas d’ingestion) — actuellement « non » selon auto-éval.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et suivants</w:t>
      </w:r>
    </w:p>
    <w:p>
      <w:pPr>
        <w:pStyle w:val="ListParagraph"/>
        <w:numPr>
          <w:ilvl w:val="0"/>
          <w:numId w:val="2"/>
        </w:numPr>
        <w:spacing w:after="40" w:before="40" w:line="300"/>
      </w:pPr>
      <w:r>
        <w:rPr>
          <w:rFonts w:ascii="Arial" w:cs="Arial" w:eastAsia="Arial" w:hAnsi="Arial"/>
          <w:color w:val="222222"/>
          <w:sz w:val="22"/>
          <w:szCs w:val="22"/>
        </w:rPr>
        <w:t xml:space="preserve">Règlement REACH</w:t>
      </w:r>
    </w:p>
    <w:p>
      <w:pPr>
        <w:pStyle w:val="ListParagraph"/>
        <w:numPr>
          <w:ilvl w:val="0"/>
          <w:numId w:val="2"/>
        </w:numPr>
        <w:spacing w:after="40" w:before="40" w:line="300"/>
      </w:pPr>
      <w:r>
        <w:rPr>
          <w:rFonts w:ascii="Arial" w:cs="Arial" w:eastAsia="Arial" w:hAnsi="Arial"/>
          <w:color w:val="222222"/>
          <w:sz w:val="22"/>
          <w:szCs w:val="22"/>
        </w:rPr>
        <w:t xml:space="preserve">Règlement CLP</w:t>
      </w:r>
    </w:p>
    <w:p>
      <w:r>
        <w:br w:type="page"/>
      </w:r>
    </w:p>
    <w:p>
      <w:pPr>
        <w:pStyle w:val="Heading2"/>
        <w:keepNext/>
        <w:spacing w:after="140" w:before="280"/>
      </w:pPr>
      <w:r>
        <w:rPr>
          <w:rFonts w:ascii="Arial" w:cs="Arial" w:eastAsia="Arial" w:hAnsi="Arial"/>
          <w:b/>
          <w:bCs/>
          <w:color w:val="1A1A1A"/>
          <w:sz w:val="28"/>
          <w:szCs w:val="28"/>
        </w:rPr>
        <w:t xml:space="preserve">FR-15 — Poussières (perçages cloisons, plâtre, ciment)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Poussières (perçages cloisons, plâtre, ciment)</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Émission de poussières lors des perçages pour fixation de matériel SSI dans cloisons sèches, dalles béton, murs en plâtre. Risque de silicose pour perçages dans matériaux siliceux.</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Atteintes respiratoires aiguës ou chroniques (BPCO, silicose pour expositions répétées au quartz).</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EPI respiratoires (masques FFP2 / FFP3) à vérifier dans le stock.</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Privilégier les perceuses équipées d’aspiration à la source.</w:t>
      </w:r>
    </w:p>
    <w:p>
      <w:pPr>
        <w:pStyle w:val="ListParagraph"/>
        <w:numPr>
          <w:ilvl w:val="0"/>
          <w:numId w:val="2"/>
        </w:numPr>
        <w:spacing w:after="40" w:before="40" w:line="300"/>
      </w:pPr>
      <w:r>
        <w:rPr>
          <w:rFonts w:ascii="Arial" w:cs="Arial" w:eastAsia="Arial" w:hAnsi="Arial"/>
          <w:color w:val="222222"/>
          <w:sz w:val="22"/>
          <w:szCs w:val="22"/>
        </w:rPr>
        <w:t xml:space="preserve">Port obligatoire de masque FFP3 sur perçages &gt; 10 min ou en milieu confiné.</w:t>
      </w:r>
    </w:p>
    <w:p>
      <w:pPr>
        <w:pStyle w:val="ListParagraph"/>
        <w:numPr>
          <w:ilvl w:val="0"/>
          <w:numId w:val="2"/>
        </w:numPr>
        <w:spacing w:after="40" w:before="40" w:line="300"/>
      </w:pPr>
      <w:r>
        <w:rPr>
          <w:rFonts w:ascii="Arial" w:cs="Arial" w:eastAsia="Arial" w:hAnsi="Arial"/>
          <w:color w:val="222222"/>
          <w:sz w:val="22"/>
          <w:szCs w:val="22"/>
        </w:rPr>
        <w:t xml:space="preserve">Mouillage des matériaux quand cela est possible (limite l’émission de poussières).</w:t>
      </w:r>
    </w:p>
    <w:p>
      <w:pPr>
        <w:pStyle w:val="ListParagraph"/>
        <w:numPr>
          <w:ilvl w:val="0"/>
          <w:numId w:val="2"/>
        </w:numPr>
        <w:spacing w:after="40" w:before="40" w:line="300"/>
      </w:pPr>
      <w:r>
        <w:rPr>
          <w:rFonts w:ascii="Arial" w:cs="Arial" w:eastAsia="Arial" w:hAnsi="Arial"/>
          <w:color w:val="222222"/>
          <w:sz w:val="22"/>
          <w:szCs w:val="22"/>
        </w:rPr>
        <w:t xml:space="preserve">Évaluation de l’exposition à la silice cristalline alvéolaire (VLEP : 0,1 mg/m³).</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R.4222-10</w:t>
      </w:r>
    </w:p>
    <w:p>
      <w:pPr>
        <w:pStyle w:val="ListParagraph"/>
        <w:numPr>
          <w:ilvl w:val="0"/>
          <w:numId w:val="2"/>
        </w:numPr>
        <w:spacing w:after="40" w:before="40" w:line="300"/>
      </w:pPr>
      <w:r>
        <w:rPr>
          <w:rFonts w:ascii="Arial" w:cs="Arial" w:eastAsia="Arial" w:hAnsi="Arial"/>
          <w:color w:val="222222"/>
          <w:sz w:val="22"/>
          <w:szCs w:val="22"/>
        </w:rPr>
        <w:t xml:space="preserve">Tableau MP n° 25 (silicose)</w:t>
      </w:r>
    </w:p>
    <w:p>
      <w:pPr>
        <w:pStyle w:val="ListParagraph"/>
        <w:numPr>
          <w:ilvl w:val="0"/>
          <w:numId w:val="2"/>
        </w:numPr>
        <w:spacing w:after="40" w:before="40" w:line="300"/>
      </w:pPr>
      <w:r>
        <w:rPr>
          <w:rFonts w:ascii="Arial" w:cs="Arial" w:eastAsia="Arial" w:hAnsi="Arial"/>
          <w:color w:val="222222"/>
          <w:sz w:val="22"/>
          <w:szCs w:val="22"/>
        </w:rPr>
        <w:t xml:space="preserve">Décret n° 2021-797 (silice cristalline CMR)</w:t>
      </w:r>
    </w:p>
    <w:p>
      <w:r>
        <w:br w:type="page"/>
      </w:r>
    </w:p>
    <w:p>
      <w:pPr>
        <w:pStyle w:val="Heading2"/>
        <w:keepNext/>
        <w:spacing w:after="140" w:before="280"/>
      </w:pPr>
      <w:r>
        <w:rPr>
          <w:rFonts w:ascii="Arial" w:cs="Arial" w:eastAsia="Arial" w:hAnsi="Arial"/>
          <w:b/>
          <w:bCs/>
          <w:color w:val="1A1A1A"/>
          <w:sz w:val="28"/>
          <w:szCs w:val="28"/>
        </w:rPr>
        <w:t xml:space="preserve">FR-16 — Risque amiante (intervention bâtiments antérieurs à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amiante (intervention bâtiments antérieurs à 1997)</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démontages éventuels dans bâtiments antérieurs à 1997 (date d’interdiction totale de l’amiante). Risque d’émission de fibres lors d’intervention sur matériaux susceptibles d’en contenir : flocages, calorifugeages, faux-plafonds, dalles vinyles, joints.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Maladies professionnelles graves à long délai d’incubation : asbestose, mésothéliome, cancer broncho-pulmonaire. Tableaux MP n° 30 et 30 bis.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Auto-éval 2026 mentionne : « Diagnostic amiante : non renseigné » — état réel à clarifier.</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exigence systématique du DTA (Dossier Technique Amiante) du maître d’ouvrage avant toute intervention en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Refus d’intervention si DTA absent ou daté de plus de 3 ans (R.4412-97).</w:t>
      </w:r>
    </w:p>
    <w:p>
      <w:pPr>
        <w:pStyle w:val="ListParagraph"/>
        <w:numPr>
          <w:ilvl w:val="0"/>
          <w:numId w:val="2"/>
        </w:numPr>
        <w:spacing w:after="40" w:before="40" w:line="300"/>
      </w:pPr>
      <w:r>
        <w:rPr>
          <w:rFonts w:ascii="Arial" w:cs="Arial" w:eastAsia="Arial" w:hAnsi="Arial"/>
          <w:color w:val="222222"/>
          <w:sz w:val="22"/>
          <w:szCs w:val="22"/>
        </w:rPr>
        <w:t xml:space="preserve">Formation amiante sous-section 4 (Art. R.4412-117) — formation initiale de 5 jours + recyclage triennal.</w:t>
      </w:r>
    </w:p>
    <w:p>
      <w:pPr>
        <w:pStyle w:val="ListParagraph"/>
        <w:numPr>
          <w:ilvl w:val="0"/>
          <w:numId w:val="2"/>
        </w:numPr>
        <w:spacing w:after="40" w:before="40" w:line="300"/>
      </w:pPr>
      <w:r>
        <w:rPr>
          <w:rFonts w:ascii="Arial" w:cs="Arial" w:eastAsia="Arial" w:hAnsi="Arial"/>
          <w:color w:val="222222"/>
          <w:sz w:val="22"/>
          <w:szCs w:val="22"/>
        </w:rPr>
        <w:t xml:space="preserve">EPI adaptés : masque à ventilation assistée TM3P + combinaison type 5 jetable.</w:t>
      </w:r>
    </w:p>
    <w:p>
      <w:pPr>
        <w:pStyle w:val="ListParagraph"/>
        <w:numPr>
          <w:ilvl w:val="0"/>
          <w:numId w:val="2"/>
        </w:numPr>
        <w:spacing w:after="40" w:before="40" w:line="300"/>
      </w:pPr>
      <w:r>
        <w:rPr>
          <w:rFonts w:ascii="Arial" w:cs="Arial" w:eastAsia="Arial" w:hAnsi="Arial"/>
          <w:color w:val="222222"/>
          <w:sz w:val="22"/>
          <w:szCs w:val="22"/>
        </w:rPr>
        <w:t xml:space="preserve">Procédure de décontamination en sortie de zone.</w:t>
      </w:r>
    </w:p>
    <w:p>
      <w:pPr>
        <w:pStyle w:val="ListParagraph"/>
        <w:numPr>
          <w:ilvl w:val="0"/>
          <w:numId w:val="2"/>
        </w:numPr>
        <w:spacing w:after="40" w:before="40" w:line="300"/>
      </w:pPr>
      <w:r>
        <w:rPr>
          <w:rFonts w:ascii="Arial" w:cs="Arial" w:eastAsia="Arial" w:hAnsi="Arial"/>
          <w:color w:val="222222"/>
          <w:sz w:val="22"/>
          <w:szCs w:val="22"/>
        </w:rPr>
        <w:t xml:space="preserve">Suivi médical post-professionnel.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R.4412-94 à R.4412-148</w:t>
      </w:r>
    </w:p>
    <w:p>
      <w:pPr>
        <w:pStyle w:val="ListParagraph"/>
        <w:numPr>
          <w:ilvl w:val="0"/>
          <w:numId w:val="2"/>
        </w:numPr>
        <w:spacing w:after="40" w:before="40" w:line="300"/>
      </w:pPr>
      <w:r>
        <w:rPr>
          <w:rFonts w:ascii="Arial" w:cs="Arial" w:eastAsia="Arial" w:hAnsi="Arial"/>
          <w:color w:val="222222"/>
          <w:sz w:val="22"/>
          <w:szCs w:val="22"/>
        </w:rPr>
        <w:t xml:space="preserve">Arrêté du 23/02/2012 (sous-section 4)</w:t>
      </w:r>
    </w:p>
    <w:p>
      <w:pPr>
        <w:pStyle w:val="ListParagraph"/>
        <w:numPr>
          <w:ilvl w:val="0"/>
          <w:numId w:val="2"/>
        </w:numPr>
        <w:spacing w:after="40" w:before="40" w:line="300"/>
      </w:pPr>
      <w:r>
        <w:rPr>
          <w:rFonts w:ascii="Arial" w:cs="Arial" w:eastAsia="Arial" w:hAnsi="Arial"/>
          <w:color w:val="222222"/>
          <w:sz w:val="22"/>
          <w:szCs w:val="22"/>
        </w:rPr>
        <w:t xml:space="preserve">Arrêté du 19/08/2011 (formation amiante)</w:t>
      </w:r>
    </w:p>
    <w:p>
      <w:r>
        <w:br w:type="page"/>
      </w:r>
    </w:p>
    <w:p>
      <w:pPr>
        <w:pStyle w:val="Heading2"/>
        <w:keepNext/>
        <w:spacing w:after="140" w:before="280"/>
      </w:pPr>
      <w:r>
        <w:rPr>
          <w:rFonts w:ascii="Arial" w:cs="Arial" w:eastAsia="Arial" w:hAnsi="Arial"/>
          <w:b/>
          <w:bCs/>
          <w:color w:val="1A1A1A"/>
          <w:sz w:val="28"/>
          <w:szCs w:val="28"/>
        </w:rPr>
        <w:t xml:space="preserve">FR-17 — Risque plomb (peintures anciennes)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plomb (peintures anciennes)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dans peintures anciennes (antérieures à 1949 principalement) susceptibles de contenir des sels de plomb (céruse).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Saturnisme, atteintes neurologiques, troubles de la fonction rénale.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du CREP (Constat de Risque d’Exposition au Plomb) pour les bâtiments d’habitation antérieurs à 1949.</w:t>
      </w:r>
    </w:p>
    <w:p>
      <w:pPr>
        <w:pStyle w:val="ListParagraph"/>
        <w:numPr>
          <w:ilvl w:val="0"/>
          <w:numId w:val="2"/>
        </w:numPr>
        <w:spacing w:after="40" w:before="40" w:line="300"/>
      </w:pPr>
      <w:r>
        <w:rPr>
          <w:rFonts w:ascii="Arial" w:cs="Arial" w:eastAsia="Arial" w:hAnsi="Arial"/>
          <w:color w:val="222222"/>
          <w:sz w:val="22"/>
          <w:szCs w:val="22"/>
        </w:rPr>
        <w:t xml:space="preserve">EPI respiratoires FFP3 en cas de doute.</w:t>
      </w:r>
    </w:p>
    <w:p>
      <w:pPr>
        <w:pStyle w:val="ListParagraph"/>
        <w:numPr>
          <w:ilvl w:val="0"/>
          <w:numId w:val="2"/>
        </w:numPr>
        <w:spacing w:after="40" w:before="40" w:line="300"/>
      </w:pPr>
      <w:r>
        <w:rPr>
          <w:rFonts w:ascii="Arial" w:cs="Arial" w:eastAsia="Arial" w:hAnsi="Arial"/>
          <w:color w:val="222222"/>
          <w:sz w:val="22"/>
          <w:szCs w:val="22"/>
        </w:rPr>
        <w:t xml:space="preserve">Suivi médical biologique (plombémie) si exposition avérée.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R.4412-149 à R.4412-164</w:t>
      </w:r>
    </w:p>
    <w:p>
      <w:pPr>
        <w:pStyle w:val="ListParagraph"/>
        <w:numPr>
          <w:ilvl w:val="0"/>
          <w:numId w:val="2"/>
        </w:numPr>
        <w:spacing w:after="40" w:before="40" w:line="300"/>
      </w:pPr>
      <w:r>
        <w:rPr>
          <w:rFonts w:ascii="Arial" w:cs="Arial" w:eastAsia="Arial" w:hAnsi="Arial"/>
          <w:color w:val="222222"/>
          <w:sz w:val="22"/>
          <w:szCs w:val="22"/>
        </w:rPr>
        <w:t xml:space="preserve">Tableau MP n° 1</w:t>
      </w:r>
    </w:p>
    <w:p>
      <w:r>
        <w:br w:type="page"/>
      </w:r>
    </w:p>
    <w:p>
      <w:pPr>
        <w:pStyle w:val="Heading2"/>
        <w:keepNext/>
        <w:spacing w:after="140" w:before="280"/>
      </w:pPr>
      <w:r>
        <w:rPr>
          <w:rFonts w:ascii="Arial" w:cs="Arial" w:eastAsia="Arial" w:hAnsi="Arial"/>
          <w:b/>
          <w:bCs/>
          <w:color w:val="1A1A1A"/>
          <w:sz w:val="28"/>
          <w:szCs w:val="28"/>
        </w:rPr>
        <w:t xml:space="preserve">FR-18 — Bruit — machines portatives et environnement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Bruit — machines portatives et environnement chantier</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Exposition au bruit des perceuses, perforateurs, meuleuses ; environnement chantier en BTP fréquemment &gt; 80 dB(A).</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Surdité professionnelle (tableau MP n° 42), acouphènes, fatigue auditive.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Mesures de bruit réalisées (auto-éval 2026 : « Oui »).</w:t>
      </w:r>
    </w:p>
    <w:p>
      <w:pPr>
        <w:pStyle w:val="ListParagraph"/>
        <w:numPr>
          <w:ilvl w:val="0"/>
          <w:numId w:val="2"/>
        </w:numPr>
        <w:spacing w:after="40" w:before="40" w:line="300"/>
      </w:pPr>
      <w:r>
        <w:rPr>
          <w:rFonts w:ascii="Arial" w:cs="Arial" w:eastAsia="Arial" w:hAnsi="Arial"/>
          <w:color w:val="222222"/>
          <w:sz w:val="22"/>
          <w:szCs w:val="22"/>
        </w:rPr>
        <w:t xml:space="preserve">Travailleurs exposés recensés.</w:t>
      </w:r>
    </w:p>
    <w:p>
      <w:pPr>
        <w:pStyle w:val="ListParagraph"/>
        <w:numPr>
          <w:ilvl w:val="0"/>
          <w:numId w:val="2"/>
        </w:numPr>
        <w:spacing w:after="40" w:before="40" w:line="300"/>
      </w:pPr>
      <w:r>
        <w:rPr>
          <w:rFonts w:ascii="Arial" w:cs="Arial" w:eastAsia="Arial" w:hAnsi="Arial"/>
          <w:color w:val="222222"/>
          <w:sz w:val="22"/>
          <w:szCs w:val="22"/>
        </w:rPr>
        <w:t xml:space="preserve">EPI auditifs mis à disposition.</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Documenter formellement les mesures (postes mesurés, période, méthode) — auto-éval : « non renseigné ».</w:t>
      </w:r>
    </w:p>
    <w:p>
      <w:pPr>
        <w:pStyle w:val="ListParagraph"/>
        <w:numPr>
          <w:ilvl w:val="0"/>
          <w:numId w:val="2"/>
        </w:numPr>
        <w:spacing w:after="40" w:before="40" w:line="300"/>
      </w:pPr>
      <w:r>
        <w:rPr>
          <w:rFonts w:ascii="Arial" w:cs="Arial" w:eastAsia="Arial" w:hAnsi="Arial"/>
          <w:color w:val="222222"/>
          <w:sz w:val="22"/>
          <w:szCs w:val="22"/>
        </w:rPr>
        <w:t xml:space="preserve">Renouveler les mesurages tous les 3 ans (Art. R.4433-7).</w:t>
      </w:r>
    </w:p>
    <w:p>
      <w:pPr>
        <w:pStyle w:val="ListParagraph"/>
        <w:numPr>
          <w:ilvl w:val="0"/>
          <w:numId w:val="2"/>
        </w:numPr>
        <w:spacing w:after="40" w:before="40" w:line="300"/>
      </w:pPr>
      <w:r>
        <w:rPr>
          <w:rFonts w:ascii="Arial" w:cs="Arial" w:eastAsia="Arial" w:hAnsi="Arial"/>
          <w:color w:val="222222"/>
          <w:sz w:val="22"/>
          <w:szCs w:val="22"/>
        </w:rPr>
        <w:t xml:space="preserve">Signalétique « port des protections auditives obligatoire » sur les postes &gt; 85 dB(A).</w:t>
      </w:r>
    </w:p>
    <w:p>
      <w:pPr>
        <w:pStyle w:val="ListParagraph"/>
        <w:numPr>
          <w:ilvl w:val="0"/>
          <w:numId w:val="2"/>
        </w:numPr>
        <w:spacing w:after="40" w:before="40" w:line="300"/>
      </w:pPr>
      <w:r>
        <w:rPr>
          <w:rFonts w:ascii="Arial" w:cs="Arial" w:eastAsia="Arial" w:hAnsi="Arial"/>
          <w:color w:val="222222"/>
          <w:sz w:val="22"/>
          <w:szCs w:val="22"/>
        </w:rPr>
        <w:t xml:space="preserve">Suivi audiométrique des salariés exposés (par le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R.4431-1 à R.4437-4</w:t>
      </w:r>
    </w:p>
    <w:p>
      <w:pPr>
        <w:pStyle w:val="ListParagraph"/>
        <w:numPr>
          <w:ilvl w:val="0"/>
          <w:numId w:val="2"/>
        </w:numPr>
        <w:spacing w:after="40" w:before="40" w:line="300"/>
      </w:pPr>
      <w:r>
        <w:rPr>
          <w:rFonts w:ascii="Arial" w:cs="Arial" w:eastAsia="Arial" w:hAnsi="Arial"/>
          <w:color w:val="222222"/>
          <w:sz w:val="22"/>
          <w:szCs w:val="22"/>
        </w:rPr>
        <w:t xml:space="preserve">Tableau MP n° 42</w:t>
      </w:r>
    </w:p>
    <w:p>
      <w:r>
        <w:br w:type="page"/>
      </w:r>
    </w:p>
    <w:p>
      <w:pPr>
        <w:pStyle w:val="Heading2"/>
        <w:keepNext/>
        <w:spacing w:after="140" w:before="280"/>
      </w:pPr>
      <w:r>
        <w:rPr>
          <w:rFonts w:ascii="Arial" w:cs="Arial" w:eastAsia="Arial" w:hAnsi="Arial"/>
          <w:b/>
          <w:bCs/>
          <w:color w:val="1A1A1A"/>
          <w:sz w:val="28"/>
          <w:szCs w:val="28"/>
        </w:rPr>
        <w:t xml:space="preserve">FR-19 — Vibrations main-bras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Vibrations main-bras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perforateurs, perceuses à percussion, visseuses à choc transmettant des vibrations aux membres supérieurs.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Syndrome de Raynaud (« doigts blancs »), atteintes ostéo-articulaires du poignet et du coude. Tableau MP n° 69.</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mesure d’exposition vibratoire réalisée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des risques vibratoires (auto-éval 2026 : « Non »).</w:t>
      </w:r>
    </w:p>
    <w:p>
      <w:pPr>
        <w:pStyle w:val="ListParagraph"/>
        <w:numPr>
          <w:ilvl w:val="0"/>
          <w:numId w:val="2"/>
        </w:numPr>
        <w:spacing w:after="40" w:before="40" w:line="300"/>
      </w:pPr>
      <w:r>
        <w:rPr>
          <w:rFonts w:ascii="Arial" w:cs="Arial" w:eastAsia="Arial" w:hAnsi="Arial"/>
          <w:color w:val="222222"/>
          <w:sz w:val="22"/>
          <w:szCs w:val="22"/>
        </w:rPr>
        <w:t xml:space="preserve">Privilégier des outillages à valeur de vibration certifiée faible (étiquetage fournisseur).</w:t>
      </w:r>
    </w:p>
    <w:p>
      <w:pPr>
        <w:pStyle w:val="ListParagraph"/>
        <w:numPr>
          <w:ilvl w:val="0"/>
          <w:numId w:val="2"/>
        </w:numPr>
        <w:spacing w:after="40" w:before="40" w:line="300"/>
      </w:pPr>
      <w:r>
        <w:rPr>
          <w:rFonts w:ascii="Arial" w:cs="Arial" w:eastAsia="Arial" w:hAnsi="Arial"/>
          <w:color w:val="222222"/>
          <w:sz w:val="22"/>
          <w:szCs w:val="22"/>
        </w:rPr>
        <w:t xml:space="preserve">Rotation des tâches générant des vibrations entre plusieurs personnes.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premiers signes (fourmillements, picotements).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R.4441-1 à R.4447-1</w:t>
      </w:r>
    </w:p>
    <w:p>
      <w:pPr>
        <w:pStyle w:val="ListParagraph"/>
        <w:numPr>
          <w:ilvl w:val="0"/>
          <w:numId w:val="2"/>
        </w:numPr>
        <w:spacing w:after="40" w:before="40" w:line="300"/>
      </w:pPr>
      <w:r>
        <w:rPr>
          <w:rFonts w:ascii="Arial" w:cs="Arial" w:eastAsia="Arial" w:hAnsi="Arial"/>
          <w:color w:val="222222"/>
          <w:sz w:val="22"/>
          <w:szCs w:val="22"/>
        </w:rPr>
        <w:t xml:space="preserve">Tableau MP n° 69</w:t>
      </w:r>
    </w:p>
    <w:p>
      <w:r>
        <w:br w:type="page"/>
      </w:r>
    </w:p>
    <w:p>
      <w:pPr>
        <w:pStyle w:val="Heading2"/>
        <w:keepNext/>
        <w:spacing w:after="140" w:before="280"/>
      </w:pPr>
      <w:r>
        <w:rPr>
          <w:rFonts w:ascii="Arial" w:cs="Arial" w:eastAsia="Arial" w:hAnsi="Arial"/>
          <w:b/>
          <w:bCs/>
          <w:color w:val="1A1A1A"/>
          <w:sz w:val="28"/>
          <w:szCs w:val="28"/>
        </w:rPr>
        <w:t xml:space="preserve">FR-20 — Travail sur écran prolongé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sur écran prolongé</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administratif et de chargé d’affaires sur poste informatique. L’auto-éval 2026 signale plusieurs items non-conformes (réglage hauteur, distance, pauses).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du cou et des épaules, fatigue visuelle,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Postes informatiques entretenus, branchements vérifiés.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 chaque poste : siège réglable, écran à distance 60-80 cm et à hauteur des yeux, repose-pieds, repose-poignets.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bonnes postures et la nécessité des pauses (pause visuelle 5 min toutes les heures, règle des 20/20/20).</w:t>
      </w:r>
    </w:p>
    <w:p>
      <w:pPr>
        <w:pStyle w:val="ListParagraph"/>
        <w:numPr>
          <w:ilvl w:val="0"/>
          <w:numId w:val="2"/>
        </w:numPr>
        <w:spacing w:after="40" w:before="40" w:line="300"/>
      </w:pPr>
      <w:r>
        <w:rPr>
          <w:rFonts w:ascii="Arial" w:cs="Arial" w:eastAsia="Arial" w:hAnsi="Arial"/>
          <w:color w:val="222222"/>
          <w:sz w:val="22"/>
          <w:szCs w:val="22"/>
        </w:rPr>
        <w:t xml:space="preserve">Examen ophtalmologique au moins tous les 5 ans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w:t>
      </w:r>
    </w:p>
    <w:p>
      <w:r>
        <w:br w:type="page"/>
      </w:r>
    </w:p>
    <w:p>
      <w:pPr>
        <w:pStyle w:val="Heading2"/>
        <w:keepNext/>
        <w:spacing w:after="140" w:before="280"/>
      </w:pPr>
      <w:r>
        <w:rPr>
          <w:rFonts w:ascii="Arial" w:cs="Arial" w:eastAsia="Arial" w:hAnsi="Arial"/>
          <w:b/>
          <w:bCs/>
          <w:color w:val="1A1A1A"/>
          <w:sz w:val="28"/>
          <w:szCs w:val="28"/>
        </w:rPr>
        <w:t xml:space="preserve">FR-21 — RPS — charge mentale et astreintes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RPS — charge mentale et astreintes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Astreintes maintenance SSI 24/7 typiques du métier (contrat de télésurveillance, sécurité incendie ERP). Pression sur les délais d’intervention contractuels. L’auto-éval 2026 attribue 49/100 sur les RPS.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Burn-out, troubles du sommeil, troubles anxio-dépressifs.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(CR entretien 19/01).</w:t>
      </w:r>
    </w:p>
    <w:p>
      <w:pPr>
        <w:pStyle w:val="ListParagraph"/>
        <w:numPr>
          <w:ilvl w:val="0"/>
          <w:numId w:val="2"/>
        </w:numPr>
        <w:spacing w:after="40" w:before="40" w:line="300"/>
      </w:pPr>
      <w:r>
        <w:rPr>
          <w:rFonts w:ascii="Arial" w:cs="Arial" w:eastAsia="Arial" w:hAnsi="Arial"/>
          <w:color w:val="222222"/>
          <w:sz w:val="22"/>
          <w:szCs w:val="22"/>
        </w:rPr>
        <w:t xml:space="preserve">Climat de travail décrit comme bon (auto-éval 2026 — entraide et soutien encadrement).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RÉGLEMENTAIRE : évaluer formellement les RPS dans le DUERP (Art. L.4121-1 — obligation depuis l’accord du 19/06/2013 et le décret du 30/11/2017).</w:t>
      </w:r>
    </w:p>
    <w:p>
      <w:pPr>
        <w:pStyle w:val="ListParagraph"/>
        <w:numPr>
          <w:ilvl w:val="0"/>
          <w:numId w:val="2"/>
        </w:numPr>
        <w:spacing w:after="40" w:before="40" w:line="300"/>
      </w:pPr>
      <w:r>
        <w:rPr>
          <w:rFonts w:ascii="Arial" w:cs="Arial" w:eastAsia="Arial" w:hAnsi="Arial"/>
          <w:color w:val="222222"/>
          <w:sz w:val="22"/>
          <w:szCs w:val="22"/>
        </w:rPr>
        <w:t xml:space="preserve">Mise en place d’une rotation équitable des astreintes (registre).</w:t>
      </w:r>
    </w:p>
    <w:p>
      <w:pPr>
        <w:pStyle w:val="ListParagraph"/>
        <w:numPr>
          <w:ilvl w:val="0"/>
          <w:numId w:val="2"/>
        </w:numPr>
        <w:spacing w:after="40" w:before="40" w:line="300"/>
      </w:pPr>
      <w:r>
        <w:rPr>
          <w:rFonts w:ascii="Arial" w:cs="Arial" w:eastAsia="Arial" w:hAnsi="Arial"/>
          <w:color w:val="222222"/>
          <w:sz w:val="22"/>
          <w:szCs w:val="22"/>
        </w:rPr>
        <w:t xml:space="preserve">Définition de plages de déconnexion (droit à la déconnexion — Loi El Khomri 2016).</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la charge de travail et la conciliation vie pro / vie perso.</w:t>
      </w:r>
    </w:p>
    <w:p>
      <w:pPr>
        <w:pStyle w:val="ListParagraph"/>
        <w:numPr>
          <w:ilvl w:val="0"/>
          <w:numId w:val="2"/>
        </w:numPr>
        <w:spacing w:after="40" w:before="40" w:line="300"/>
      </w:pPr>
      <w:r>
        <w:rPr>
          <w:rFonts w:ascii="Arial" w:cs="Arial" w:eastAsia="Arial" w:hAnsi="Arial"/>
          <w:color w:val="222222"/>
          <w:sz w:val="22"/>
          <w:szCs w:val="22"/>
        </w:rPr>
        <w:t xml:space="preserve">Formation de l’encadrement sur la détection des RPS (auto-éval : « Non »).</w:t>
      </w:r>
    </w:p>
    <w:p>
      <w:pPr>
        <w:pStyle w:val="ListParagraph"/>
        <w:numPr>
          <w:ilvl w:val="0"/>
          <w:numId w:val="2"/>
        </w:numPr>
        <w:spacing w:after="40" w:before="40" w:line="300"/>
      </w:pPr>
      <w:r>
        <w:rPr>
          <w:rFonts w:ascii="Arial" w:cs="Arial" w:eastAsia="Arial" w:hAnsi="Arial"/>
          <w:color w:val="222222"/>
          <w:sz w:val="22"/>
          <w:szCs w:val="22"/>
        </w:rPr>
        <w:t xml:space="preserve">Mise à disposition d’un référent harcèlement (Loi du 05/09/2018 — pour les entreprises ≥ 11 salariés ; à anticiper).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Accord national interprofessionnel du 02/07/2008 (stress)</w:t>
      </w:r>
    </w:p>
    <w:p>
      <w:pPr>
        <w:pStyle w:val="ListParagraph"/>
        <w:numPr>
          <w:ilvl w:val="0"/>
          <w:numId w:val="2"/>
        </w:numPr>
        <w:spacing w:after="40" w:before="40" w:line="300"/>
      </w:pPr>
      <w:r>
        <w:rPr>
          <w:rFonts w:ascii="Arial" w:cs="Arial" w:eastAsia="Arial" w:hAnsi="Arial"/>
          <w:color w:val="222222"/>
          <w:sz w:val="22"/>
          <w:szCs w:val="22"/>
        </w:rPr>
        <w:t xml:space="preserve">Accord du 19/06/2013 (QVT)</w:t>
      </w:r>
    </w:p>
    <w:p>
      <w:pPr>
        <w:pStyle w:val="ListParagraph"/>
        <w:numPr>
          <w:ilvl w:val="0"/>
          <w:numId w:val="2"/>
        </w:numPr>
        <w:spacing w:after="40" w:before="40" w:line="300"/>
      </w:pPr>
      <w:r>
        <w:rPr>
          <w:rFonts w:ascii="Arial" w:cs="Arial" w:eastAsia="Arial" w:hAnsi="Arial"/>
          <w:color w:val="222222"/>
          <w:sz w:val="22"/>
          <w:szCs w:val="22"/>
        </w:rPr>
        <w:t xml:space="preserve">Décret du 30/11/2017</w:t>
      </w:r>
    </w:p>
    <w:p>
      <w:r>
        <w:br w:type="page"/>
      </w:r>
    </w:p>
    <w:p>
      <w:pPr>
        <w:pStyle w:val="Heading2"/>
        <w:keepNext/>
        <w:spacing w:after="140" w:before="280"/>
      </w:pPr>
      <w:r>
        <w:rPr>
          <w:rFonts w:ascii="Arial" w:cs="Arial" w:eastAsia="Arial" w:hAnsi="Arial"/>
          <w:b/>
          <w:bCs/>
          <w:color w:val="1A1A1A"/>
          <w:sz w:val="28"/>
          <w:szCs w:val="28"/>
        </w:rPr>
        <w:t xml:space="preserve">FR-22 — Travail seul / isolé en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seul / isolé en intervention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Techniciens de maintenance amenés à intervenir seuls chez des clients, notamment en horaires décalés ou en astreinte.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Allongement des délais de secours en cas d’accident, risque psychosocial.</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Téléphone professionnel attribué aux techniciens.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DATI (Dispositif d’Alarme du Travailleur Isolé) à étudier pour interventions en local technique isolé ou en hauteur.</w:t>
      </w:r>
    </w:p>
    <w:p>
      <w:pPr>
        <w:pStyle w:val="ListParagraph"/>
        <w:numPr>
          <w:ilvl w:val="0"/>
          <w:numId w:val="2"/>
        </w:numPr>
        <w:spacing w:after="40" w:before="40" w:line="300"/>
      </w:pPr>
      <w:r>
        <w:rPr>
          <w:rFonts w:ascii="Arial" w:cs="Arial" w:eastAsia="Arial" w:hAnsi="Arial"/>
          <w:color w:val="222222"/>
          <w:sz w:val="22"/>
          <w:szCs w:val="22"/>
        </w:rPr>
        <w:t xml:space="preserve">Procédure « point d’étape » téléphonique en début et fin de mission.</w:t>
      </w:r>
    </w:p>
    <w:p>
      <w:pPr>
        <w:pStyle w:val="ListParagraph"/>
        <w:numPr>
          <w:ilvl w:val="0"/>
          <w:numId w:val="2"/>
        </w:numPr>
        <w:spacing w:after="40" w:before="40" w:line="300"/>
      </w:pPr>
      <w:r>
        <w:rPr>
          <w:rFonts w:ascii="Arial" w:cs="Arial" w:eastAsia="Arial" w:hAnsi="Arial"/>
          <w:color w:val="222222"/>
          <w:sz w:val="22"/>
          <w:szCs w:val="22"/>
        </w:rPr>
        <w:t xml:space="preserve">Identification des sites « à risque renforcé » (sous-sols, locaux techniques sans réseau).</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R.4543-19</w:t>
      </w:r>
    </w:p>
    <w:p>
      <w:pPr>
        <w:pStyle w:val="ListParagraph"/>
        <w:numPr>
          <w:ilvl w:val="0"/>
          <w:numId w:val="2"/>
        </w:numPr>
        <w:spacing w:after="40" w:before="40" w:line="300"/>
      </w:pPr>
      <w:r>
        <w:rPr>
          <w:rFonts w:ascii="Arial" w:cs="Arial" w:eastAsia="Arial" w:hAnsi="Arial"/>
          <w:color w:val="222222"/>
          <w:sz w:val="22"/>
          <w:szCs w:val="22"/>
        </w:rPr>
        <w:t xml:space="preserve">INRS ED 985 (travail isolé)</w:t>
      </w:r>
    </w:p>
    <w:p>
      <w:r>
        <w:br w:type="page"/>
      </w:r>
    </w:p>
    <w:p>
      <w:pPr>
        <w:pStyle w:val="Heading2"/>
        <w:keepNext/>
        <w:spacing w:after="140" w:before="280"/>
      </w:pPr>
      <w:r>
        <w:rPr>
          <w:rFonts w:ascii="Arial" w:cs="Arial" w:eastAsia="Arial" w:hAnsi="Arial"/>
          <w:b/>
          <w:bCs/>
          <w:color w:val="1A1A1A"/>
          <w:sz w:val="28"/>
          <w:szCs w:val="28"/>
        </w:rPr>
        <w:t xml:space="preserve">FR-23 — Co-activité — intervention en ERP ou industrie exploités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Co-activité — intervention en ERP ou industrie exploités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chez les clients en présence du public (ERP) ou d’autres entreprises (chantier multi-corps). Cadre du règlement de sécurité ERP (Arrêté du 25/06/1980 modifié).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Risque pour le public (chute d’outil, déclenchement intempestif d’alarme, atteinte à l’évacuation), risque accru pour les salariés (zones de travail mal balisées, interférence avec autres activités).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les pratiques actuelles avec le client.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Balisage systématique des zones d’intervention (rubalise, panneaux).</w:t>
      </w:r>
    </w:p>
    <w:p>
      <w:pPr>
        <w:pStyle w:val="ListParagraph"/>
        <w:numPr>
          <w:ilvl w:val="0"/>
          <w:numId w:val="2"/>
        </w:numPr>
        <w:spacing w:after="40" w:before="40" w:line="300"/>
      </w:pPr>
      <w:r>
        <w:rPr>
          <w:rFonts w:ascii="Arial" w:cs="Arial" w:eastAsia="Arial" w:hAnsi="Arial"/>
          <w:color w:val="222222"/>
          <w:sz w:val="22"/>
          <w:szCs w:val="22"/>
        </w:rPr>
        <w:t xml:space="preserve">Coordination obligatoire avec le responsable d’exploitation client avant toute intervention (mise hors service partielle de l’alarme par exemple).</w:t>
      </w:r>
    </w:p>
    <w:p>
      <w:pPr>
        <w:pStyle w:val="ListParagraph"/>
        <w:numPr>
          <w:ilvl w:val="0"/>
          <w:numId w:val="2"/>
        </w:numPr>
        <w:spacing w:after="40" w:before="40" w:line="300"/>
      </w:pPr>
      <w:r>
        <w:rPr>
          <w:rFonts w:ascii="Arial" w:cs="Arial" w:eastAsia="Arial" w:hAnsi="Arial"/>
          <w:color w:val="222222"/>
          <w:sz w:val="22"/>
          <w:szCs w:val="22"/>
        </w:rPr>
        <w:t xml:space="preserve">Affichage de la nature et durée de l’intervention à proximité.</w:t>
      </w:r>
    </w:p>
    <w:p>
      <w:pPr>
        <w:pStyle w:val="ListParagraph"/>
        <w:numPr>
          <w:ilvl w:val="0"/>
          <w:numId w:val="2"/>
        </w:numPr>
        <w:spacing w:after="40" w:before="40" w:line="300"/>
      </w:pPr>
      <w:r>
        <w:rPr>
          <w:rFonts w:ascii="Arial" w:cs="Arial" w:eastAsia="Arial" w:hAnsi="Arial"/>
          <w:color w:val="222222"/>
          <w:sz w:val="22"/>
          <w:szCs w:val="22"/>
        </w:rPr>
        <w:t xml:space="preserve">Communication aux occupants en cas de test d’évacuation.</w:t>
      </w:r>
    </w:p>
    <w:p>
      <w:pPr>
        <w:pStyle w:val="ListParagraph"/>
        <w:numPr>
          <w:ilvl w:val="0"/>
          <w:numId w:val="2"/>
        </w:numPr>
        <w:spacing w:after="40" w:before="40" w:line="300"/>
      </w:pPr>
      <w:r>
        <w:rPr>
          <w:rFonts w:ascii="Arial" w:cs="Arial" w:eastAsia="Arial" w:hAnsi="Arial"/>
          <w:color w:val="222222"/>
          <w:sz w:val="22"/>
          <w:szCs w:val="22"/>
        </w:rPr>
        <w:t xml:space="preserve">Respect des règles ERP : voies d’évacuation jamais obstruées, dégagements maintenus.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Règlement de sécurité ERP (Arrêté du 25/06/1980)</w:t>
      </w:r>
    </w:p>
    <w:p>
      <w:pPr>
        <w:pStyle w:val="ListParagraph"/>
        <w:numPr>
          <w:ilvl w:val="0"/>
          <w:numId w:val="2"/>
        </w:numPr>
        <w:spacing w:after="40" w:before="40" w:line="300"/>
      </w:pPr>
      <w:r>
        <w:rPr>
          <w:rFonts w:ascii="Arial" w:cs="Arial" w:eastAsia="Arial" w:hAnsi="Arial"/>
          <w:color w:val="222222"/>
          <w:sz w:val="22"/>
          <w:szCs w:val="22"/>
        </w:rPr>
        <w:t xml:space="preserve">Articles MS (Moyens de Secours)</w:t>
      </w:r>
    </w:p>
    <w:p>
      <w:pPr>
        <w:pStyle w:val="ListParagraph"/>
        <w:numPr>
          <w:ilvl w:val="0"/>
          <w:numId w:val="2"/>
        </w:numPr>
        <w:spacing w:after="40" w:before="40" w:line="300"/>
      </w:pPr>
      <w:r>
        <w:rPr>
          <w:rFonts w:ascii="Arial" w:cs="Arial" w:eastAsia="Arial" w:hAnsi="Arial"/>
          <w:color w:val="222222"/>
          <w:sz w:val="22"/>
          <w:szCs w:val="22"/>
        </w:rPr>
        <w:t xml:space="preserve">Art. R.4227-1 et suivants</w:t>
      </w:r>
    </w:p>
    <w:p>
      <w:r>
        <w:br w:type="page"/>
      </w:r>
    </w:p>
    <w:p>
      <w:pPr>
        <w:pStyle w:val="Heading2"/>
        <w:keepNext/>
        <w:spacing w:after="140" w:before="280"/>
      </w:pPr>
      <w:r>
        <w:rPr>
          <w:rFonts w:ascii="Arial" w:cs="Arial" w:eastAsia="Arial" w:hAnsi="Arial"/>
          <w:b/>
          <w:bCs/>
          <w:color w:val="1A1A1A"/>
          <w:sz w:val="28"/>
          <w:szCs w:val="28"/>
        </w:rPr>
        <w:t xml:space="preserve">FR-24 — Entreprise extérieure —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Entreprise extérieure — Plan de prévention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IM2S intervient comme entreprise extérieure chez ses clients. Obligation de plan de prévention (Art. R.4512-6 et suivants) dès 400 h cumulées sur 12 mois sur un même site OU pour travaux dangereux figurant sur la liste fixée par l’arrêté du 19/03/1993.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Mise en cause de la responsabilité pénale du chef d’entreprise en cas d’accident sans plan de prévention écrit. Sanction administrative et financière.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Protocole de sécurité conclu avec entreprises extérieures (auto-éval 2026 : Oui — mais à clarifier — il s’agit du protocole côté IM2S « entreprise d’accueil ». Ce n’est pas la même chose que le plan de prévention « entreprise extérieure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élaborer un MODÈLE de plan de prévention IM2S pour chaque intervention récurrente chez un client (Art. R.4512-7).</w:t>
      </w:r>
    </w:p>
    <w:p>
      <w:pPr>
        <w:pStyle w:val="ListParagraph"/>
        <w:numPr>
          <w:ilvl w:val="0"/>
          <w:numId w:val="2"/>
        </w:numPr>
        <w:spacing w:after="40" w:before="40" w:line="300"/>
      </w:pPr>
      <w:r>
        <w:rPr>
          <w:rFonts w:ascii="Arial" w:cs="Arial" w:eastAsia="Arial" w:hAnsi="Arial"/>
          <w:color w:val="222222"/>
          <w:sz w:val="22"/>
          <w:szCs w:val="22"/>
        </w:rPr>
        <w:t xml:space="preserve">Inspection commune préalable obligatoire avant toute intervention dépassant les seuils.</w:t>
      </w:r>
    </w:p>
    <w:p>
      <w:pPr>
        <w:pStyle w:val="ListParagraph"/>
        <w:numPr>
          <w:ilvl w:val="0"/>
          <w:numId w:val="2"/>
        </w:numPr>
        <w:spacing w:after="40" w:before="40" w:line="300"/>
      </w:pPr>
      <w:r>
        <w:rPr>
          <w:rFonts w:ascii="Arial" w:cs="Arial" w:eastAsia="Arial" w:hAnsi="Arial"/>
          <w:color w:val="222222"/>
          <w:sz w:val="22"/>
          <w:szCs w:val="22"/>
        </w:rPr>
        <w:t xml:space="preserve">Tenir un registre des plans de prévention signés.</w:t>
      </w:r>
    </w:p>
    <w:p>
      <w:pPr>
        <w:pStyle w:val="ListParagraph"/>
        <w:numPr>
          <w:ilvl w:val="0"/>
          <w:numId w:val="2"/>
        </w:numPr>
        <w:spacing w:after="40" w:before="40" w:line="300"/>
      </w:pPr>
      <w:r>
        <w:rPr>
          <w:rFonts w:ascii="Arial" w:cs="Arial" w:eastAsia="Arial" w:hAnsi="Arial"/>
          <w:color w:val="222222"/>
          <w:sz w:val="22"/>
          <w:szCs w:val="22"/>
        </w:rPr>
        <w:t xml:space="preserve">Pour les opérations de bâtiment de catégorie 1 ou 2 : participation au PGCSPS (Plan Général de Coordination SPS) et rédaction d’un PPSPS (Plan Particulier de SPS) — Art. L.4532-9.</w:t>
      </w:r>
    </w:p>
    <w:p>
      <w:pPr>
        <w:pStyle w:val="ListParagraph"/>
        <w:numPr>
          <w:ilvl w:val="0"/>
          <w:numId w:val="2"/>
        </w:numPr>
        <w:spacing w:after="40" w:before="40" w:line="300"/>
      </w:pPr>
      <w:r>
        <w:rPr>
          <w:rFonts w:ascii="Arial" w:cs="Arial" w:eastAsia="Arial" w:hAnsi="Arial"/>
          <w:color w:val="222222"/>
          <w:sz w:val="22"/>
          <w:szCs w:val="22"/>
        </w:rPr>
        <w:t xml:space="preserve">Carte BTP obligatoire pour tous les salariés intervenant sur chantiers BTP (Art. R.8291-1 et suivants — décret n° 2016-175).</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R.4512-6 à R.4512-16</w:t>
      </w:r>
    </w:p>
    <w:p>
      <w:pPr>
        <w:pStyle w:val="ListParagraph"/>
        <w:numPr>
          <w:ilvl w:val="0"/>
          <w:numId w:val="2"/>
        </w:numPr>
        <w:spacing w:after="40" w:before="40" w:line="300"/>
      </w:pPr>
      <w:r>
        <w:rPr>
          <w:rFonts w:ascii="Arial" w:cs="Arial" w:eastAsia="Arial" w:hAnsi="Arial"/>
          <w:color w:val="222222"/>
          <w:sz w:val="22"/>
          <w:szCs w:val="22"/>
        </w:rPr>
        <w:t xml:space="preserve">Arrêté du 19/03/1993 (travaux dangereux)</w:t>
      </w:r>
    </w:p>
    <w:p>
      <w:pPr>
        <w:pStyle w:val="ListParagraph"/>
        <w:numPr>
          <w:ilvl w:val="0"/>
          <w:numId w:val="2"/>
        </w:numPr>
        <w:spacing w:after="40" w:before="40" w:line="300"/>
      </w:pPr>
      <w:r>
        <w:rPr>
          <w:rFonts w:ascii="Arial" w:cs="Arial" w:eastAsia="Arial" w:hAnsi="Arial"/>
          <w:color w:val="222222"/>
          <w:sz w:val="22"/>
          <w:szCs w:val="22"/>
        </w:rPr>
        <w:t xml:space="preserve">Art. L.4532-2 à L.4532-18 (SPS)</w:t>
      </w:r>
    </w:p>
    <w:p>
      <w:pPr>
        <w:pStyle w:val="ListParagraph"/>
        <w:numPr>
          <w:ilvl w:val="0"/>
          <w:numId w:val="2"/>
        </w:numPr>
        <w:spacing w:after="40" w:before="40" w:line="300"/>
      </w:pPr>
      <w:r>
        <w:rPr>
          <w:rFonts w:ascii="Arial" w:cs="Arial" w:eastAsia="Arial" w:hAnsi="Arial"/>
          <w:color w:val="222222"/>
          <w:sz w:val="22"/>
          <w:szCs w:val="22"/>
        </w:rPr>
        <w:t xml:space="preserve">Art. R.8291-1 (carte BTP)</w:t>
      </w:r>
    </w:p>
    <w:p>
      <w:r>
        <w:br w:type="page"/>
      </w:r>
    </w:p>
    <w:p>
      <w:pPr>
        <w:pStyle w:val="Heading2"/>
        <w:keepNext/>
        <w:spacing w:after="140" w:before="280"/>
      </w:pPr>
      <w:r>
        <w:rPr>
          <w:rFonts w:ascii="Arial" w:cs="Arial" w:eastAsia="Arial" w:hAnsi="Arial"/>
          <w:b/>
          <w:bCs/>
          <w:color w:val="1A1A1A"/>
          <w:sz w:val="28"/>
          <w:szCs w:val="28"/>
        </w:rPr>
        <w:t xml:space="preserve">FR-25 — Risque biologique — AES et environnements souillés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biologique — AES et environnements souillés</w:t>
            </w:r>
          </w:p>
        </w:tc>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F11 — Risque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ponctuelles en locaux techniques ou caves susceptibles d’héberger nuisibles (rongeurs, pigeons), poussières organiques, déjections. Risque d’AES en cas de coupure avec outil souillé.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Tétanos, leptospirose, ornithose, infections cutanées.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Trousse de secours dans les véhicules.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de la vaccination antitétanique de tous les salariés intervenant sur chantier (rappel tous les 20 ans).</w:t>
      </w:r>
    </w:p>
    <w:p>
      <w:pPr>
        <w:pStyle w:val="ListParagraph"/>
        <w:numPr>
          <w:ilvl w:val="0"/>
          <w:numId w:val="2"/>
        </w:numPr>
        <w:spacing w:after="40" w:before="40" w:line="300"/>
      </w:pPr>
      <w:r>
        <w:rPr>
          <w:rFonts w:ascii="Arial" w:cs="Arial" w:eastAsia="Arial" w:hAnsi="Arial"/>
          <w:color w:val="222222"/>
          <w:sz w:val="22"/>
          <w:szCs w:val="22"/>
        </w:rPr>
        <w:t xml:space="preserve">Procédure AES (rinçage prolongé &gt; 15 min, antisepsie, consultation médicale dans les 4 h).</w:t>
      </w:r>
    </w:p>
    <w:p>
      <w:pPr>
        <w:pStyle w:val="ListParagraph"/>
        <w:numPr>
          <w:ilvl w:val="0"/>
          <w:numId w:val="2"/>
        </w:numPr>
        <w:spacing w:after="40" w:before="40" w:line="300"/>
      </w:pPr>
      <w:r>
        <w:rPr>
          <w:rFonts w:ascii="Arial" w:cs="Arial" w:eastAsia="Arial" w:hAnsi="Arial"/>
          <w:color w:val="222222"/>
          <w:sz w:val="22"/>
          <w:szCs w:val="22"/>
        </w:rPr>
        <w:t xml:space="preserve">Trousse spécifique AES (chlorhexidine ou dakin) — à ajouter aux trousses véhicules.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R.4421-1 à R.4427-5</w:t>
      </w:r>
    </w:p>
    <w:p>
      <w:pPr>
        <w:pStyle w:val="ListParagraph"/>
        <w:numPr>
          <w:ilvl w:val="0"/>
          <w:numId w:val="2"/>
        </w:numPr>
        <w:spacing w:after="40" w:before="40" w:line="300"/>
      </w:pPr>
      <w:r>
        <w:rPr>
          <w:rFonts w:ascii="Arial" w:cs="Arial" w:eastAsia="Arial" w:hAnsi="Arial"/>
          <w:color w:val="222222"/>
          <w:sz w:val="22"/>
          <w:szCs w:val="22"/>
        </w:rPr>
        <w:t xml:space="preserve">Tableau MP n° 7 (tétanos)</w:t>
      </w:r>
    </w:p>
    <w:p>
      <w:pPr>
        <w:pStyle w:val="ListParagraph"/>
        <w:numPr>
          <w:ilvl w:val="0"/>
          <w:numId w:val="2"/>
        </w:numPr>
        <w:spacing w:after="40" w:before="40" w:line="300"/>
      </w:pPr>
      <w:r>
        <w:rPr>
          <w:rFonts w:ascii="Arial" w:cs="Arial" w:eastAsia="Arial" w:hAnsi="Arial"/>
          <w:color w:val="222222"/>
          <w:sz w:val="22"/>
          <w:szCs w:val="22"/>
        </w:rPr>
        <w:t xml:space="preserve">Tableau MP n° 19 (leptospirose)</w:t>
      </w:r>
    </w:p>
    <w:p>
      <w:pPr>
        <w:pStyle w:val="Heading1"/>
        <w:keepNext/>
        <w:pageBreakBefore/>
        <w:spacing w:after="240" w:before="480"/>
      </w:pPr>
      <w:r>
        <w:rPr>
          <w:rFonts w:ascii="Arial" w:cs="Arial" w:eastAsia="Arial" w:hAnsi="Arial"/>
          <w:b/>
          <w:bCs/>
          <w:color w:val="A00D1A"/>
          <w:sz w:val="36"/>
          <w:szCs w:val="36"/>
        </w:rPr>
        <w:t xml:space="preserve">7. Plan d’action et indicateurs de suivi</w:t>
      </w:r>
    </w:p>
    <w:p>
      <w:pPr>
        <w:pStyle w:val="Heading2"/>
        <w:keepNext/>
        <w:spacing w:after="140" w:before="280"/>
      </w:pPr>
      <w:r>
        <w:rPr>
          <w:rFonts w:ascii="Arial" w:cs="Arial" w:eastAsia="Arial" w:hAnsi="Arial"/>
          <w:b/>
          <w:bCs/>
          <w:color w:val="1A1A1A"/>
          <w:sz w:val="28"/>
          <w:szCs w:val="28"/>
        </w:rPr>
        <w:t xml:space="preserve">7.1. Plan d’action priorisé</w:t>
      </w:r>
    </w:p>
    <w:p>
      <w:pPr>
        <w:spacing w:after="60" w:before="60" w:line="300"/>
      </w:pPr>
      <w:r>
        <w:rPr>
          <w:rFonts w:ascii="Arial" w:cs="Arial" w:eastAsia="Arial" w:hAnsi="Arial"/>
          <w:color w:val="222222"/>
          <w:sz w:val="22"/>
          <w:szCs w:val="22"/>
        </w:rPr>
        <w:t xml:space="preserve">Les actions sont triées par échéance, de la plus urgente (immédiat / 30 jours) à la plus lointaine (12 mois). Chaque action est rattachée à une fiche de risque (FR-XX) et porte un nom de responsable. La colonne « Indicateur » permet le suivi de réalisation à chaque revue.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500"/>
        <w:gridCol w:w="1626"/>
      </w:tblGrid>
      <w:tr>
        <w:trPr>
          <w:tblHeader/>
        </w:trPr>
        <w:tc>
          <w:tcPr>
            <w:tcW w:type="dxa" w:w="9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6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Mise en place d’un permis de travail en hauteur formalisé avant chaque intervention au-dessus de 2 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3 salariés (sur 9) potentiellement non habilités — à statuer immédiatement : soit habilitation, soit interdiction formelle d’accès aux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exigence systématique du DTA (Dossier Technique Amiante) du maître d’ouvrage avant toute intervention en bâtiment antérieur à 1997.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élaborer un MODÈLE de plan de prévention IM2S pour chaque intervention récurrente chez un client (Art. R.4512-7).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de bord des CACES R486 catégories A et B : nom, date de délivrance, date d’expiration (validité 5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circulation interne au siège (siège déménagé en 235 All. Hector Pintus — à formaliser sur ce nouveau site).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Délivrer un permis de feu IM2S → IM2S pour les travaux propres à l’entreprise — pas uniquement aux intervenants extérieurs.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Rédaction d’une charte des déplacements routiers professionnels (interdite au volant : alcool, stupéfiants, téléphone même main-libre, fatigue ; pauses obligatoires toutes les 2 h ; vitesse adaptée).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Balisage systématique des zones d’intervention (rubalise, panneaux).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Note interne rappelant le principe : l’échelle est un moyen d’accès, pas un poste de travail (Art. R.4323-63).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de repérage des circuits avant intervention.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Reprendre les exercices d’évacuation périodiques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aucun salarié n’a suivi de formation gestes &amp; postures (CR entretien et auto-éval 2026 concordants) — à programmer dans les 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TMS par le médecin du travail (à programmer dans la prochaine fiche d’entreprise).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formalisée de manipulation et remplacement des batteries (port EPI, déconnexion préalable, transport en bac de rétention).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Inventaire exhaustif des produits chimiques utilisés (même occasionnels) → unifier discours entre CR 19/01 et auto-éval 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Privilégier les perceuses équipées d’aspiration à la 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Aménagement ergonomique de chaque poste : siège réglable, écran à distance 60-80 cm et à hauteur des yeux, repose-pieds, repose-poignets.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RÉGLEMENTAIRE : évaluer formellement les RPS dans le DUERP (Art. L.4121-1 — obligation depuis l’accord du 19/06/2013 et le décret du 30/11/2017).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DATI (Dispositif d’Alarme du Travailleur Isolé) à étudier pour interventions en local technique isolé ou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de la vaccination antitétanique de tous les salariés intervenant sur chantier (rappel tous les 20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Sensibilisation annuelle sur les trajets domicile-travail (campagne CARSAT).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du CREP (Constat de Risque d’Exposition au Plomb) pour les bâtiments d’habitation antérieurs à 1949.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Documenter formellement les mesures (postes mesurés, période, méthode) — auto-éval : « non renseigné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des risques vibratoires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bl>
    <w:p>
      <w:pPr>
        <w:pStyle w:val="Heading2"/>
        <w:keepNext/>
        <w:spacing w:after="140" w:before="280"/>
      </w:pPr>
      <w:r>
        <w:rPr>
          <w:rFonts w:ascii="Arial" w:cs="Arial" w:eastAsia="Arial" w:hAnsi="Arial"/>
          <w:b/>
          <w:bCs/>
          <w:color w:val="1A1A1A"/>
          <w:sz w:val="28"/>
          <w:szCs w:val="28"/>
        </w:rPr>
        <w:t xml:space="preserve">7.2. Indicateurs de suivi (KPI)</w:t>
      </w:r>
    </w:p>
    <w:p>
      <w:pPr>
        <w:spacing w:after="60" w:before="60" w:line="300"/>
      </w:pPr>
      <w:r>
        <w:rPr>
          <w:rFonts w:ascii="Arial" w:cs="Arial" w:eastAsia="Arial" w:hAnsi="Arial"/>
          <w:color w:val="222222"/>
          <w:sz w:val="22"/>
          <w:szCs w:val="22"/>
        </w:rPr>
        <w:t xml:space="preserve">Le pilotage de la démarche HSE repose sur les indicateurs suivants. Ils sont revus à chaque revue annuelle du DUERP et constituent les pièces de la traçabilité opposable.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Périodicité</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d’habilitations électriques en cours de validité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habilitations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SST formés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2 (sur effectif 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formations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causeries sécurité réalisées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causeries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d’exercices d’évacuation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1 / an (siège)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exercice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salariés formés gestes &amp; postures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 UT2-UT3-UT4-UT5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6 mois</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Attestations formation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délivrés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des points chauds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chantiers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Plans de prévention signés (≥ 400 h ou 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PdP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Cartes BTP valides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RH</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fréquence AT (TF)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gravité AT (TG)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presque-accidents remontés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 (signal positif)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Mensuelle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HS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Visites médicales à jour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SST interentreprises</w:t>
            </w:r>
          </w:p>
        </w:tc>
      </w:tr>
    </w:tbl>
    <w:p>
      <w:pPr>
        <w:pStyle w:val="Heading2"/>
        <w:keepNext/>
        <w:spacing w:after="140" w:before="280"/>
      </w:pPr>
      <w:r>
        <w:rPr>
          <w:rFonts w:ascii="Arial" w:cs="Arial" w:eastAsia="Arial" w:hAnsi="Arial"/>
          <w:b/>
          <w:bCs/>
          <w:color w:val="1A1A1A"/>
          <w:sz w:val="28"/>
          <w:szCs w:val="28"/>
        </w:rPr>
        <w:t xml:space="preserve">7.3. Cycle de revue du DUERP</w:t>
      </w:r>
    </w:p>
    <w:p>
      <w:pPr>
        <w:pStyle w:val="ListParagraph"/>
        <w:numPr>
          <w:ilvl w:val="0"/>
          <w:numId w:val="2"/>
        </w:numPr>
        <w:spacing w:after="40" w:before="40" w:line="300"/>
      </w:pPr>
      <w:r>
        <w:rPr>
          <w:rFonts w:ascii="Arial" w:cs="Arial" w:eastAsia="Arial" w:hAnsi="Arial"/>
          <w:b/>
          <w:bCs/>
          <w:sz w:val="22"/>
          <w:szCs w:val="22"/>
        </w:rPr>
        <w:t xml:space="preserve">Revue annuelle obligatoire</w:t>
      </w:r>
      <w:r>
        <w:rPr>
          <w:rFonts w:ascii="Arial" w:cs="Arial" w:eastAsia="Arial" w:hAnsi="Arial"/>
          <w:sz w:val="22"/>
          <w:szCs w:val="22"/>
        </w:rPr>
        <w:t xml:space="preserve"> — chaque année à la même époque (proposé : janvier de chaque année).</w:t>
      </w:r>
    </w:p>
    <w:p>
      <w:pPr>
        <w:pStyle w:val="ListParagraph"/>
        <w:numPr>
          <w:ilvl w:val="0"/>
          <w:numId w:val="2"/>
        </w:numPr>
        <w:spacing w:after="40" w:before="40" w:line="300"/>
      </w:pPr>
      <w:r>
        <w:rPr>
          <w:rFonts w:ascii="Arial" w:cs="Arial" w:eastAsia="Arial" w:hAnsi="Arial"/>
          <w:b/>
          <w:bCs/>
          <w:sz w:val="22"/>
          <w:szCs w:val="22"/>
        </w:rPr>
        <w:t xml:space="preserve">Revue extraordinaire</w:t>
      </w:r>
      <w:r>
        <w:rPr>
          <w:rFonts w:ascii="Arial" w:cs="Arial" w:eastAsia="Arial" w:hAnsi="Arial"/>
          <w:sz w:val="22"/>
          <w:szCs w:val="22"/>
        </w:rPr>
        <w:t xml:space="preserve"> — déclenchée par : accident grave, modification significative de l’activité, nouveau type de chantier, nouvelle réglementation, audit externe.</w:t>
      </w:r>
    </w:p>
    <w:p>
      <w:pPr>
        <w:pStyle w:val="ListParagraph"/>
        <w:numPr>
          <w:ilvl w:val="0"/>
          <w:numId w:val="2"/>
        </w:numPr>
        <w:spacing w:after="40" w:before="40" w:line="300"/>
      </w:pPr>
      <w:r>
        <w:rPr>
          <w:rFonts w:ascii="Arial" w:cs="Arial" w:eastAsia="Arial" w:hAnsi="Arial"/>
          <w:b/>
          <w:bCs/>
          <w:sz w:val="22"/>
          <w:szCs w:val="22"/>
        </w:rPr>
        <w:t xml:space="preserve">Diffusion</w:t>
      </w:r>
      <w:r>
        <w:rPr>
          <w:rFonts w:ascii="Arial" w:cs="Arial" w:eastAsia="Arial" w:hAnsi="Arial"/>
          <w:sz w:val="22"/>
          <w:szCs w:val="22"/>
        </w:rPr>
        <w:t xml:space="preserve"> — affichage de l’avis indiquant les modalités d’accès au DUERP (Art. R.4121-4) ; remise sur demande à tout travailleur.</w:t>
      </w:r>
    </w:p>
    <w:p>
      <w:pPr>
        <w:pStyle w:val="Heading1"/>
        <w:keepNext/>
        <w:pageBreakBefore/>
        <w:spacing w:after="240" w:before="480"/>
      </w:pPr>
      <w:r>
        <w:rPr>
          <w:rFonts w:ascii="Arial" w:cs="Arial" w:eastAsia="Arial" w:hAnsi="Arial"/>
          <w:b/>
          <w:bCs/>
          <w:color w:val="A00D1A"/>
          <w:sz w:val="36"/>
          <w:szCs w:val="36"/>
        </w:rPr>
        <w:t xml:space="preserve">8. Cadre réglementaire applicable</w:t>
      </w:r>
    </w:p>
    <w:p>
      <w:pPr>
        <w:spacing w:after="60" w:before="60" w:line="300"/>
      </w:pPr>
      <w:r>
        <w:rPr>
          <w:rFonts w:ascii="Arial" w:cs="Arial" w:eastAsia="Arial" w:hAnsi="Arial"/>
          <w:color w:val="222222"/>
          <w:sz w:val="22"/>
          <w:szCs w:val="22"/>
        </w:rPr>
        <w:t xml:space="preserve">Le cadre juridique ci-dessous est citée à titre d’aide-mémoire. Il ne se substitue pas à la consultation des textes officiels (Code du travail, normes NF, recommandations CARSAT, référentiels APSAD).</w:t>
      </w:r>
    </w:p>
    <w:p>
      <w:pPr>
        <w:pStyle w:val="Heading2"/>
        <w:keepNext/>
        <w:spacing w:after="140" w:before="280"/>
      </w:pPr>
      <w:r>
        <w:rPr>
          <w:rFonts w:ascii="Arial" w:cs="Arial" w:eastAsia="Arial" w:hAnsi="Arial"/>
          <w:b/>
          <w:bCs/>
          <w:color w:val="1A1A1A"/>
          <w:sz w:val="28"/>
          <w:szCs w:val="28"/>
        </w:rPr>
        <w:t xml:space="preserve">8.1. Code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L.4121-1 à L.4121-5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Obligation générale de sécurité et neuf principes généraux de prévention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R.4121-1 à R.4121-4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 transcription, mise à jour, mise à disposition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L.4121-3-1 et D.4121-9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Conservation 40 ans des versions du DUERP (loi du 02/08/2021)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R.4224-15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de SST sur les lieux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R.4227-1 à R.4227-57</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d’incendie en milieu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R.4227-39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Exercices d’évacuation au moins tous les 6 mois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R.4323-58 à R.4323-90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en hauteur — équipements de protection collective et individuelle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R.4323-99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annuelle des EPI antichute par personne compétente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 à R.4412-93</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chimique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R.4412-94 à R.4412-148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Amiante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R.4412-149 à R.4412-164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Plomb</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R.4431-1 à R.4437-4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Bruit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R.4441-1 à R.4447-1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Vibrations mécaniques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R.4512-6 à R.4512-16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prévention (entreprises extérieures)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R.4542-1 à R.4542-19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sur écran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R.4544-1 à R.4544-11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électrique — habilitations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L.4532-2 à L.4532-18 et R.4532-1 à R.4532-98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Coordination SPS sur chantiers 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R.8291-1 et suivants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 d’identification professionnelle BTP</w:t>
            </w:r>
          </w:p>
        </w:tc>
      </w:tr>
    </w:tbl>
    <w:p>
      <w:pPr>
        <w:pStyle w:val="Heading2"/>
        <w:keepNext/>
        <w:spacing w:after="140" w:before="280"/>
      </w:pPr>
      <w:r>
        <w:rPr>
          <w:rFonts w:ascii="Arial" w:cs="Arial" w:eastAsia="Arial" w:hAnsi="Arial"/>
          <w:b/>
          <w:bCs/>
          <w:color w:val="1A1A1A"/>
          <w:sz w:val="28"/>
          <w:szCs w:val="28"/>
        </w:rPr>
        <w:t xml:space="preserve">8.2. Normes NF et référentiels APSAD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7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61-932</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d’installation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d’exploitation et de maintenance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61-934</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CMSI — Centralisateurs de mise en sécurité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61-970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SDI — Systèmes de détection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12845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Sprinkleurs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671-1/2/3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RIA — 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18-510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Habilitations électriques — norme de référence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15-100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Installations électriques basse tension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R1</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Extincteurs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R7</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Détection automatique d’incendie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D9</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 modèle de référence</w:t>
            </w:r>
          </w:p>
        </w:tc>
      </w:tr>
    </w:tbl>
    <w:p>
      <w:pPr>
        <w:pStyle w:val="Heading2"/>
        <w:keepNext/>
        <w:spacing w:after="140" w:before="280"/>
      </w:pPr>
      <w:r>
        <w:rPr>
          <w:rFonts w:ascii="Arial" w:cs="Arial" w:eastAsia="Arial" w:hAnsi="Arial"/>
          <w:b/>
          <w:bCs/>
          <w:color w:val="1A1A1A"/>
          <w:sz w:val="28"/>
          <w:szCs w:val="28"/>
        </w:rPr>
        <w:t xml:space="preserve">8.3. Recommandations CARSAT applicables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7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R.408</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montage, démontage et utilisation des échafaudages de pied</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R.457</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travail en hauteur sur les équipements de couverture</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R.471</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routiers en mission</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R.482</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 dans le BTP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R.486</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Conduite des plates-formes élévatrices mobiles de personnes (PEMP)</w:t>
            </w:r>
          </w:p>
        </w:tc>
      </w:tr>
    </w:tbl>
    <w:p>
      <w:pPr>
        <w:pStyle w:val="Heading2"/>
        <w:keepNext/>
        <w:spacing w:after="140" w:before="280"/>
      </w:pPr>
      <w:r>
        <w:rPr>
          <w:rFonts w:ascii="Arial" w:cs="Arial" w:eastAsia="Arial" w:hAnsi="Arial"/>
          <w:b/>
          <w:bCs/>
          <w:color w:val="1A1A1A"/>
          <w:sz w:val="28"/>
          <w:szCs w:val="28"/>
        </w:rPr>
        <w:t xml:space="preserve">8.4. Conventions collectives applicables</w:t>
      </w:r>
    </w:p>
    <w:p>
      <w:pPr>
        <w:spacing w:after="60" w:before="60" w:line="300"/>
      </w:pPr>
      <w:r>
        <w:rPr>
          <w:rFonts w:ascii="Arial" w:cs="Arial" w:eastAsia="Arial" w:hAnsi="Arial"/>
          <w:color w:val="222222"/>
          <w:sz w:val="22"/>
          <w:szCs w:val="22"/>
        </w:rPr>
        <w:t xml:space="preserve">IM2S relève du secteur du Bâtiment. Selon l’effectif réel (9 salariés selon CR entretien 19/01), la convention collective applicable aux ouvriers est l’IDCC 1596 (et non l’IDCC 1597 comme initialement présumé dans le cadrage). Le statut ETAM est couvert par l’IDCC 2609 dans tous les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IDCC</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1596</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visées par le décret du 01/03/1962 (entreprises occupant jusqu’à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 10</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1597</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non visées par le décret du 01/03/1962 (entreprises occupant plus de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&gt; 10</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2609</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employés, techniciens et agents de maîtrise (ETAM) du bâtiment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ETAM — quel que soit l’effectif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À confirmer</w:t>
            </w:r>
          </w:p>
          <w:p>
            <w:r>
              <w:rPr>
                <w:rFonts w:ascii="Arial" w:cs="Arial" w:eastAsia="Arial" w:hAnsi="Arial"/>
                <w:color w:val="222222"/>
                <w:sz w:val="22"/>
                <w:szCs w:val="22"/>
              </w:rPr>
              <w:t xml:space="preserve">L’application de l’IDCC 1596 versus 1597 dépend de l’effectif en équivalent temps plein (ETP) sur l’année civile. Si l’effectif d’IM2S dépasse 10 ETP au cours d’une année, c’est l’IDCC 1597 qui s’applique. Cette donnée est à confirmer avec le client (bulletin de paie type ou attestation du cabinet comptable).</w:t>
            </w:r>
          </w:p>
        </w:tc>
      </w:tr>
    </w:tbl>
    <w:p>
      <w:pPr>
        <w:pStyle w:val="Heading2"/>
        <w:keepNext/>
        <w:spacing w:after="140" w:before="280"/>
      </w:pPr>
      <w:r>
        <w:rPr>
          <w:rFonts w:ascii="Arial" w:cs="Arial" w:eastAsia="Arial" w:hAnsi="Arial"/>
          <w:b/>
          <w:bCs/>
          <w:color w:val="1A1A1A"/>
          <w:sz w:val="28"/>
          <w:szCs w:val="28"/>
        </w:rPr>
        <w:t xml:space="preserve">8.5. Obligations spécifiques BTP applicables à IM2S</w:t>
      </w:r>
    </w:p>
    <w:p>
      <w:pPr>
        <w:pStyle w:val="ListParagraph"/>
        <w:numPr>
          <w:ilvl w:val="0"/>
          <w:numId w:val="2"/>
        </w:numPr>
        <w:spacing w:after="40" w:before="40" w:line="300"/>
      </w:pPr>
      <w:r>
        <w:rPr>
          <w:rFonts w:ascii="Arial" w:cs="Arial" w:eastAsia="Arial" w:hAnsi="Arial"/>
          <w:b/>
          <w:bCs/>
          <w:sz w:val="22"/>
          <w:szCs w:val="22"/>
        </w:rPr>
        <w:t xml:space="preserve">Carte d’identification professionnelle BTP</w:t>
      </w:r>
      <w:r>
        <w:rPr>
          <w:rFonts w:ascii="Arial" w:cs="Arial" w:eastAsia="Arial" w:hAnsi="Arial"/>
          <w:sz w:val="22"/>
          <w:szCs w:val="22"/>
        </w:rPr>
        <w:t xml:space="preserve"> (Art. R.8291-1) — obligatoire pour tous les salariés intervenant sur un chantier.</w:t>
      </w:r>
    </w:p>
    <w:p>
      <w:pPr>
        <w:pStyle w:val="ListParagraph"/>
        <w:numPr>
          <w:ilvl w:val="0"/>
          <w:numId w:val="2"/>
        </w:numPr>
        <w:spacing w:after="40" w:before="40" w:line="300"/>
      </w:pPr>
      <w:r>
        <w:rPr>
          <w:rFonts w:ascii="Arial" w:cs="Arial" w:eastAsia="Arial" w:hAnsi="Arial"/>
          <w:b/>
          <w:bCs/>
          <w:sz w:val="22"/>
          <w:szCs w:val="22"/>
        </w:rPr>
        <w:t xml:space="preserve">PPSPS</w:t>
      </w:r>
      <w:r>
        <w:rPr>
          <w:rFonts w:ascii="Arial" w:cs="Arial" w:eastAsia="Arial" w:hAnsi="Arial"/>
          <w:sz w:val="22"/>
          <w:szCs w:val="22"/>
        </w:rPr>
        <w:t xml:space="preserve"> (Plan Particulier de Sécurité et de Protection de la Santé) — sur opérations de catégorie 1 ou 2 et lorsque le coordonnateur SPS le demande.</w:t>
      </w:r>
    </w:p>
    <w:p>
      <w:pPr>
        <w:pStyle w:val="ListParagraph"/>
        <w:numPr>
          <w:ilvl w:val="0"/>
          <w:numId w:val="2"/>
        </w:numPr>
        <w:spacing w:after="40" w:before="40" w:line="300"/>
      </w:pPr>
      <w:r>
        <w:rPr>
          <w:rFonts w:ascii="Arial" w:cs="Arial" w:eastAsia="Arial" w:hAnsi="Arial"/>
          <w:b/>
          <w:bCs/>
          <w:sz w:val="22"/>
          <w:szCs w:val="22"/>
        </w:rPr>
        <w:t xml:space="preserve">Plan de prévention</w:t>
      </w:r>
      <w:r>
        <w:rPr>
          <w:rFonts w:ascii="Arial" w:cs="Arial" w:eastAsia="Arial" w:hAnsi="Arial"/>
          <w:sz w:val="22"/>
          <w:szCs w:val="22"/>
        </w:rPr>
        <w:t xml:space="preserve"> (Art. R.4512-6) — obligatoire dès 400 heures cumulées sur 12 mois ou pour travaux dangereux (liste arrêté 19/03/1993).</w:t>
      </w:r>
    </w:p>
    <w:p>
      <w:pPr>
        <w:pStyle w:val="ListParagraph"/>
        <w:numPr>
          <w:ilvl w:val="0"/>
          <w:numId w:val="2"/>
        </w:numPr>
        <w:spacing w:after="40" w:before="40" w:line="300"/>
      </w:pPr>
      <w:r>
        <w:rPr>
          <w:rFonts w:ascii="Arial" w:cs="Arial" w:eastAsia="Arial" w:hAnsi="Arial"/>
          <w:b/>
          <w:bCs/>
          <w:sz w:val="22"/>
          <w:szCs w:val="22"/>
        </w:rPr>
        <w:t xml:space="preserve">Accueil sécurité chantier</w:t>
      </w:r>
      <w:r>
        <w:rPr>
          <w:rFonts w:ascii="Arial" w:cs="Arial" w:eastAsia="Arial" w:hAnsi="Arial"/>
          <w:sz w:val="22"/>
          <w:szCs w:val="22"/>
        </w:rPr>
        <w:t xml:space="preserve"> — formation à la prise de poste pour nouveaux arrivants et intérimaires (Art. R.4141-2).</w:t>
      </w:r>
    </w:p>
    <w:p>
      <w:pPr>
        <w:pStyle w:val="ListParagraph"/>
        <w:numPr>
          <w:ilvl w:val="0"/>
          <w:numId w:val="2"/>
        </w:numPr>
        <w:spacing w:after="40" w:before="40" w:line="300"/>
      </w:pPr>
      <w:r>
        <w:rPr>
          <w:rFonts w:ascii="Arial" w:cs="Arial" w:eastAsia="Arial" w:hAnsi="Arial"/>
          <w:b/>
          <w:bCs/>
          <w:sz w:val="22"/>
          <w:szCs w:val="22"/>
        </w:rPr>
        <w:t xml:space="preserve">Visites médicales BTP renforcées</w:t>
      </w:r>
      <w:r>
        <w:rPr>
          <w:rFonts w:ascii="Arial" w:cs="Arial" w:eastAsia="Arial" w:hAnsi="Arial"/>
          <w:sz w:val="22"/>
          <w:szCs w:val="22"/>
        </w:rPr>
        <w:t xml:space="preserve"> — Suivi Individuel Renforcé (SIR) pour les exposés aux risques particuliers (Art. R.4624-23).</w:t>
      </w:r>
    </w:p>
    <w:p>
      <w:pPr>
        <w:pStyle w:val="Heading1"/>
        <w:keepNext/>
        <w:pageBreakBefore/>
        <w:spacing w:after="240" w:before="480"/>
      </w:pPr>
      <w:r>
        <w:rPr>
          <w:rFonts w:ascii="Arial" w:cs="Arial" w:eastAsia="Arial" w:hAnsi="Arial"/>
          <w:b/>
          <w:bCs/>
          <w:color w:val="A00D1A"/>
          <w:sz w:val="36"/>
          <w:szCs w:val="36"/>
        </w:rPr>
        <w:t xml:space="preserve">9. Attestations détachables</w:t>
      </w:r>
    </w:p>
    <w:p>
      <w:pPr>
        <w:spacing w:after="60" w:before="60" w:line="300"/>
      </w:pPr>
      <w:r>
        <w:rPr>
          <w:rFonts w:ascii="Arial" w:cs="Arial" w:eastAsia="Arial" w:hAnsi="Arial"/>
          <w:color w:val="222222"/>
          <w:sz w:val="22"/>
          <w:szCs w:val="22"/>
        </w:rPr>
        <w:t xml:space="preserve">Cette partie regroupe les attestations modèles à faire signer aux salariés. Chaque attestation est conçue pour être imprimée recto en une page, signée par le salarié et l’employeur, puis classée dans le dossier individuel du salarié.</w:t>
      </w:r>
    </w:p>
    <w:p>
      <w:pPr>
        <w:spacing w:after="60" w:before="60" w:line="300"/>
      </w:pPr>
      <w:r>
        <w:rPr>
          <w:rFonts w:ascii="Arial" w:cs="Arial" w:eastAsia="Arial" w:hAnsi="Arial"/>
          <w:color w:val="222222"/>
          <w:sz w:val="22"/>
          <w:szCs w:val="22"/>
        </w:rPr>
        <w:t xml:space="preserve">Recommandation : conserver également une copie scannée dans un coffre-fort numérique (preuve opposable en cas de contrôle).</w:t>
      </w:r>
    </w:p>
    <w:p>
      <w:pPr>
        <w:pStyle w:val="Heading2"/>
        <w:keepNext/>
        <w:spacing w:after="140" w:before="280"/>
      </w:pPr>
      <w:r>
        <w:rPr>
          <w:rFonts w:ascii="Arial" w:cs="Arial" w:eastAsia="Arial" w:hAnsi="Arial"/>
          <w:b/>
          <w:bCs/>
          <w:color w:val="1A1A1A"/>
          <w:sz w:val="28"/>
          <w:szCs w:val="28"/>
        </w:rPr>
        <w:t xml:space="preserve">ATTESTATION DE REMISE ET D’ACCEPTATION DES EPI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REMISE ET D’ACCEPTATION DES EPI</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demeurant ..............................................................................................................................,</w:t>
            </w:r>
          </w:p>
          <w:p>
            <w:pPr>
              <w:spacing w:after="80" w:before="80"/>
            </w:pPr>
            <w:r>
              <w:rPr>
                <w:rFonts w:ascii="Arial" w:cs="Arial" w:eastAsia="Arial" w:hAnsi="Arial"/>
                <w:sz w:val="22"/>
                <w:szCs w:val="22"/>
              </w:rPr>
              <w:t xml:space="preserve">reconnais avoir reçu de la part d’IM2S Protection Incendie les équipements de protection individuelle (EPI) suivants, dans un état neuf ou révisé conforme :</w:t>
            </w:r>
          </w:p>
          <w:p>
            <w:pPr>
              <w:spacing w:after="80" w:before="80"/>
            </w:pPr>
            <w:r>
              <w:rPr>
                <w:rFonts w:ascii="Arial" w:cs="Arial" w:eastAsia="Arial" w:hAnsi="Arial"/>
                <w:sz w:val="22"/>
                <w:szCs w:val="22"/>
              </w:rPr>
              <w:t xml:space="preserve">☐ Casque de chantier (NF EN 397)</w:t>
            </w:r>
          </w:p>
          <w:p>
            <w:pPr>
              <w:spacing w:after="80" w:before="80"/>
            </w:pPr>
            <w:r>
              <w:rPr>
                <w:rFonts w:ascii="Arial" w:cs="Arial" w:eastAsia="Arial" w:hAnsi="Arial"/>
                <w:sz w:val="22"/>
                <w:szCs w:val="22"/>
              </w:rPr>
              <w:t xml:space="preserve">☐ Chaussures de sécurité S3 (NF EN ISO 20345)</w:t>
            </w:r>
          </w:p>
          <w:p>
            <w:pPr>
              <w:spacing w:after="80" w:before="80"/>
            </w:pPr>
            <w:r>
              <w:rPr>
                <w:rFonts w:ascii="Arial" w:cs="Arial" w:eastAsia="Arial" w:hAnsi="Arial"/>
                <w:sz w:val="22"/>
                <w:szCs w:val="22"/>
              </w:rPr>
              <w:t xml:space="preserve">☐ Gants de manutention (NF EN 388)</w:t>
            </w:r>
          </w:p>
          <w:p>
            <w:pPr>
              <w:spacing w:after="80" w:before="80"/>
            </w:pPr>
            <w:r>
              <w:rPr>
                <w:rFonts w:ascii="Arial" w:cs="Arial" w:eastAsia="Arial" w:hAnsi="Arial"/>
                <w:sz w:val="22"/>
                <w:szCs w:val="22"/>
              </w:rPr>
              <w:t xml:space="preserve">☐ Gants isolants électriques classe 0 ou 00 (NF EN 60903) — si habilitation électrique</w:t>
            </w:r>
          </w:p>
          <w:p>
            <w:pPr>
              <w:spacing w:after="80" w:before="80"/>
            </w:pPr>
            <w:r>
              <w:rPr>
                <w:rFonts w:ascii="Arial" w:cs="Arial" w:eastAsia="Arial" w:hAnsi="Arial"/>
                <w:sz w:val="22"/>
                <w:szCs w:val="22"/>
              </w:rPr>
              <w:t xml:space="preserve">☐ Lunettes de protection (NF EN 166)</w:t>
            </w:r>
          </w:p>
          <w:p>
            <w:pPr>
              <w:spacing w:after="80" w:before="80"/>
            </w:pPr>
            <w:r>
              <w:rPr>
                <w:rFonts w:ascii="Arial" w:cs="Arial" w:eastAsia="Arial" w:hAnsi="Arial"/>
                <w:sz w:val="22"/>
                <w:szCs w:val="22"/>
              </w:rPr>
              <w:t xml:space="preserve">☐ Protection auditive (NF EN 352)</w:t>
            </w:r>
          </w:p>
          <w:p>
            <w:pPr>
              <w:spacing w:after="80" w:before="80"/>
            </w:pPr>
            <w:r>
              <w:rPr>
                <w:rFonts w:ascii="Arial" w:cs="Arial" w:eastAsia="Arial" w:hAnsi="Arial"/>
                <w:sz w:val="22"/>
                <w:szCs w:val="22"/>
              </w:rPr>
              <w:t xml:space="preserve">☐ Harnais antichute (NF EN 361) + longe + connecteurs</w:t>
            </w:r>
          </w:p>
          <w:p>
            <w:pPr>
              <w:spacing w:after="80" w:before="80"/>
            </w:pPr>
            <w:r>
              <w:rPr>
                <w:rFonts w:ascii="Arial" w:cs="Arial" w:eastAsia="Arial" w:hAnsi="Arial"/>
                <w:sz w:val="22"/>
                <w:szCs w:val="22"/>
              </w:rPr>
              <w:t xml:space="preserve">☐ Masque respiratoire FFP3</w:t>
            </w:r>
          </w:p>
          <w:p>
            <w:pPr>
              <w:spacing w:after="80" w:before="80"/>
            </w:pPr>
            <w:r>
              <w:rPr>
                <w:rFonts w:ascii="Arial" w:cs="Arial" w:eastAsia="Arial" w:hAnsi="Arial"/>
                <w:sz w:val="22"/>
                <w:szCs w:val="22"/>
              </w:rPr>
              <w:t xml:space="preserve">☐ Vêtement haute visibilité (NF EN ISO 20471)</w:t>
            </w:r>
          </w:p>
          <w:p>
            <w:pPr>
              <w:spacing w:after="80" w:before="80"/>
            </w:pPr>
            <w:r>
              <w:rPr>
                <w:rFonts w:ascii="Arial" w:cs="Arial" w:eastAsia="Arial" w:hAnsi="Arial"/>
                <w:sz w:val="22"/>
                <w:szCs w:val="22"/>
              </w:rPr>
              <w:t xml:space="preserve">☐ Autres : ............................................................................................................................</w:t>
            </w:r>
          </w:p>
          <w:p>
            <w:pPr>
              <w:spacing w:after="80" w:before="80"/>
            </w:pPr>
            <w:r>
              <w:rPr>
                <w:rFonts w:ascii="Arial" w:cs="Arial" w:eastAsia="Arial" w:hAnsi="Arial"/>
                <w:sz w:val="22"/>
                <w:szCs w:val="22"/>
              </w:rPr>
              <w:t xml:space="preserve">Je reconnais avoir reçu l’information et la formation sur le port, l’entretien et le contrôle de ces EPI, et m’engage à les porter dans toutes les situations où leur port est obligatoire.</w:t>
            </w:r>
          </w:p>
          <w:p>
            <w:pPr>
              <w:spacing w:before="240"/>
            </w:pPr>
            <w:r>
              <w:rPr>
                <w:rFonts w:ascii="Arial" w:cs="Arial" w:eastAsia="Arial" w:hAnsi="Arial"/>
                <w:i/>
                <w:iCs/>
                <w:color w:val="5A5B5C"/>
                <w:sz w:val="18"/>
                <w:szCs w:val="18"/>
              </w:rPr>
              <w:t xml:space="preserve">Conformément à l’Art. R.4323-95 du Code du travail, les EPI sont mis à disposition gratuitement par l’employeur.</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D’HABILITATION ÉLECTRIQUE (NF C 18-510)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D’HABILITATION ÉLECTRIQUE (NF C 18-510)</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titulaire de l’habilitation : ☐ B0 ☐ B1V ☐ B2V ☐ BR ☐ BC ☐ BE Essai ☐ H0V ☐ Autre : ........................,</w:t>
            </w:r>
          </w:p>
          <w:p>
            <w:pPr>
              <w:spacing w:after="80" w:before="80"/>
            </w:pPr>
            <w:r>
              <w:rPr>
                <w:rFonts w:ascii="Arial" w:cs="Arial" w:eastAsia="Arial" w:hAnsi="Arial"/>
                <w:sz w:val="22"/>
                <w:szCs w:val="22"/>
              </w:rPr>
              <w:t xml:space="preserve">délivrée le ....../....../...... à l’issue d’une formation effectuée par : ........................................</w:t>
            </w:r>
          </w:p>
          <w:p>
            <w:pPr>
              <w:spacing w:after="80" w:before="80"/>
            </w:pPr>
            <w:r>
              <w:rPr>
                <w:rFonts w:ascii="Arial" w:cs="Arial" w:eastAsia="Arial" w:hAnsi="Arial"/>
                <w:sz w:val="22"/>
                <w:szCs w:val="22"/>
              </w:rPr>
              <w:t xml:space="preserve">reconnais avoir reçu l’habilitation de l’employeur M. KNOLL Stéphane — Gérant d’IM2S Protection Incendie — en application des articles R.4544-9 à R.4544-11 du Code du travail.</w:t>
            </w:r>
          </w:p>
          <w:p>
            <w:pPr>
              <w:spacing w:after="80" w:before="80"/>
            </w:pPr>
            <w:r>
              <w:rPr>
                <w:rFonts w:ascii="Arial" w:cs="Arial" w:eastAsia="Arial" w:hAnsi="Arial"/>
                <w:sz w:val="22"/>
                <w:szCs w:val="22"/>
              </w:rPr>
              <w:t xml:space="preserve">Cette habilitation est valable 3 ans à compter de la date de formation initiale. Elle doit être renouvelée à l’issue d’une formation de recyclage avant son expiration.</w:t>
            </w:r>
          </w:p>
          <w:p>
            <w:pPr>
              <w:spacing w:before="240"/>
            </w:pPr>
            <w:r>
              <w:rPr>
                <w:rFonts w:ascii="Arial" w:cs="Arial" w:eastAsia="Arial" w:hAnsi="Arial"/>
                <w:i/>
                <w:iCs/>
                <w:color w:val="5A5B5C"/>
                <w:sz w:val="18"/>
                <w:szCs w:val="18"/>
              </w:rPr>
              <w:t xml:space="preserve">L’habilitation est délivrée après formation, avis médical d’aptitude et évaluation théorique et pratique.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AUTORISATION DE CONDUITE — PEMP (CACES R486)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AUTORISATION DE CONDUITE — PEMP (CACES R486)</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 M. KNOLL Stéphane, Gérant d’IM2S Protection Incendie,</w:t>
            </w:r>
          </w:p>
          <w:p>
            <w:pPr>
              <w:spacing w:after="80" w:before="80"/>
            </w:pPr>
            <w:r>
              <w:rPr>
                <w:rFonts w:ascii="Arial" w:cs="Arial" w:eastAsia="Arial" w:hAnsi="Arial"/>
                <w:sz w:val="22"/>
                <w:szCs w:val="22"/>
              </w:rPr>
              <w:t xml:space="preserve">délivre par la présente à M./Mme .........................................................................................................,</w:t>
            </w:r>
          </w:p>
          <w:p>
            <w:pPr>
              <w:spacing w:after="80" w:before="80"/>
            </w:pPr>
            <w:r>
              <w:rPr>
                <w:rFonts w:ascii="Arial" w:cs="Arial" w:eastAsia="Arial" w:hAnsi="Arial"/>
                <w:sz w:val="22"/>
                <w:szCs w:val="22"/>
              </w:rPr>
              <w:t xml:space="preserve">titulaire du CACES R486 catégorie : ☐ A (élévation verticale) ☐ B (élévation multidirectionnelle), valide jusqu’au ....../....../......,</w:t>
            </w:r>
          </w:p>
          <w:p>
            <w:pPr>
              <w:spacing w:after="80" w:before="80"/>
            </w:pPr>
            <w:r>
              <w:rPr>
                <w:rFonts w:ascii="Arial" w:cs="Arial" w:eastAsia="Arial" w:hAnsi="Arial"/>
                <w:sz w:val="22"/>
                <w:szCs w:val="22"/>
              </w:rPr>
              <w:t xml:space="preserve">l’autorisation de conduire les plates-formes élévatrices mobiles de personnes (PEMP) du parc IM2S, dans le respect strict :</w:t>
            </w:r>
          </w:p>
          <w:p>
            <w:pPr>
              <w:spacing w:after="80" w:before="80"/>
            </w:pPr>
            <w:r>
              <w:rPr>
                <w:rFonts w:ascii="Arial" w:cs="Arial" w:eastAsia="Arial" w:hAnsi="Arial"/>
                <w:sz w:val="22"/>
                <w:szCs w:val="22"/>
              </w:rPr>
              <w:t xml:space="preserve">— des règles de sécurité enseignées lors de la formation CACES,</w:t>
            </w:r>
          </w:p>
          <w:p>
            <w:pPr>
              <w:spacing w:after="80" w:before="80"/>
            </w:pPr>
            <w:r>
              <w:rPr>
                <w:rFonts w:ascii="Arial" w:cs="Arial" w:eastAsia="Arial" w:hAnsi="Arial"/>
                <w:sz w:val="22"/>
                <w:szCs w:val="22"/>
              </w:rPr>
              <w:t xml:space="preserve">— des consignes du constructeur (notice d’utilisation),</w:t>
            </w:r>
          </w:p>
          <w:p>
            <w:pPr>
              <w:spacing w:after="80" w:before="80"/>
            </w:pPr>
            <w:r>
              <w:rPr>
                <w:rFonts w:ascii="Arial" w:cs="Arial" w:eastAsia="Arial" w:hAnsi="Arial"/>
                <w:sz w:val="22"/>
                <w:szCs w:val="22"/>
              </w:rPr>
              <w:t xml:space="preserve">— du présent DUERP, fiche FR-02 (chute de hauteur depuis PEMP).</w:t>
            </w:r>
          </w:p>
          <w:p>
            <w:pPr>
              <w:spacing w:after="80" w:before="80"/>
            </w:pPr>
            <w:r>
              <w:rPr>
                <w:rFonts w:ascii="Arial" w:cs="Arial" w:eastAsia="Arial" w:hAnsi="Arial"/>
                <w:sz w:val="22"/>
                <w:szCs w:val="22"/>
              </w:rPr>
              <w:t xml:space="preserve">La présente autorisation est délivrée après vérification de la connaissance des lieux et des instructions à respecter (Art. R.4323-56).</w:t>
            </w:r>
          </w:p>
          <w:p>
            <w:pPr>
              <w:spacing w:before="240"/>
            </w:pPr>
            <w:r>
              <w:rPr>
                <w:rFonts w:ascii="Arial" w:cs="Arial" w:eastAsia="Arial" w:hAnsi="Arial"/>
                <w:i/>
                <w:iCs/>
                <w:color w:val="5A5B5C"/>
                <w:sz w:val="18"/>
                <w:szCs w:val="18"/>
              </w:rPr>
              <w:t xml:space="preserve">Cette autorisation est révocable à tout moment et est caduque en cas de non-renouvellement du CACES ou d’avis médical d’inaptitude.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D’ACCUEIL SÉCURITÉ CHANTIER (nouveau salarié / intérimaire)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D’ACCUEIL SÉCURITÉ CHANTIER (nouveau salarié / intérimaire)</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reçu de la part d’IM2S Protection Incendie, le ....../....../......, l’accueil sécurité comprenant :</w:t>
            </w:r>
          </w:p>
          <w:p>
            <w:pPr>
              <w:spacing w:after="80" w:before="80"/>
            </w:pPr>
            <w:r>
              <w:rPr>
                <w:rFonts w:ascii="Arial" w:cs="Arial" w:eastAsia="Arial" w:hAnsi="Arial"/>
                <w:sz w:val="22"/>
                <w:szCs w:val="22"/>
              </w:rPr>
              <w:t xml:space="preserve">☐ Présentation de l’entreprise, de son activité et de son organisation</w:t>
            </w:r>
          </w:p>
          <w:p>
            <w:pPr>
              <w:spacing w:after="80" w:before="80"/>
            </w:pPr>
            <w:r>
              <w:rPr>
                <w:rFonts w:ascii="Arial" w:cs="Arial" w:eastAsia="Arial" w:hAnsi="Arial"/>
                <w:sz w:val="22"/>
                <w:szCs w:val="22"/>
              </w:rPr>
              <w:t xml:space="preserve">☐ Présentation des risques principaux (chute de hauteur, électrique, routier, manutention)</w:t>
            </w:r>
          </w:p>
          <w:p>
            <w:pPr>
              <w:spacing w:after="80" w:before="80"/>
            </w:pPr>
            <w:r>
              <w:rPr>
                <w:rFonts w:ascii="Arial" w:cs="Arial" w:eastAsia="Arial" w:hAnsi="Arial"/>
                <w:sz w:val="22"/>
                <w:szCs w:val="22"/>
              </w:rPr>
              <w:t xml:space="preserve">☐ Remise et explication du présent DUERP</w:t>
            </w:r>
          </w:p>
          <w:p>
            <w:pPr>
              <w:spacing w:after="80" w:before="80"/>
            </w:pPr>
            <w:r>
              <w:rPr>
                <w:rFonts w:ascii="Arial" w:cs="Arial" w:eastAsia="Arial" w:hAnsi="Arial"/>
                <w:sz w:val="22"/>
                <w:szCs w:val="22"/>
              </w:rPr>
              <w:t xml:space="preserve">☐ Remise du règlement intérieur</w:t>
            </w:r>
          </w:p>
          <w:p>
            <w:pPr>
              <w:spacing w:after="80" w:before="80"/>
            </w:pPr>
            <w:r>
              <w:rPr>
                <w:rFonts w:ascii="Arial" w:cs="Arial" w:eastAsia="Arial" w:hAnsi="Arial"/>
                <w:sz w:val="22"/>
                <w:szCs w:val="22"/>
              </w:rPr>
              <w:t xml:space="preserve">☐ Remise et essayage des EPI</w:t>
            </w:r>
          </w:p>
          <w:p>
            <w:pPr>
              <w:spacing w:after="80" w:before="80"/>
            </w:pPr>
            <w:r>
              <w:rPr>
                <w:rFonts w:ascii="Arial" w:cs="Arial" w:eastAsia="Arial" w:hAnsi="Arial"/>
                <w:sz w:val="22"/>
                <w:szCs w:val="22"/>
              </w:rPr>
              <w:t xml:space="preserve">☐ Présentation des consignes de sécurité incendie et des moyens de secours</w:t>
            </w:r>
          </w:p>
          <w:p>
            <w:pPr>
              <w:spacing w:after="80" w:before="80"/>
            </w:pPr>
            <w:r>
              <w:rPr>
                <w:rFonts w:ascii="Arial" w:cs="Arial" w:eastAsia="Arial" w:hAnsi="Arial"/>
                <w:sz w:val="22"/>
                <w:szCs w:val="22"/>
              </w:rPr>
              <w:t xml:space="preserve">☐ Identification des Sauveteurs Secouristes du Travail (SST)</w:t>
            </w:r>
          </w:p>
          <w:p>
            <w:pPr>
              <w:spacing w:after="80" w:before="80"/>
            </w:pPr>
            <w:r>
              <w:rPr>
                <w:rFonts w:ascii="Arial" w:cs="Arial" w:eastAsia="Arial" w:hAnsi="Arial"/>
                <w:sz w:val="22"/>
                <w:szCs w:val="22"/>
              </w:rPr>
              <w:t xml:space="preserve">☐ Visite des locaux et identification des issues de secours</w:t>
            </w:r>
          </w:p>
          <w:p>
            <w:pPr>
              <w:spacing w:after="80" w:before="80"/>
            </w:pPr>
            <w:r>
              <w:rPr>
                <w:rFonts w:ascii="Arial" w:cs="Arial" w:eastAsia="Arial" w:hAnsi="Arial"/>
                <w:sz w:val="22"/>
                <w:szCs w:val="22"/>
              </w:rPr>
              <w:t xml:space="preserve">☐ Présentation du référent harcèlement (le cas échéant)</w:t>
            </w:r>
          </w:p>
          <w:p>
            <w:pPr>
              <w:spacing w:after="80" w:before="80"/>
            </w:pPr>
            <w:r>
              <w:rPr>
                <w:rFonts w:ascii="Arial" w:cs="Arial" w:eastAsia="Arial" w:hAnsi="Arial"/>
                <w:sz w:val="22"/>
                <w:szCs w:val="22"/>
              </w:rPr>
              <w:t xml:space="preserve">☐ Information sur le droit de retrait (Art. L.4131-1)</w:t>
            </w:r>
          </w:p>
          <w:p>
            <w:pPr>
              <w:spacing w:before="240"/>
            </w:pPr>
            <w:r>
              <w:rPr>
                <w:rFonts w:ascii="Arial" w:cs="Arial" w:eastAsia="Arial" w:hAnsi="Arial"/>
                <w:i/>
                <w:iCs/>
                <w:color w:val="5A5B5C"/>
                <w:sz w:val="18"/>
                <w:szCs w:val="18"/>
              </w:rPr>
              <w:t xml:space="preserve">L’accueil sécurité est une obligation issue de l’article R.4141-2 du Code du travail.</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DE PORT DE LA CARTE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PORT DE LA CARTE BTP</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salarié(e) d’IM2S Protection Incendie depuis le ....../....../......,</w:t>
            </w:r>
          </w:p>
          <w:p>
            <w:pPr>
              <w:spacing w:after="80" w:before="80"/>
            </w:pPr>
            <w:r>
              <w:rPr>
                <w:rFonts w:ascii="Arial" w:cs="Arial" w:eastAsia="Arial" w:hAnsi="Arial"/>
                <w:sz w:val="22"/>
                <w:szCs w:val="22"/>
              </w:rPr>
              <w:t xml:space="preserve">reconnais avoir reçu ma carte d’identification professionnelle BTP n° ......................................,</w:t>
            </w:r>
          </w:p>
          <w:p>
            <w:pPr>
              <w:spacing w:after="80" w:before="80"/>
            </w:pPr>
            <w:r>
              <w:rPr>
                <w:rFonts w:ascii="Arial" w:cs="Arial" w:eastAsia="Arial" w:hAnsi="Arial"/>
                <w:sz w:val="22"/>
                <w:szCs w:val="22"/>
              </w:rPr>
              <w:t xml:space="preserve">et m’engage à la porter sur moi et à la présenter à toute personne habilitée à exercer un contrôle sur les chantiers du bâtiment (Inspection du travail, agents URSSAF, agents de l’OPPBTP, maître d’ouvrage, coordonnateur SPS).</w:t>
            </w:r>
          </w:p>
          <w:p>
            <w:pPr>
              <w:spacing w:before="240"/>
            </w:pPr>
            <w:r>
              <w:rPr>
                <w:rFonts w:ascii="Arial" w:cs="Arial" w:eastAsia="Arial" w:hAnsi="Arial"/>
                <w:i/>
                <w:iCs/>
                <w:color w:val="5A5B5C"/>
                <w:sz w:val="18"/>
                <w:szCs w:val="18"/>
              </w:rPr>
              <w:t xml:space="preserve">Obligation issue de l’article R.8291-1 du Code du travail — décret n° 2016-175 du 22/02/2016.</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SST — SAUVETEUR SECOURISTE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SST — SAUVETEUR SECOURISTE DU TRAVAIL</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suivi avec succès la formation SST (Sauveteur Secouriste du Travail), durée 14 h, dispensée par : ........................................,</w:t>
            </w:r>
          </w:p>
          <w:p>
            <w:pPr>
              <w:spacing w:after="80" w:before="80"/>
            </w:pPr>
            <w:r>
              <w:rPr>
                <w:rFonts w:ascii="Arial" w:cs="Arial" w:eastAsia="Arial" w:hAnsi="Arial"/>
                <w:sz w:val="22"/>
                <w:szCs w:val="22"/>
              </w:rPr>
              <w:t xml:space="preserve">le ....../....../...... — Certificat n° : ...................................</w:t>
            </w:r>
          </w:p>
          <w:p>
            <w:pPr>
              <w:spacing w:after="80" w:before="80"/>
            </w:pPr>
            <w:r>
              <w:rPr>
                <w:rFonts w:ascii="Arial" w:cs="Arial" w:eastAsia="Arial" w:hAnsi="Arial"/>
                <w:sz w:val="22"/>
                <w:szCs w:val="22"/>
              </w:rPr>
              <w:t xml:space="preserve">La validité de ce certificat est de 24 mois. Le maintien des acquis est conditionné à une session de recyclage (MAC SST) de 7 h tous les 24 mois.</w:t>
            </w:r>
          </w:p>
          <w:p>
            <w:pPr>
              <w:spacing w:after="80" w:before="80"/>
            </w:pPr>
            <w:r>
              <w:rPr>
                <w:rFonts w:ascii="Arial" w:cs="Arial" w:eastAsia="Arial" w:hAnsi="Arial"/>
                <w:sz w:val="22"/>
                <w:szCs w:val="22"/>
              </w:rPr>
              <w:t xml:space="preserve">Je m’engage à intervenir en cas d’accident sur le lieu de travail dans la limite de mes compétences, à porter les premiers secours et à alerter les secours extérieurs.</w:t>
            </w:r>
          </w:p>
          <w:p>
            <w:pPr>
              <w:spacing w:before="240"/>
            </w:pPr>
            <w:r>
              <w:rPr>
                <w:rFonts w:ascii="Arial" w:cs="Arial" w:eastAsia="Arial" w:hAnsi="Arial"/>
                <w:i/>
                <w:iCs/>
                <w:color w:val="5A5B5C"/>
                <w:sz w:val="18"/>
                <w:szCs w:val="18"/>
              </w:rPr>
              <w:t xml:space="preserve">Référentiel INRS — recommandation : 1 SST minimum par site et au moins 15 % de l’effectif (recommandation CNAMTS).</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pPr>
        <w:pStyle w:val="Heading1"/>
        <w:keepNext/>
        <w:pageBreakBefore/>
        <w:spacing w:after="240" w:before="480"/>
      </w:pPr>
      <w:r>
        <w:rPr>
          <w:rFonts w:ascii="Arial" w:cs="Arial" w:eastAsia="Arial" w:hAnsi="Arial"/>
          <w:b/>
          <w:bCs/>
          <w:color w:val="A00D1A"/>
          <w:sz w:val="36"/>
          <w:szCs w:val="36"/>
        </w:rPr>
        <w:t xml:space="preserve">Annexe A — Historique consolidé des évaluations 2015 → 2016 → 2026</w:t>
      </w:r>
    </w:p>
    <w:p>
      <w:pPr>
        <w:spacing w:after="60" w:before="60" w:line="300"/>
      </w:pPr>
      <w:r>
        <w:rPr>
          <w:rFonts w:ascii="Arial" w:cs="Arial" w:eastAsia="Arial" w:hAnsi="Arial"/>
          <w:color w:val="222222"/>
          <w:sz w:val="22"/>
          <w:szCs w:val="22"/>
        </w:rPr>
        <w:t xml:space="preserve">La présente annexe matérialise la traçabilité historique des évaluations de risques d\u2019IM2S Protection Incendie depuis l\u2019évaluation initiale Riskattitude du 7 décembre 2015 jusqu\u2019à l\u2019auto-évaluation Risqapp/SecureMetrix du 19 mai 2026. Elle constitue une pièce probante au titre de l\u2019article L.4121-3-1 du Code du travail (obligation de conservation des versions du DUERP pendant 40 ans).</w:t>
      </w:r>
    </w:p>
    <w:p>
      <w:pPr>
        <w:pStyle w:val="Heading2"/>
        <w:keepNext/>
        <w:spacing w:after="140" w:before="280"/>
      </w:pPr>
      <w:r>
        <w:rPr>
          <w:rFonts w:ascii="Arial" w:cs="Arial" w:eastAsia="Arial" w:hAnsi="Arial"/>
          <w:b/>
          <w:bCs/>
          <w:color w:val="1A1A1A"/>
          <w:sz w:val="28"/>
          <w:szCs w:val="28"/>
        </w:rPr>
        <w:t xml:space="preserve">A.1. Chronologie consolidée des échanges et évaluations DUE — 2011 à 2026</w:t>
      </w:r>
    </w:p>
    <w:p>
      <w:pPr>
        <w:spacing w:after="60" w:before="60" w:line="300"/>
      </w:pPr>
      <w:r>
        <w:rPr>
          <w:rFonts w:ascii="Arial" w:cs="Arial" w:eastAsia="Arial" w:hAnsi="Arial"/>
          <w:color w:val="222222"/>
          <w:sz w:val="22"/>
          <w:szCs w:val="22"/>
        </w:rPr>
        <w:t xml:space="preserve">La présente section reproduit la chronologie complète des échanges et évaluations menés avec IM2S Protection Incendie depuis le début de la collaboration en 2011. Elle constitue une preuve documentaire de la continuité de l’accompagnement HSE et permet de tracer l’évolution du dispositif de prévention sur 15 années.</w:t>
      </w:r>
    </w:p>
    <w:p>
      <w:pPr>
        <w:pStyle w:val="Heading3"/>
        <w:keepNext/>
        <w:spacing w:after="100" w:before="200"/>
      </w:pPr>
      <w:r>
        <w:rPr>
          <w:rFonts w:ascii="Arial" w:cs="Arial" w:eastAsia="Arial" w:hAnsi="Arial"/>
          <w:b/>
          <w:bCs/>
          <w:color w:val="5A5B5C"/>
          <w:sz w:val="24"/>
          <w:szCs w:val="24"/>
        </w:rPr>
        <w:t xml:space="preserve">A.1.1. Échanges historiques (2011 —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 contexte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24/11/2011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Premier RDV — M. KNOLL / IM2S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initialisation collaboration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12/12/2011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Sérigraphie Moderne (référence chantier)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chantier-pilote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chez IM2S — collecte documentaire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16/01/2012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IM2S Monaco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extension Monaco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23/10/2012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IM2S Protection Incendie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27/01/2016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du rapport DUERP édition 2016</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(note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point d’avancement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11/06/2024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finalisation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16/07/2024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téléphonique — mise à jour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IM2S</w:t>
            </w:r>
          </w:p>
        </w:tc>
      </w:tr>
    </w:tbl>
    <w:p>
      <w:pPr>
        <w:pStyle w:val="Heading3"/>
        <w:keepNext/>
        <w:spacing w:after="100" w:before="200"/>
      </w:pPr>
      <w:r>
        <w:rPr>
          <w:rFonts w:ascii="Arial" w:cs="Arial" w:eastAsia="Arial" w:hAnsi="Arial"/>
          <w:b/>
          <w:bCs/>
          <w:color w:val="5A5B5C"/>
          <w:sz w:val="24"/>
          <w:szCs w:val="24"/>
        </w:rPr>
        <w:t xml:space="preserve">A.1.2. Échanges récents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Lieu / acteurs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26/09/2025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sur site — IM2S Secure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 D. Museur ↔ S.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12/03/2026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évaluation des risques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 D. Museur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d’actualisation DUE (RDV impératif)</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Gaude — D. Museur ↔ S. Knoll — réunion clé d’actualisation 2026</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19/05/2026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Auto-évaluation Risqapp/SecureMetrix par M. KNOLL</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 ligne — diagnostic 52 p., note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v1.1 du DUERP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refonte cosignée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v1.2 du DUERP (présente édition)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intégration photos, accident factuel, points positifs 19/05</w:t>
            </w:r>
          </w:p>
        </w:tc>
      </w:tr>
    </w:tbl>
    <w:p>
      <w:pPr>
        <w:pStyle w:val="Heading3"/>
        <w:keepNext/>
        <w:spacing w:after="100" w:before="200"/>
      </w:pPr>
      <w:r>
        <w:rPr>
          <w:rFonts w:ascii="Arial" w:cs="Arial" w:eastAsia="Arial" w:hAnsi="Arial"/>
          <w:b/>
          <w:bCs/>
          <w:color w:val="5A5B5C"/>
          <w:sz w:val="24"/>
          <w:szCs w:val="24"/>
        </w:rPr>
        <w:t xml:space="preserve">A.1.3. Récapitulatif des évaluations formelles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globale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07/12/2015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initiale — Matrice Gravité × Fréquence par item (13 pages)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Cotation G/F item par item — pas de note synthétique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01/02/2016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Édition formelle du DUERP — diagnostic 44 p.</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14,46 / 20 (synthèse globale par catégorie)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19/01/2026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 IM2S
(entretien d\u2019actualisation)</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 d\u2019entretien de mise à jour annuelle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qualitatif : 9 personnes / 2 femmes, RPS non évalué, SST nul, EPI formé en 2015 jamais renouvelé, 6/9 habilités électriques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26/03/2026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Riskattitude)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JSON 839 items (référentiel Sécurité des Personnes Riskattitude) — non finalisé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 cours : 430 items notés 3 ; 295 non renseignés ; 0 maîtrisés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Risqapp)</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Diagnostic Risqapp 52 p. — 9 catégories de risque, items détaillés Oui/Non/non renseigné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53 / 100 (maturité modérée)</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LENAXIS / SECURE
(David MUSEUR)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Présente édition v1.1 — DUERP refondu, 6 UT, 25 fiches détaillées, plan d\u2019action priorisé, attestations détachables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A00D1A"/>
                <w:sz w:val="18"/>
                <w:szCs w:val="18"/>
              </w:rPr>
              <w:t xml:space="preserve">Cosignature externe — opposabilité renforcée</w:t>
            </w:r>
          </w:p>
        </w:tc>
      </w:tr>
    </w:tbl>
    <w:p>
      <w:pPr>
        <w:pStyle w:val="Heading2"/>
        <w:keepNext/>
        <w:spacing w:after="140" w:before="280"/>
      </w:pPr>
      <w:r>
        <w:rPr>
          <w:rFonts w:ascii="Arial" w:cs="Arial" w:eastAsia="Arial" w:hAnsi="Arial"/>
          <w:b/>
          <w:bCs/>
          <w:color w:val="1A1A1A"/>
          <w:sz w:val="28"/>
          <w:szCs w:val="28"/>
        </w:rPr>
        <w:t xml:space="preserve">A.2. Comparatif des notes synthétiques 2016 → 2026</w:t>
      </w:r>
    </w:p>
    <w:p>
      <w:pPr>
        <w:spacing w:after="60" w:before="60" w:line="300"/>
      </w:pPr>
      <w:r>
        <w:rPr>
          <w:rFonts w:ascii="Arial" w:cs="Arial" w:eastAsia="Arial" w:hAnsi="Arial"/>
          <w:color w:val="222222"/>
          <w:sz w:val="22"/>
          <w:szCs w:val="22"/>
        </w:rPr>
        <w:t xml:space="preserve">Les méthodes d\u2019évaluation 2016 (Riskattitude — note /20) et 2026 (Risqapp — score de maturité /100) étant différentes, la comparaison directe doit être lue avec prudence. En ramenant la note 2016 sur 100 (×5), on obtient l\u2019aperçu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de risque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(/20)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rapportée /100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2026
(/100)</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Tendance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15.55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d\u2019incendie et d\u2019explosion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légère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8.89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 (non éval.)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49</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 nouveau périmètre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Manutentions manuelles/mécaniques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Organisation interne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45</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Moyenne / Note globale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14.46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72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53</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apparente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Interprétation</w:t>
            </w:r>
          </w:p>
          <w:p>
            <w:r>
              <w:rPr>
                <w:rFonts w:ascii="Arial" w:cs="Arial" w:eastAsia="Arial" w:hAnsi="Arial"/>
                <w:color w:val="222222"/>
                <w:sz w:val="22"/>
                <w:szCs w:val="22"/>
              </w:rPr>
              <w:t xml:space="preserve">Deux lectures co-existent :
(1) La situation s\u2019est réellement dégradée sur 7 catégories sur 9, en particulier sur Manutentions, Circulations et Organisation interne (chutes de 15 à 25 points). Une hypothèse : l\u2019évolution réglementaire (notamment l\u2019introduction des RPS depuis 2017 et le durcissement des obligations BTP) a relevé le niveau d\u2019exigence sans que l\u2019entreprise n\u2019ait corrigé en parallèle.
(2) L\u2019audit Riskattitude 2016 (note /20) était plus indulgent que l\u2019auto-évaluation Risqapp 2026 (score /100), qui pose des questions plus précises et plus nombreuses. Dans ce cas, la note 2026 est plus honnête et révèle des angles morts du diagnostic 2016.
Dans les deux hypothèses, le plan d\u2019action de la présente édition v1.1 vise à traiter les écarts identifiés et à remonter les scores sur les 24 mois.</w:t>
            </w:r>
          </w:p>
        </w:tc>
      </w:tr>
    </w:tbl>
    <w:p>
      <w:pPr>
        <w:pStyle w:val="Heading2"/>
        <w:keepNext/>
        <w:spacing w:after="140" w:before="280"/>
      </w:pPr>
      <w:r>
        <w:rPr>
          <w:rFonts w:ascii="Arial" w:cs="Arial" w:eastAsia="Arial" w:hAnsi="Arial"/>
          <w:b/>
          <w:bCs/>
          <w:color w:val="1A1A1A"/>
          <w:sz w:val="28"/>
          <w:szCs w:val="28"/>
        </w:rPr>
        <w:t xml:space="preserve">A.3. Matrice Gravité × Fréquence détaillée — évaluation initiale 07/12/2015</w:t>
      </w:r>
    </w:p>
    <w:p>
      <w:pPr>
        <w:spacing w:after="60" w:before="60" w:line="300"/>
      </w:pPr>
      <w:r>
        <w:rPr>
          <w:rFonts w:ascii="Arial" w:cs="Arial" w:eastAsia="Arial" w:hAnsi="Arial"/>
          <w:color w:val="222222"/>
          <w:sz w:val="22"/>
          <w:szCs w:val="22"/>
        </w:rPr>
        <w:t xml:space="preserve">Cette matrice reproduit intégralement le contenu des 13 pages du document « DU - SARL IM2S PROTECTION INCENDIE - 8.pdf » (édition Riskattitude du 01/02/2016, évaluation du 07/12/2015). Elle constitue une pièce probante de l\u2019évaluation initiale du risque pour IM2S, conservée au titre de l\u2019obligation 40 ans.</w:t>
      </w:r>
    </w:p>
    <w:p>
      <w:pPr>
        <w:pBdr>
          <w:left w:val="single" w:color="A00D1A" w:sz="18" w:space="12"/>
        </w:pBdr>
        <w:spacing w:after="120" w:before="120" w:line="280"/>
        <w:ind w:left="360"/>
      </w:pPr>
      <w:r>
        <w:rPr>
          <w:rFonts w:ascii="Arial" w:cs="Arial" w:eastAsia="Arial" w:hAnsi="Arial"/>
          <w:i/>
          <w:iCs/>
          <w:color w:val="5A5B5C"/>
          <w:sz w:val="22"/>
          <w:szCs w:val="22"/>
        </w:rPr>
        <w:t xml:space="preserve">Lecture : G = Gravité (1 = bénin → 4 = grave/mortel) ; F = Fréquence (1 = très rare → 4 = permanente). Plus le produit G × F est élevé, plus le risque appelait une action prioritaire à l\u2019époque.</w:t>
      </w:r>
    </w:p>
    <w:p>
      <w:pPr>
        <w:pStyle w:val="Heading3"/>
        <w:keepNext/>
        <w:spacing w:after="100" w:before="200"/>
      </w:pPr>
      <w:r>
        <w:rPr>
          <w:rFonts w:ascii="Arial" w:cs="Arial" w:eastAsia="Arial" w:hAnsi="Arial"/>
          <w:b/>
          <w:bCs/>
          <w:color w:val="5A5B5C"/>
          <w:sz w:val="24"/>
          <w:szCs w:val="24"/>
        </w:rPr>
        <w:t xml:space="preserve">Organisation interne de l’entreprise</w:t>
      </w:r>
    </w:p>
    <w:p>
      <w:pPr>
        <w:spacing w:after="60" w:before="100" w:line="300"/>
      </w:pPr>
      <w:r>
        <w:rPr>
          <w:rFonts w:ascii="Arial" w:cs="Arial" w:eastAsia="Arial" w:hAnsi="Arial"/>
          <w:b/>
          <w:bCs/>
          <w:color w:val="222222"/>
          <w:sz w:val="22"/>
          <w:szCs w:val="22"/>
        </w:rPr>
        <w:t xml:space="preserve">Partenaires santé/sécurité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Le médecin du travail a-t-il présenté un plan d’activité ?</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Évacuation des blessés, organisation des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globale d’alerte et d’évacuation en cas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d’évacuation des blessés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cette procédure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incités à faire une formation SST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Actions de formation prévues sur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Hygiène — fumeurs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délimitées fumeurs/non-fumeurs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Emplacements réservés aux 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Campagnes d’information antitabac</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EPI — Équipements de protection individuelle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EPI nécessaires dans l’activité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à jour des EPI remis au personnel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utilisent la totalité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vérifie que seuls EPI fournis par l’entreprise sont utilisés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 explicite du port obligatoire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Connaissances sur le port des EPI régulièrement actualisées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Hygiène — saleté / poussière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de travail très sales/poussiéreuses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 formée aux secours / hygiène / protection peau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Violences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reprend articles de loi (racisme, violence, harcèlement)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de formation sur harcèlement moral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Addictions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alcool sur lieu de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cannabis/drogues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du règlement substances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Respect contrôlé par l’encadrement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informé sur comportement avec personnes dépendantes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Salariés nomades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nomades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nomades formés à la gestion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unités géographiques différentes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postes différents dans la journée/semaine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dont activité principale = remplacer absents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Nouveaux travailleurs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à risques bénéficient d’une formation renforcée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contrôle les connaissances acquises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des circulations et déplacements</w:t>
      </w:r>
    </w:p>
    <w:p>
      <w:pPr>
        <w:spacing w:after="60" w:before="100" w:line="300"/>
      </w:pPr>
      <w:r>
        <w:rPr>
          <w:rFonts w:ascii="Arial" w:cs="Arial" w:eastAsia="Arial" w:hAnsi="Arial"/>
          <w:b/>
          <w:bCs/>
          <w:color w:val="222222"/>
          <w:sz w:val="22"/>
          <w:szCs w:val="22"/>
        </w:rPr>
        <w:t xml:space="preserve">Voies de circulation des piétons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Portes voies de circulation s’ouvrent dans le sens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d’élimination des risques aux portes et portails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bien délimitées et signalisées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planes (sans trous, dénivellations)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descendre en sous-sol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d’accès sous-sol exemptes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sensibilisé aux risques de chutes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empêche accès non autorisé aux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formé à utiliser correctement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bl>
    <w:p>
      <w:pPr>
        <w:spacing w:after="60" w:before="100" w:line="300"/>
      </w:pPr>
      <w:r>
        <w:rPr>
          <w:rFonts w:ascii="Arial" w:cs="Arial" w:eastAsia="Arial" w:hAnsi="Arial"/>
          <w:b/>
          <w:bCs/>
          <w:color w:val="222222"/>
          <w:sz w:val="22"/>
          <w:szCs w:val="22"/>
        </w:rPr>
        <w:t xml:space="preserve">Voies d’évacuation, issues de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utilise plates-formes élévatrices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élévatrices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d’activité ponts roulants interdites aux piétons non autorisés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Voies circulation matériels manutention / chargement-déchargement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temporaires/tiers informés des règles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Voies de circulation véhicules routiers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circulation communes véhicules/piétons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Circulations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interviennent régulièrement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Trousse de premier soin dans chaque véhicule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manutentions manuelles / mécaniques</w:t>
      </w:r>
    </w:p>
    <w:p>
      <w:pPr>
        <w:spacing w:after="60" w:before="100" w:line="300"/>
      </w:pPr>
      <w:r>
        <w:rPr>
          <w:rFonts w:ascii="Arial" w:cs="Arial" w:eastAsia="Arial" w:hAnsi="Arial"/>
          <w:b/>
          <w:bCs/>
          <w:color w:val="222222"/>
          <w:sz w:val="22"/>
          <w:szCs w:val="22"/>
        </w:rPr>
        <w:t xml:space="preserve">Manutentions manuelles de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effectuent manutentions manuelles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Manutentions transport/soutien : levage, pose, poussée, traction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 manutention manuelle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 concernés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connaît risques sur santé/sécurité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connaît méfaits sur santé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consulté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travailleurs fournie au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tenu âge, sexe, constitution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19-45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répétitives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Petites charges (&lt;10 kg) régulièrement transportées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aux intempéries pendant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Nouveaux travailleurs/intérimaires formés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(gestes corrects)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Conséquences éventuelles d’un levage incorrect connues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Manutention de charges en hauteur — effondrements et chutes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avec objets stockés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Directives de stockage en hauteur transmises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avec casque + chaussures de sécurité en zone stockage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Appareils de levage / matériels d’aide à la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outils/appareils de levage et aides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Plates-formes élévatrices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plates-formes élévatrices pour 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Entretien périodique selon constructeur, carnet à jour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Engins motorisés de levage et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engins motorisés (chariots élévateurs, transpalettes)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Ponts roulants, portiques, semi-portiques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concernés 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Chargement/déchargement de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de levage utilisés pour chargement véhicules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Protocole destiné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Dispositions générales — manutentions mécaniques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Panneaux rappelant obligation port EPI affichés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Interventions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pour manutentions/chargement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physiques</w:t>
      </w:r>
    </w:p>
    <w:p>
      <w:pPr>
        <w:spacing w:after="60" w:before="100" w:line="300"/>
      </w:pPr>
      <w:r>
        <w:rPr>
          <w:rFonts w:ascii="Arial" w:cs="Arial" w:eastAsia="Arial" w:hAnsi="Arial"/>
          <w:b/>
          <w:bCs/>
          <w:color w:val="222222"/>
          <w:sz w:val="22"/>
          <w:szCs w:val="22"/>
        </w:rPr>
        <w:t xml:space="preserve">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Charge sonore connue pour tous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ou postes exposés ≥ 85 dB(A) / 130 dB crête identifiés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Activités ou machines occasionnent bruit continu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Personnes exposées informées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port correct des protections auditives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du médecin du travail sur risques bruit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Éclairage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à mauvais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risques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Rayonnements ionisants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à rayonnements ionisants/optiques/électromagnétiques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Température des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Locaux chauffés pendant saison froide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exposés à des courants d’air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Fortes chaleurs, canicule, intempéries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aux intempéries (froid, pluie, chaleur)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Aménagement, ergonomie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aménagement/ergonomie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dans position inconfortable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Gestes répétitifs, position maintenue, efforts soutenus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d’évaluation/prévention TMS de tous les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nécessitant travail fréquent en position maintenue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en position fixe tête et cou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gestes/positions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prévention TMS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bl>
    <w:p>
      <w:pPr>
        <w:spacing w:after="60" w:before="100" w:line="300"/>
      </w:pPr>
      <w:r>
        <w:rPr>
          <w:rFonts w:ascii="Arial" w:cs="Arial" w:eastAsia="Arial" w:hAnsi="Arial"/>
          <w:b/>
          <w:bCs/>
          <w:color w:val="222222"/>
          <w:sz w:val="22"/>
          <w:szCs w:val="22"/>
        </w:rPr>
        <w:t xml:space="preserve">Utilisation machines et équipements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Possibilité d’écrasement/accrochage/coincement sur machines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formalisées de maintien à l’arrêt sûr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connues de tous les opérateurs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Travail en hauteur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Moyens de prévention travail hauteur mis en œuvre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Travaux simultanés à hauteurs/étages différents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"petite hauteur" sur escabeaux, trépieds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formés et informés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Échelles mobiles utilisées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Machines électriques portatives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machines électriques portatives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Interventions/entretien/réparations répertoriées sur carnet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Outillage à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outillage à main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Travail sur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Tous travailleurs sur postes informatisés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au travail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 bonnes postures et mesures de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informatiques ont un carnet d’entretien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autorise téléphone portable sur chantiers/hauteur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psycho-sociaux</w:t>
      </w:r>
    </w:p>
    <w:p>
      <w:pPr>
        <w:spacing w:after="60" w:before="100" w:line="300"/>
      </w:pPr>
      <w:r>
        <w:rPr>
          <w:rFonts w:ascii="Arial" w:cs="Arial" w:eastAsia="Arial" w:hAnsi="Arial"/>
          <w:b/>
          <w:bCs/>
          <w:color w:val="222222"/>
          <w:sz w:val="22"/>
          <w:szCs w:val="22"/>
        </w:rPr>
        <w:t xml:space="preserve">Cadences, rythme,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en travail de nuit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impliquant horaires irréguliers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déjeunant à leur poste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ne prenant pas le temps de déjeuner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Stress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stress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formé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qualité/coûts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demandant attention/effort/concentration soutenus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routiers</w:t>
      </w:r>
    </w:p>
    <w:p>
      <w:pPr>
        <w:spacing w:after="60" w:before="100" w:line="300"/>
      </w:pPr>
      <w:r>
        <w:rPr>
          <w:rFonts w:ascii="Arial" w:cs="Arial" w:eastAsia="Arial" w:hAnsi="Arial"/>
          <w:b/>
          <w:bCs/>
          <w:color w:val="222222"/>
          <w:sz w:val="22"/>
          <w:szCs w:val="22"/>
        </w:rPr>
        <w:t xml:space="preserve">Déplacements routiers pour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aux gestes de premiers secours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Formations/campagnes prévention risques routiers organisées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Informations (affichage) sécurité routière données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horaires nuit ou posté sensibilisés au risque routier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coupure (nombreux trajets) sensibilisés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Feuille de route fournie pour déplacements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Périodicité des vérifications selon utilisation réelle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aux salariés concernés par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téléphone mobile au volant (y compris kit mains-libres)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fumer/téléphoner aux pompes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Déplacements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Fort pourcentage de travailleurs avec véhicule perso pour trajets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3"/>
        <w:keepNext/>
        <w:spacing w:after="100" w:before="200"/>
      </w:pPr>
      <w:r>
        <w:rPr>
          <w:rFonts w:ascii="Arial" w:cs="Arial" w:eastAsia="Arial" w:hAnsi="Arial"/>
          <w:b/>
          <w:bCs/>
          <w:color w:val="5A5B5C"/>
          <w:sz w:val="24"/>
          <w:szCs w:val="24"/>
        </w:rPr>
        <w:t xml:space="preserve">Risques d’incendie et d’explosion</w:t>
      </w:r>
    </w:p>
    <w:p>
      <w:pPr>
        <w:spacing w:after="60" w:before="100" w:line="300"/>
      </w:pPr>
      <w:r>
        <w:rPr>
          <w:rFonts w:ascii="Arial" w:cs="Arial" w:eastAsia="Arial" w:hAnsi="Arial"/>
          <w:b/>
          <w:bCs/>
          <w:color w:val="222222"/>
          <w:sz w:val="22"/>
          <w:szCs w:val="22"/>
        </w:rPr>
        <w:t xml:space="preserve">Produits d’entretien et d’usage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colles, acétone, alcool, peinture ou produits courants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Matériel de lutte contre l’incendie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Responsable nommé chargé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régulière fonctionnement balisage et signalisation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Bilan fait à l’issue des exercices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de garer devant bornes incendie contrôlée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Évacuation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mise au repos / remise en veille éclairage de sécurité tous les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d’autonomie d’au moins 1 heure tous les 6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2"/>
        <w:keepNext/>
        <w:spacing w:after="140" w:before="280"/>
      </w:pPr>
      <w:r>
        <w:rPr>
          <w:rFonts w:ascii="Arial" w:cs="Arial" w:eastAsia="Arial" w:hAnsi="Arial"/>
          <w:b/>
          <w:bCs/>
          <w:color w:val="1A1A1A"/>
          <w:sz w:val="28"/>
          <w:szCs w:val="28"/>
        </w:rPr>
        <w:t xml:space="preserve">A.4. Sources externes consolidées</w:t>
      </w:r>
    </w:p>
    <w:p>
      <w:pPr>
        <w:spacing w:after="60" w:before="60" w:line="300"/>
      </w:pPr>
      <w:r>
        <w:rPr>
          <w:rFonts w:ascii="Arial" w:cs="Arial" w:eastAsia="Arial" w:hAnsi="Arial"/>
          <w:color w:val="222222"/>
          <w:sz w:val="22"/>
          <w:szCs w:val="22"/>
        </w:rPr>
        <w:t xml:space="preserve">La présente édition v1.1 mobilise les sources suivantes, toutes conservées en pièces probantes :</w:t>
      </w:r>
    </w:p>
    <w:p>
      <w:pPr>
        <w:pStyle w:val="ListParagraph"/>
        <w:numPr>
          <w:ilvl w:val="0"/>
          <w:numId w:val="2"/>
        </w:numPr>
        <w:spacing w:after="40" w:before="40" w:line="300"/>
      </w:pPr>
      <w:r>
        <w:rPr>
          <w:rFonts w:ascii="Arial" w:cs="Arial" w:eastAsia="Arial" w:hAnsi="Arial"/>
          <w:b/>
          <w:bCs/>
          <w:sz w:val="22"/>
          <w:szCs w:val="22"/>
        </w:rPr>
        <w:t xml:space="preserve">DU - SARL IM2S PROTECTION INCENDIE - 8.pdf</w:t>
      </w:r>
      <w:r>
        <w:rPr>
          <w:rFonts w:ascii="Arial" w:cs="Arial" w:eastAsia="Arial" w:hAnsi="Arial"/>
          <w:sz w:val="22"/>
          <w:szCs w:val="22"/>
        </w:rPr>
        <w:t xml:space="preserve"> — 13 p. — matrice G/F item par item — évaluation 07/12/2015 par Riskattitude</w:t>
      </w:r>
    </w:p>
    <w:p>
      <w:pPr>
        <w:pStyle w:val="ListParagraph"/>
        <w:numPr>
          <w:ilvl w:val="0"/>
          <w:numId w:val="2"/>
        </w:numPr>
        <w:spacing w:after="40" w:before="40" w:line="300"/>
      </w:pPr>
      <w:r>
        <w:rPr>
          <w:rFonts w:ascii="Arial" w:cs="Arial" w:eastAsia="Arial" w:hAnsi="Arial"/>
          <w:b/>
          <w:bCs/>
          <w:sz w:val="22"/>
          <w:szCs w:val="22"/>
        </w:rPr>
        <w:t xml:space="preserve">Document_unique_IM2S.pdf</w:t>
      </w:r>
      <w:r>
        <w:rPr>
          <w:rFonts w:ascii="Arial" w:cs="Arial" w:eastAsia="Arial" w:hAnsi="Arial"/>
          <w:sz w:val="22"/>
          <w:szCs w:val="22"/>
        </w:rPr>
        <w:t xml:space="preserve"> — 44 p. — édition formelle Riskattitude 01/02/2016, note 14,46/20</w:t>
      </w:r>
    </w:p>
    <w:p>
      <w:pPr>
        <w:pStyle w:val="ListParagraph"/>
        <w:numPr>
          <w:ilvl w:val="0"/>
          <w:numId w:val="2"/>
        </w:numPr>
        <w:spacing w:after="40" w:before="40" w:line="300"/>
      </w:pPr>
      <w:r>
        <w:rPr>
          <w:rFonts w:ascii="Arial" w:cs="Arial" w:eastAsia="Arial" w:hAnsi="Arial"/>
          <w:b/>
          <w:bCs/>
          <w:sz w:val="22"/>
          <w:szCs w:val="22"/>
        </w:rPr>
        <w:t xml:space="preserve">MISE_A_JOUR_IM2S_ENTREPTIEN_DU_19_JANVIER.docx</w:t>
      </w:r>
      <w:r>
        <w:rPr>
          <w:rFonts w:ascii="Arial" w:cs="Arial" w:eastAsia="Arial" w:hAnsi="Arial"/>
          <w:sz w:val="22"/>
          <w:szCs w:val="22"/>
        </w:rPr>
        <w:t xml:space="preserve"> — CR entretien d\u2019actualisation annuelle Riskattitude / IM2S</w:t>
      </w:r>
    </w:p>
    <w:p>
      <w:pPr>
        <w:pStyle w:val="ListParagraph"/>
        <w:numPr>
          <w:ilvl w:val="0"/>
          <w:numId w:val="2"/>
        </w:numPr>
        <w:spacing w:after="40" w:before="40" w:line="300"/>
      </w:pPr>
      <w:r>
        <w:rPr>
          <w:rFonts w:ascii="Arial" w:cs="Arial" w:eastAsia="Arial" w:hAnsi="Arial"/>
          <w:b/>
          <w:bCs/>
          <w:sz w:val="22"/>
          <w:szCs w:val="22"/>
        </w:rPr>
        <w:t xml:space="preserve">5GwkgHFA6x_432_securitedespersonnes.json</w:t>
      </w:r>
      <w:r>
        <w:rPr>
          <w:rFonts w:ascii="Arial" w:cs="Arial" w:eastAsia="Arial" w:hAnsi="Arial"/>
          <w:sz w:val="22"/>
          <w:szCs w:val="22"/>
        </w:rPr>
        <w:t xml:space="preserve"> — Export Riskattitude — 839 items du référentiel Sécurité des Personnes — audit 26/03/2026 non finalisé</w:t>
      </w:r>
    </w:p>
    <w:p>
      <w:pPr>
        <w:pStyle w:val="ListParagraph"/>
        <w:numPr>
          <w:ilvl w:val="0"/>
          <w:numId w:val="2"/>
        </w:numPr>
        <w:spacing w:after="40" w:before="40" w:line="300"/>
      </w:pPr>
      <w:r>
        <w:rPr>
          <w:rFonts w:ascii="Arial" w:cs="Arial" w:eastAsia="Arial" w:hAnsi="Arial"/>
          <w:b/>
          <w:bCs/>
          <w:sz w:val="22"/>
          <w:szCs w:val="22"/>
        </w:rPr>
        <w:t xml:space="preserve">Risqapp___Diagnostic_des_Risques_Entreprise.pdf</w:t>
      </w:r>
      <w:r>
        <w:rPr>
          <w:rFonts w:ascii="Arial" w:cs="Arial" w:eastAsia="Arial" w:hAnsi="Arial"/>
          <w:sz w:val="22"/>
          <w:szCs w:val="22"/>
        </w:rPr>
        <w:t xml:space="preserve"> — 52 p. — diagnostic Risqapp/SecureMetrix 19/05/2026, note 53/100</w:t>
      </w:r>
    </w:p>
    <w:p>
      <w:pPr>
        <w:pStyle w:val="ListParagraph"/>
        <w:numPr>
          <w:ilvl w:val="0"/>
          <w:numId w:val="2"/>
        </w:numPr>
        <w:spacing w:after="40" w:before="40" w:line="300"/>
      </w:pPr>
      <w:r>
        <w:rPr>
          <w:rFonts w:ascii="Arial" w:cs="Arial" w:eastAsia="Arial" w:hAnsi="Arial"/>
          <w:b/>
          <w:bCs/>
          <w:sz w:val="22"/>
          <w:szCs w:val="22"/>
        </w:rPr>
        <w:t xml:space="preserve">Diagnostic_DUE_IM2S_MISE_A_JOUR_2026.docx</w:t>
      </w:r>
      <w:r>
        <w:rPr>
          <w:rFonts w:ascii="Arial" w:cs="Arial" w:eastAsia="Arial" w:hAnsi="Arial"/>
          <w:sz w:val="22"/>
          <w:szCs w:val="22"/>
        </w:rPr>
        <w:t xml:space="preserve"> — Version Word officielle du diagnostic Risqapp (rapport généré 27/05/2026)</w:t>
      </w:r>
    </w:p>
    <w:p>
      <w:pPr>
        <w:pStyle w:val="ListParagraph"/>
        <w:numPr>
          <w:ilvl w:val="0"/>
          <w:numId w:val="2"/>
        </w:numPr>
        <w:spacing w:after="40" w:before="40" w:line="300"/>
      </w:pPr>
      <w:r>
        <w:rPr>
          <w:rFonts w:ascii="Arial" w:cs="Arial" w:eastAsia="Arial" w:hAnsi="Arial"/>
          <w:b/>
          <w:bCs/>
          <w:sz w:val="22"/>
          <w:szCs w:val="22"/>
        </w:rPr>
        <w:t xml:space="preserve">Collecte_d_informations_IM2S_Protection_Incendie.docx</w:t>
      </w:r>
      <w:r>
        <w:rPr>
          <w:rFonts w:ascii="Arial" w:cs="Arial" w:eastAsia="Arial" w:hAnsi="Arial"/>
          <w:sz w:val="22"/>
          <w:szCs w:val="22"/>
        </w:rPr>
        <w:t xml:space="preserve"> — Rapport d\u2019analyse documentaire IA tierce (Pappers, INSEE, BODACC, comptes sociaux, presse) — 8 blocs structurés</w:t>
      </w:r>
    </w:p>
    <w:p>
      <w:pPr>
        <w:pStyle w:val="ListParagraph"/>
        <w:numPr>
          <w:ilvl w:val="0"/>
          <w:numId w:val="2"/>
        </w:numPr>
        <w:spacing w:after="40" w:before="40" w:line="300"/>
      </w:pPr>
      <w:r>
        <w:rPr>
          <w:rFonts w:ascii="Arial" w:cs="Arial" w:eastAsia="Arial" w:hAnsi="Arial"/>
          <w:b/>
          <w:bCs/>
          <w:sz w:val="22"/>
          <w:szCs w:val="22"/>
        </w:rPr>
        <w:t xml:space="preserve">IM2S...-Extrait_d_immatriculation.pdf</w:t>
      </w:r>
      <w:r>
        <w:rPr>
          <w:rFonts w:ascii="Arial" w:cs="Arial" w:eastAsia="Arial" w:hAnsi="Arial"/>
          <w:sz w:val="22"/>
          <w:szCs w:val="22"/>
        </w:rPr>
        <w:t xml:space="preserve"> — Extrait Pappers à jour 26/05/2026</w:t>
      </w:r>
    </w:p>
    <w:p>
      <w:pPr>
        <w:pStyle w:val="ListParagraph"/>
        <w:numPr>
          <w:ilvl w:val="0"/>
          <w:numId w:val="2"/>
        </w:numPr>
        <w:spacing w:after="40" w:before="40" w:line="300"/>
      </w:pPr>
      <w:r>
        <w:rPr>
          <w:rFonts w:ascii="Arial" w:cs="Arial" w:eastAsia="Arial" w:hAnsi="Arial"/>
          <w:b/>
          <w:bCs/>
          <w:sz w:val="22"/>
          <w:szCs w:val="22"/>
        </w:rPr>
        <w:t xml:space="preserve">IM2S...-Comptes_sociaux_2024.pdf</w:t>
      </w:r>
      <w:r>
        <w:rPr>
          <w:rFonts w:ascii="Arial" w:cs="Arial" w:eastAsia="Arial" w:hAnsi="Arial"/>
          <w:sz w:val="22"/>
          <w:szCs w:val="22"/>
        </w:rPr>
        <w:t xml:space="preserve"> — 17 p. — comptes sociaux exercice 2024 (déposés au greffe)</w:t>
      </w:r>
    </w:p>
    <w:p>
      <w:pPr>
        <w:pStyle w:val="ListParagraph"/>
        <w:numPr>
          <w:ilvl w:val="0"/>
          <w:numId w:val="2"/>
        </w:numPr>
        <w:spacing w:after="40" w:before="40" w:line="300"/>
      </w:pPr>
      <w:r>
        <w:rPr>
          <w:rFonts w:ascii="Arial" w:cs="Arial" w:eastAsia="Arial" w:hAnsi="Arial"/>
          <w:b/>
          <w:bCs/>
          <w:sz w:val="22"/>
          <w:szCs w:val="22"/>
        </w:rPr>
        <w:t xml:space="preserve">IM2S...-Actes_du_13-09-2022.pdf</w:t>
      </w:r>
      <w:r>
        <w:rPr>
          <w:rFonts w:ascii="Arial" w:cs="Arial" w:eastAsia="Arial" w:hAnsi="Arial"/>
          <w:sz w:val="22"/>
          <w:szCs w:val="22"/>
        </w:rPr>
        <w:t xml:space="preserve"> — Actes notariés du 13/09/2022 (création SIRET 00034 Astrae Center)</w:t>
      </w:r>
    </w:p>
    <w:p>
      <w:pPr>
        <w:pStyle w:val="ListParagraph"/>
        <w:numPr>
          <w:ilvl w:val="0"/>
          <w:numId w:val="2"/>
        </w:numPr>
        <w:spacing w:after="40" w:before="40" w:line="300"/>
      </w:pPr>
      <w:r>
        <w:rPr>
          <w:rFonts w:ascii="Arial" w:cs="Arial" w:eastAsia="Arial" w:hAnsi="Arial"/>
          <w:b/>
          <w:bCs/>
          <w:sz w:val="22"/>
          <w:szCs w:val="22"/>
        </w:rPr>
        <w:t xml:space="preserve">BODACC_C_PDF_Unitaire_20240158_00978.pdf</w:t>
      </w:r>
      <w:r>
        <w:rPr>
          <w:rFonts w:ascii="Arial" w:cs="Arial" w:eastAsia="Arial" w:hAnsi="Arial"/>
          <w:sz w:val="22"/>
          <w:szCs w:val="22"/>
        </w:rPr>
        <w:t xml:space="preserve"> — Annonce BODACC C 27/02/2024 — dépôt des comptes 2023</w:t>
      </w:r>
    </w:p>
    <w:p>
      <w:pPr>
        <w:pStyle w:val="ListParagraph"/>
        <w:numPr>
          <w:ilvl w:val="0"/>
          <w:numId w:val="2"/>
        </w:numPr>
        <w:spacing w:after="40" w:before="40" w:line="300"/>
      </w:pPr>
      <w:r>
        <w:rPr>
          <w:rFonts w:ascii="Arial" w:cs="Arial" w:eastAsia="Arial" w:hAnsi="Arial"/>
          <w:b/>
          <w:bCs/>
          <w:sz w:val="22"/>
          <w:szCs w:val="22"/>
        </w:rPr>
        <w:t xml:space="preserve">Devis IM2S - Protocole transactionnel désenfumage.pdf</w:t>
      </w:r>
      <w:r>
        <w:rPr>
          <w:rFonts w:ascii="Arial" w:cs="Arial" w:eastAsia="Arial" w:hAnsi="Arial"/>
          <w:sz w:val="22"/>
          <w:szCs w:val="22"/>
        </w:rPr>
        <w:t xml:space="preserve"> — Devis chantier Sérigraphie Moderne SAS — voûtes Arcadef GD en toiture (illustration risque hauteur)</w:t>
      </w:r>
    </w:p>
    <w:p>
      <w:pPr>
        <w:pStyle w:val="ListParagraph"/>
        <w:numPr>
          <w:ilvl w:val="0"/>
          <w:numId w:val="2"/>
        </w:numPr>
        <w:spacing w:after="40" w:before="40" w:line="300"/>
      </w:pPr>
      <w:r>
        <w:rPr>
          <w:rFonts w:ascii="Arial" w:cs="Arial" w:eastAsia="Arial" w:hAnsi="Arial"/>
          <w:b/>
          <w:bCs/>
          <w:sz w:val="22"/>
          <w:szCs w:val="22"/>
        </w:rPr>
        <w:t xml:space="preserve">Plan_de_pre_vention_IM2S.docm</w:t>
      </w:r>
      <w:r>
        <w:rPr>
          <w:rFonts w:ascii="Arial" w:cs="Arial" w:eastAsia="Arial" w:hAnsi="Arial"/>
          <w:sz w:val="22"/>
          <w:szCs w:val="22"/>
        </w:rPr>
        <w:t xml:space="preserve"> — Coquille vide Riskattitude (à compléter — un plan de prévention par client est requis)</w:t>
      </w:r>
    </w:p>
    <w:p>
      <w:pPr>
        <w:pStyle w:val="ListParagraph"/>
        <w:numPr>
          <w:ilvl w:val="0"/>
          <w:numId w:val="2"/>
        </w:numPr>
        <w:spacing w:after="40" w:before="40" w:line="300"/>
      </w:pPr>
      <w:r>
        <w:rPr>
          <w:rFonts w:ascii="Arial" w:cs="Arial" w:eastAsia="Arial" w:hAnsi="Arial"/>
          <w:b/>
          <w:bCs/>
          <w:sz w:val="22"/>
          <w:szCs w:val="22"/>
        </w:rPr>
        <w:t xml:space="preserve">Capture_e_cran_logo15_47_18.png</w:t>
      </w:r>
      <w:r>
        <w:rPr>
          <w:rFonts w:ascii="Arial" w:cs="Arial" w:eastAsia="Arial" w:hAnsi="Arial"/>
          <w:sz w:val="22"/>
          <w:szCs w:val="22"/>
        </w:rPr>
        <w:t xml:space="preserve"> — Logo officiel IM2S — couleurs identifiées rouge #A00D1A et gris #5A5B5C</w:t>
      </w:r>
    </w:p>
    <w:p>
      <w:pPr>
        <w:pStyle w:val="Heading1"/>
        <w:keepNext/>
        <w:pageBreakBefore/>
        <w:spacing w:after="240" w:before="480"/>
      </w:pPr>
      <w:r>
        <w:rPr>
          <w:rFonts w:ascii="Arial" w:cs="Arial" w:eastAsia="Arial" w:hAnsi="Arial"/>
          <w:b/>
          <w:bCs/>
          <w:color w:val="A00D1A"/>
          <w:sz w:val="36"/>
          <w:szCs w:val="36"/>
        </w:rPr>
        <w:t xml:space="preserve">10. Annexes</w:t>
      </w:r>
    </w:p>
    <w:p>
      <w:pPr>
        <w:pStyle w:val="Heading2"/>
        <w:keepNext/>
        <w:spacing w:after="140" w:before="280"/>
      </w:pPr>
      <w:r>
        <w:rPr>
          <w:rFonts w:ascii="Arial" w:cs="Arial" w:eastAsia="Arial" w:hAnsi="Arial"/>
          <w:b/>
          <w:bCs/>
          <w:color w:val="1A1A1A"/>
          <w:sz w:val="28"/>
          <w:szCs w:val="28"/>
        </w:rPr>
        <w:t xml:space="preserve">10.1. Sources documentaires de cette édition</w:t>
      </w:r>
    </w:p>
    <w:p>
      <w:pPr>
        <w:pStyle w:val="ListParagraph"/>
        <w:numPr>
          <w:ilvl w:val="0"/>
          <w:numId w:val="2"/>
        </w:numPr>
        <w:spacing w:after="40" w:before="40" w:line="300"/>
      </w:pPr>
      <w:r>
        <w:rPr>
          <w:rFonts w:ascii="Arial" w:cs="Arial" w:eastAsia="Arial" w:hAnsi="Arial"/>
          <w:color w:val="222222"/>
          <w:sz w:val="22"/>
          <w:szCs w:val="22"/>
        </w:rPr>
        <w:t xml:space="preserve">Extrait Pappers du Registre National des Entreprises — IM2S, à jour au 26 mai 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annonce n° 978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SARL IM2S Protection Incendie, édition du 01/02/2016, évaluation du 07/12/2015 (13 pages, cotation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IM2S, rapport généré le 05/02/2016 (44 pages).</w:t>
      </w:r>
    </w:p>
    <w:p>
      <w:pPr>
        <w:pStyle w:val="ListParagraph"/>
        <w:numPr>
          <w:ilvl w:val="0"/>
          <w:numId w:val="2"/>
        </w:numPr>
        <w:spacing w:after="40" w:before="40" w:line="300"/>
      </w:pPr>
      <w:r>
        <w:rPr>
          <w:rFonts w:ascii="Arial" w:cs="Arial" w:eastAsia="Arial" w:hAnsi="Arial"/>
          <w:color w:val="222222"/>
          <w:sz w:val="22"/>
          <w:szCs w:val="22"/>
        </w:rPr>
        <w:t xml:space="preserve">Compte-rendu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Risqapp/SecureMetrix — IM2S Protection Incendie, visite du 19 mai 2026, rapport généré le 27 mai 2026 (52 pages).</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 fichier scanné, OCR à demander au client.</w:t>
      </w:r>
    </w:p>
    <w:p>
      <w:pPr>
        <w:pStyle w:val="ListParagraph"/>
        <w:numPr>
          <w:ilvl w:val="0"/>
          <w:numId w:val="2"/>
        </w:numPr>
        <w:spacing w:after="40" w:before="40" w:line="300"/>
      </w:pPr>
      <w:r>
        <w:rPr>
          <w:rFonts w:ascii="Arial" w:cs="Arial" w:eastAsia="Arial" w:hAnsi="Arial"/>
          <w:color w:val="222222"/>
          <w:sz w:val="22"/>
          <w:szCs w:val="22"/>
        </w:rPr>
        <w:t xml:space="preserve">Logo IM2S Protection Incendie — fichier graphique 224×84 px, couleurs identifiées : rouge #A00D1A, gris anthracite #5A5B5C.</w:t>
      </w:r>
    </w:p>
    <w:p>
      <w:pPr>
        <w:pStyle w:val="Heading2"/>
        <w:keepNext/>
        <w:spacing w:after="140" w:before="280"/>
      </w:pPr>
      <w:r>
        <w:rPr>
          <w:rFonts w:ascii="Arial" w:cs="Arial" w:eastAsia="Arial" w:hAnsi="Arial"/>
          <w:b/>
          <w:bCs/>
          <w:color w:val="1A1A1A"/>
          <w:sz w:val="28"/>
          <w:szCs w:val="28"/>
        </w:rPr>
        <w:t xml:space="preserve">10.2. Coordonnées des acteurs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Coordonnées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Médecine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 service interentreprises BTP probable, ex. APAS-BTP PACA]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06 — Alpes-Maritimes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 Sud-Est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35 rue Georges, 13002 Marseille — www.carsat-sudest.fr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 — antenne PACA</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www.preventionbtp.fr — adhésion incluse cotisation OPPBTP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 décennale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Numéros d’urgence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SAMU 15 — Pompiers 18 — Police 17 — Numéro européen 112 — SAMU social 115</w:t>
            </w:r>
          </w:p>
        </w:tc>
      </w:tr>
    </w:tbl>
    <w:p>
      <w:pPr>
        <w:pStyle w:val="Heading2"/>
        <w:keepNext/>
        <w:spacing w:after="140" w:before="280"/>
      </w:pPr>
      <w:r>
        <w:rPr>
          <w:rFonts w:ascii="Arial" w:cs="Arial" w:eastAsia="Arial" w:hAnsi="Arial"/>
          <w:b/>
          <w:bCs/>
          <w:color w:val="1A1A1A"/>
          <w:sz w:val="28"/>
          <w:szCs w:val="28"/>
        </w:rPr>
        <w:t xml:space="preserve">10.3. Historique des versions du DUERP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Modifications principales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initiale (Riskattitude)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01/02/2016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Création du DUERP. Évaluation du 07/12/2015. 2 unités de travail (Administratif et Techniciens). 9 catégories de risques. Note globale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Mises à jour intermédiaires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2016-2025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18"/>
                <w:szCs w:val="18"/>
              </w:rPr>
              <w:t xml:space="preserve">[Mises à jour annuelles à documenter — historique à reconstituer avec le client.] CR entretien du 19/01 documenté.</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Auto-évaluation Risqapp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19/05/2026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Auto-évaluation interne par le gérant via plateforme Risqapp (compte SecureMetrix). 9 catégories. Note globale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2026 v1 (LENAXIS / SECURE)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18"/>
                <w:szCs w:val="18"/>
              </w:rPr>
              <w:t xml:space="preserve">27/05/2026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Refonte complète et sectorialisation BTP-SSI : 6 unités de travail, 11 familles de risque, 25 fiches détaillées, plan d’action priorisé, KPI, 6 attestations détachables, cadre réglementaire complet.</w:t>
            </w:r>
          </w:p>
        </w:tc>
      </w:tr>
    </w:tbl>
    <w:p>
      <w:pPr>
        <w:pStyle w:val="Heading2"/>
        <w:keepNext/>
        <w:spacing w:after="140" w:before="280"/>
      </w:pPr>
      <w:r>
        <w:rPr>
          <w:rFonts w:ascii="Arial" w:cs="Arial" w:eastAsia="Arial" w:hAnsi="Arial"/>
          <w:b/>
          <w:bCs/>
          <w:color w:val="1A1A1A"/>
          <w:sz w:val="28"/>
          <w:szCs w:val="28"/>
        </w:rPr>
        <w:t xml:space="preserve">10.4.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Sigle</w:t>
            </w:r>
          </w:p>
        </w:tc>
        <w:tc>
          <w:tcPr>
            <w:tcW w:type="dxa" w:w="6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d’Exposition au Sang ou à un produit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Assemblée Plénière des Sociétés d’Assurances Dommages — référentiels techniques de prévention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AT/MP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du Travail / Maladie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Bloc Autonome d’Éclairage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BT / 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Basse Tension / 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CACES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Certificat d’Aptitude à la Conduite En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CARSAT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Caisse d’Assurance Retraite et de la Santé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Centralisateur de Mise en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Cancérogène, Mutagène, toxique pour la Reproduction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de Risque d’Exposition au Plomb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Coordonnateur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Actionné de Sécurité (désenfumage)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DATI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d’Alarme du Travailleur Isolé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DEEE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Déchets d’Équipements Électriques et Électroniques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DREETS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Régionale de l’Économie, de l’Emploi, du Travail et des Solidarités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DTA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Dossier Technique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DUERP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d’Évaluation des Risques Professionnels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EPI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Équipement de Protection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du Public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des Travailleurs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ETAM</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Techniciens et Agents de Maîtrise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Équivalent Temps Plein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FDS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de Données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HSE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Hygiène, Sécurité, Environnement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IDCC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Identifiant De la Convention Collective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IGH</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Immeuble de Grande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MAC 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et Actualisation des Compétences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NAF / APE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Nomenclature d’Activités Française / Activité Principale Exercée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OPPBTP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Organisme Professionnel de Prévention du Bâtiment et des Travaux Publics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PEMP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Élévatrice Mobile de Personnes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PGCSPS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Général de Coordination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PIRL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Individuelle Roulante Légère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PPSPS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Particulier de Sécurité et de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QVT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Qualité de Vie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Responsabilité Civile (pro, décennale)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RIA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 d’Incendie Armé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Psycho-Sociaux</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SDI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Détection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SIR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Suivi Individuel Renforcé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Sécurité et Protection de la Santé (chantiers BTP)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Sauveteur Secouriste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TG</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Gravité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TF</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Fréquence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TMS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Troubles Musculo-Squelettiques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Unité de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VLEP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Valeur Limite d’Exposition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VUL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Véhicule Utilitaire Léger</w:t>
            </w:r>
          </w:p>
        </w:tc>
      </w:tr>
    </w:tbl>
    <w:p>
      <w:pPr>
        <w:pStyle w:val="Heading2"/>
        <w:keepNext/>
        <w:spacing w:after="140" w:before="280"/>
      </w:pPr>
      <w:r>
        <w:rPr>
          <w:rFonts w:ascii="Arial" w:cs="Arial" w:eastAsia="Arial" w:hAnsi="Arial"/>
          <w:b/>
          <w:bCs/>
          <w:color w:val="1A1A1A"/>
          <w:sz w:val="28"/>
          <w:szCs w:val="28"/>
        </w:rPr>
        <w:t xml:space="preserve">10.5. Mentions légales</w:t>
      </w:r>
    </w:p>
    <w:p>
      <w:pPr>
        <w:spacing w:after="60" w:before="60" w:line="300"/>
      </w:pPr>
      <w:r>
        <w:rPr>
          <w:rFonts w:ascii="Arial" w:cs="Arial" w:eastAsia="Arial" w:hAnsi="Arial"/>
          <w:color w:val="222222"/>
          <w:sz w:val="22"/>
          <w:szCs w:val="22"/>
        </w:rPr>
        <w:t xml:space="preserve">Le présent DUERP édition 2026 v1 a été élaboré par M. David MUSEUR pour le compte de LENAXIS / SECURE à destination exclusive d’IM2S Protection Incendie. Sa diffusion en dehors du périmètre prévu à la page de validation requiert l’accord préalable du gérant d’IM2S. Il intègre le contenu factuel et les diagnostics produits antérieurement (Riskattitude, Risqapp/SecureMetrix), qui sont conservés en versions probantes annexes et ne sont pas remplacés par la présente édition.</w:t>
      </w:r>
    </w:p>
    <w:p>
      <w:pPr>
        <w:spacing w:after="60" w:before="60" w:line="300"/>
      </w:pPr>
      <w:r>
        <w:rPr>
          <w:rFonts w:ascii="Arial" w:cs="Arial" w:eastAsia="Arial" w:hAnsi="Arial"/>
          <w:color w:val="222222"/>
          <w:sz w:val="22"/>
          <w:szCs w:val="22"/>
        </w:rPr>
        <w:t xml:space="preserve">Toute reproduction partielle est autorisée pour les besoins internes d’IM2S Protection Incendie ; toute reproduction extérieure est soumise à autorisation préalable écrite du gérant et de LENAXIS / SECURE.</w:t>
      </w:r>
    </w:p>
    <w:p>
      <w:pPr>
        <w:pBdr>
          <w:left w:val="single" w:color="A00D1A" w:sz="18" w:space="12"/>
        </w:pBdr>
        <w:spacing w:after="120" w:before="120" w:line="280"/>
        <w:ind w:left="360"/>
      </w:pPr>
      <w:r>
        <w:rPr>
          <w:rFonts w:ascii="Arial" w:cs="Arial" w:eastAsia="Arial" w:hAnsi="Arial"/>
          <w:i/>
          <w:iCs/>
          <w:color w:val="5A5B5C"/>
          <w:sz w:val="22"/>
          <w:szCs w:val="22"/>
        </w:rPr>
        <w:t xml:space="preserve">Fin du Document Unique d’Évaluation des Risques Professionnels — Édition 2026 v1 — LENAXIS / SECURE pour IM2S Protection Incendie.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A00D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5B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IM2S PROTECTION INCENDIE — Version pour transmission externe</dc:title>
  <dc:creator>LENAXIS / SECURE — David MUSEUR</dc:creator>
  <dc:description>Document Unique d’Évaluation des Risques Professionnels</dc:description>
  <cp:lastModifiedBy>Un-named</cp:lastModifiedBy>
  <cp:revision>1</cp:revision>
  <dcterms:created xsi:type="dcterms:W3CDTF">2026-05-27T16:10:11.343Z</dcterms:created>
  <dcterms:modified xsi:type="dcterms:W3CDTF">2026-05-27T16:10:11.344Z</dcterms:modified>
</cp:coreProperties>
</file>

<file path=docProps/custom.xml><?xml version="1.0" encoding="utf-8"?>
<Properties xmlns="http://schemas.openxmlformats.org/officeDocument/2006/custom-properties" xmlns:vt="http://schemas.openxmlformats.org/officeDocument/2006/docPropsVTypes"/>
</file>