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LENAXIS / SECURE</w:t>
      </w:r>
    </w:p>
    <w:p>
      <w:pPr>
        <w:spacing w:after="360"/>
        <w:jc w:val="center"/>
      </w:pPr>
      <w:r>
        <w:rPr>
          <w:rFonts w:ascii="Arial" w:cs="Arial" w:eastAsia="Arial" w:hAnsi="Arial"/>
          <w:i/>
          <w:iCs/>
          <w:color w:val="5A5B5C"/>
          <w:sz w:val="18"/>
          <w:szCs w:val="18"/>
        </w:rPr>
        <w:t xml:space="preserve">Consultant : David MUSEUR — Cabinet HSE et conformité</w:t>
      </w:r>
    </w:p>
    <w:p>
      <w:pPr>
        <w:spacing w:after="60" w:before="120"/>
        <w:jc w:val="center"/>
      </w:pPr>
      <w:r>
        <w:rPr>
          <w:rFonts w:ascii="Arial" w:cs="Arial" w:eastAsia="Arial" w:hAnsi="Arial"/>
          <w:b/>
          <w:bCs/>
          <w:color w:val="A00D1A"/>
          <w:sz w:val="36"/>
          <w:szCs w:val="36"/>
        </w:rPr>
        <w:t xml:space="preserve">NOTE DE RÉPONSE FORMELLE</w:t>
      </w:r>
    </w:p>
    <w:p>
      <w:pPr>
        <w:spacing w:after="60"/>
        <w:jc w:val="center"/>
      </w:pPr>
      <w:r>
        <w:rPr>
          <w:rFonts w:ascii="Arial" w:cs="Arial" w:eastAsia="Arial" w:hAnsi="Arial"/>
          <w:b/>
          <w:bCs/>
          <w:color w:val="1A1A1A"/>
          <w:sz w:val="22"/>
          <w:szCs w:val="22"/>
        </w:rPr>
        <w:t xml:space="preserve">à l’analyse croisée des documents officiels et des audios</w:t>
      </w:r>
    </w:p>
    <w:p>
      <w:pPr>
        <w:spacing w:after="240"/>
        <w:jc w:val="center"/>
      </w:pPr>
      <w:r>
        <w:rPr>
          <w:rFonts w:ascii="Arial" w:cs="Arial" w:eastAsia="Arial" w:hAnsi="Arial"/>
          <w:color w:val="5A5B5C"/>
          <w:sz w:val="20"/>
          <w:szCs w:val="20"/>
        </w:rPr>
        <w:t xml:space="preserve">IM2S PROTECTION INCENDIE — Traçabilité des 6 corrections apportées au DUERP v2.3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Référence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NRA-IM2S-2026-05-27-v1</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Date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27 mai 2026</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Source de l’analyse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Analyse croisée NotebookLM produite à partir des documents officiels (DUERP v2.0, courrier des pièces, mail explicatif) et des retranscriptions audio intégrales de la réunion du 26/03/2026.</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Objet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Traçabilité des 6 corrections apportées aux livrables, identification des compléments à fournir par IM2S, livraison du DUERP v2.3 CORRIGÉ FINAL.</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Destinataire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 — gérant IM2S Protection Incendie</w:t>
            </w:r>
          </w:p>
        </w:tc>
      </w:tr>
    </w:tbl>
    <w:p>
      <w:pPr>
        <w:pStyle w:val="Heading2"/>
        <w:keepNext/>
        <w:spacing w:after="140" w:before="280"/>
      </w:pPr>
      <w:r>
        <w:rPr>
          <w:rFonts w:ascii="Arial" w:cs="Arial" w:eastAsia="Arial" w:hAnsi="Arial"/>
          <w:b/>
          <w:bCs/>
          <w:color w:val="1A1A1A"/>
          <w:sz w:val="28"/>
          <w:szCs w:val="28"/>
        </w:rPr>
        <w:t xml:space="preserve">Propos liminaire</w:t>
      </w:r>
    </w:p>
    <w:p>
      <w:pPr>
        <w:spacing w:after="60" w:before="60" w:line="300"/>
      </w:pPr>
      <w:r>
        <w:rPr>
          <w:rFonts w:ascii="Arial" w:cs="Arial" w:eastAsia="Arial" w:hAnsi="Arial"/>
          <w:color w:val="222222"/>
          <w:sz w:val="22"/>
          <w:szCs w:val="22"/>
        </w:rPr>
        <w:t xml:space="preserve">La présente note formalise la réponse du cabinet LENAXIS / SECURE à l’analyse croisée produite à partir des sources documentaires et audio du dossier IM2S. Cette analyse, particulièrement utile, a permis d’identifier 6 points de friction entre les documents officiels initiaux (DUERP v2.0, courrier des pièces, mail explicatif) et la réalité opérationnelle de l’entreprise telle qu’elle ressort des retranscriptions audio.</w:t>
      </w:r>
    </w:p>
    <w:p>
      <w:pPr>
        <w:spacing w:after="60" w:before="60" w:line="300"/>
      </w:pPr>
      <w:r>
        <w:rPr>
          <w:rFonts w:ascii="Arial" w:cs="Arial" w:eastAsia="Arial" w:hAnsi="Arial"/>
          <w:color w:val="222222"/>
          <w:sz w:val="22"/>
          <w:szCs w:val="22"/>
        </w:rPr>
        <w:t xml:space="preserve">Sur ces 6 points :</w:t>
      </w:r>
    </w:p>
    <w:p>
      <w:pPr>
        <w:pStyle w:val="ListParagraph"/>
        <w:numPr>
          <w:ilvl w:val="0"/>
          <w:numId w:val="2"/>
        </w:numPr>
        <w:spacing w:after="40" w:before="40" w:line="300"/>
      </w:pPr>
      <w:r>
        <w:rPr>
          <w:rFonts w:ascii="Arial" w:cs="Arial" w:eastAsia="Arial" w:hAnsi="Arial"/>
          <w:b/>
          <w:bCs/>
          <w:color w:val="2E7D32"/>
          <w:sz w:val="22"/>
          <w:szCs w:val="22"/>
        </w:rPr>
        <w:t xml:space="preserve">3 ont déjà été corrigés</w:t>
      </w:r>
      <w:r>
        <w:rPr>
          <w:rFonts w:ascii="Arial" w:cs="Arial" w:eastAsia="Arial" w:hAnsi="Arial"/>
          <w:sz w:val="22"/>
          <w:szCs w:val="22"/>
        </w:rPr>
        <w:t xml:space="preserve"> dans les versions intermédiaires (v2.1 DÉFINITIVE puis v2.2 ULTIME).</w:t>
      </w:r>
    </w:p>
    <w:p>
      <w:pPr>
        <w:pStyle w:val="ListParagraph"/>
        <w:numPr>
          <w:ilvl w:val="0"/>
          <w:numId w:val="2"/>
        </w:numPr>
        <w:spacing w:after="40" w:before="40" w:line="300"/>
      </w:pPr>
      <w:r>
        <w:rPr>
          <w:rFonts w:ascii="Arial" w:cs="Arial" w:eastAsia="Arial" w:hAnsi="Arial"/>
          <w:b/>
          <w:bCs/>
          <w:color w:val="A00D1A"/>
          <w:sz w:val="22"/>
          <w:szCs w:val="22"/>
        </w:rPr>
        <w:t xml:space="preserve">3 restent à traiter dans la version v2.3</w:t>
      </w:r>
      <w:r>
        <w:rPr>
          <w:rFonts w:ascii="Arial" w:cs="Arial" w:eastAsia="Arial" w:hAnsi="Arial"/>
          <w:sz w:val="22"/>
          <w:szCs w:val="22"/>
        </w:rPr>
        <w:t xml:space="preserve"> : reformulation de la fiche risque chimique, création du modèle de Plan de Prévention IM2S → client, actualisation du tableau des habilitations électriques sur la base de l’effectif courant de 18 collaborateurs.</w:t>
      </w:r>
    </w:p>
    <w:p>
      <w:pPr>
        <w:spacing w:after="60" w:before="60" w:line="300"/>
      </w:pPr>
      <w:r>
        <w:rPr>
          <w:rFonts w:ascii="Arial" w:cs="Arial" w:eastAsia="Arial" w:hAnsi="Arial"/>
          <w:color w:val="222222"/>
          <w:sz w:val="22"/>
          <w:szCs w:val="22"/>
        </w:rPr>
        <w:t xml:space="preserve">La présente note traite chaque point dans l’ordre soulevé par l’analyse croisée. Elle est accompagnée d’un modèle type de Plan de Prévention IM2S transmis sous fichier séparé (référence PP-IM2S-Modele-Type-v1), et du DUERP v2.3 CORRIGÉ FINAL.</w:t>
      </w:r>
    </w:p>
    <w:p>
      <w:pPr>
        <w:pStyle w:val="Heading2"/>
        <w:keepNext/>
        <w:spacing w:after="140" w:before="280"/>
      </w:pPr>
      <w:r>
        <w:rPr>
          <w:rFonts w:ascii="Arial" w:cs="Arial" w:eastAsia="Arial" w:hAnsi="Arial"/>
          <w:b/>
          <w:bCs/>
          <w:color w:val="1A1A1A"/>
          <w:sz w:val="28"/>
          <w:szCs w:val="28"/>
        </w:rPr>
        <w:t xml:space="preserve">Point n°1 — Incohérence sur l’effectif total et la parité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Constat de l’analyse croisée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Les documents officiels initiaux (DUERP v2.0) mentionnent un effectif de 19 collaborateurs dont seulement 2 femmes. La réalité issue de l’audio est de 18 collaborateurs (17 salariés + le gérant), avec 13 hommes et 5 femmes dont 1 en longue maladie.</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20"/>
                <w:szCs w:val="20"/>
              </w:rPr>
              <w:t xml:space="preserve">✓ DÉJÀ CORRIGÉ — dans la version v2.1 DÉFINITIVE puis confirmé en v2.2 ULTIME (section 1.10 et 6.2 du CR v4 ULTIME).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Formulation retenue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Effectif au 26/03/2026 : 18 collaborateurs (13 hommes + 5 femmes, dont 1 en situation de longue maladie) — tendance à la croissance vers 19 avec 2 recrutements en cours. »</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Action complémentaire IM2S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Transmission à LENAXIS de la liste nominative exacte (poste, sexe, date d’embauche, ETP, IDCC) pour permettre l’analyse sociodémographique fine et la mise à jour de la matrice de risques par unité de travail.</w:t>
            </w:r>
          </w:p>
        </w:tc>
      </w:tr>
    </w:tbl>
    <w:p>
      <w:pPr>
        <w:pStyle w:val="Heading2"/>
        <w:keepNext/>
        <w:spacing w:after="140" w:before="280"/>
      </w:pPr>
      <w:r>
        <w:rPr>
          <w:rFonts w:ascii="Arial" w:cs="Arial" w:eastAsia="Arial" w:hAnsi="Arial"/>
          <w:b/>
          <w:bCs/>
          <w:color w:val="1A1A1A"/>
          <w:sz w:val="28"/>
          <w:szCs w:val="28"/>
        </w:rPr>
        <w:t xml:space="preserve">Point n°2 — Contradiction sur le risque chimique (fiche FR-14)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Constat de l’analyse croisée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Une incohérence est relevée entre un ancien CR de janvier 2026 affirmant « aucune utilisation de produit chimique » et l’auto-évaluation Risqapp ainsi que la visite physique (bidons de peinture stockés au sol pour marquage des poteaux incendie, produits d’entretien et d’atelier dans le rayonnage chimique).</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PARTIELLEMENT TRAITÉ — l’action A.3 (bac de rétention + inventaire chimique + collecte FDS) est intégrée au tableau d’actions du CR v4 ULTIME et du DUERP v2.2 ULTIME. La fiche FR-14 du DUERP doit néanmoins être formellement reformulée pour assumer cette présence chimique.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Reformulation retenue (v2.3)</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fiche FR-14 est reformulée comme suit : « Présence avérée de produits chimiques d’usage courant dans l’atelier (peintures de marquage TOLLENS, dégrippants HEXAONE, mastics BOSTIK, colles ACRYLODISE, solvants, lave-glace, lubrifiants). Cette présence, initialement non documentée au CR du 19/01/2026, a été confirmée lors de la visite du 26/03/2026 et de l’auto-évaluation Risqapp du 19/05/2026. Le risque est qualifié de FAIBLE à MODÉRÉ selon les quantités présentes (volumes &lt; 10 L par produit). »</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Action complémentaire IM2S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Confirmation écrite que le bac de rétention a bien été installé sous le rayonnage chimique (cf. action A.3). (2) Transmission de l’inventaire chimique formalisé (tableau Excel modèle fourni en annexe au courrier des pièces). (3) Collecte et archivage des FDS des principaux produits.</w:t>
            </w:r>
          </w:p>
        </w:tc>
      </w:tr>
    </w:tbl>
    <w:p>
      <w:pPr>
        <w:pStyle w:val="Heading2"/>
        <w:keepNext/>
        <w:spacing w:after="140" w:before="280"/>
      </w:pPr>
      <w:r>
        <w:rPr>
          <w:rFonts w:ascii="Arial" w:cs="Arial" w:eastAsia="Arial" w:hAnsi="Arial"/>
          <w:b/>
          <w:bCs/>
          <w:color w:val="1A1A1A"/>
          <w:sz w:val="28"/>
          <w:szCs w:val="28"/>
        </w:rPr>
        <w:t xml:space="preserve">Point n°3 — Confusion sur le Plan de Prévention (fiche FR-24) — CRITIQUE BLOQUANT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4"/>
              <w:left w:val="single" w:color="C62828" w:sz="18"/>
              <w:bottom w:val="single" w:color="C62828" w:sz="4"/>
              <w:right w:val="single" w:color="C62828" w:sz="4"/>
            </w:tcBorders>
            <w:shd w:fill="F5F5F5" w:val="clear"/>
            <w:tcMar>
              <w:top w:type="dxa" w:w="160"/>
              <w:left w:type="dxa" w:w="200"/>
              <w:bottom w:type="dxa" w:w="160"/>
              <w:right w:type="dxa" w:w="200"/>
            </w:tcMar>
          </w:tcPr>
          <w:p>
            <w:pPr>
              <w:spacing w:after="60"/>
            </w:pPr>
            <w:r>
              <w:rPr>
                <w:rFonts w:ascii="Arial" w:cs="Arial" w:eastAsia="Arial" w:hAnsi="Arial"/>
                <w:b/>
                <w:bCs/>
                <w:color w:val="C62828"/>
                <w:sz w:val="22"/>
                <w:szCs w:val="22"/>
              </w:rPr>
              <w:t xml:space="preserve">Point central — clarification fondamentale</w:t>
            </w:r>
          </w:p>
          <w:p>
            <w:r>
              <w:rPr>
                <w:rFonts w:ascii="Arial" w:cs="Arial" w:eastAsia="Arial" w:hAnsi="Arial"/>
                <w:color w:val="222222"/>
                <w:sz w:val="22"/>
                <w:szCs w:val="22"/>
              </w:rPr>
              <w:t xml:space="preserve">Ce point constitue, conformément à l\u2019analyse croisée, le seul réel « point critique bloquant » du dossier. Il appelle un traitement spécifique et la production d\u2019un livrable nouveau (modèle type de Plan de Prévention IM2S → client).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Constat de l’analyse croisée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L’auto-évaluation Risqapp a répondu « Oui » à la question relative à l’existence d’un protocole de sécurité avec les entreprises extérieures. La réponse a été donnée en pensant au protocole encadrant les sous-traitants qu’IM2S accueille sur ses propres sites. Or, la réglementation (Décret 92-158 du 20/02/1992, codifié aux Art. R.4511-1 et suivants du Code du travail) impose à IM2S, en tant qu’entreprise EXTÉRIEURE intervenant dans les locaux des clients (entreprises utilisatrices), d’établir un Plan de Prévention écrit conjointement avec chaque entreprise utilisatrice — notamment lorsque la durée d’intervention dépasse 400 heures sur 12 mois ou que les travaux sont dangereux (Arrêté du 19/03/1993).</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C62828"/>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 NON TRAITÉ — la fiche FR-24 actuelle ne distingue pas suffisamment les deux situations (IM2S entreprise utilisatrice / IM2S entreprise extérieure).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Reformulation retenue (v2.3)</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fiche FR-24 est dédoublée en deux volets : (a) IM2S accueillant un sous-traitant — protocole de sécurité simplifié validé ; (b) IM2S intervenant chez un client — Plan de Prévention conjoint à établir systématiquement avant intervention. Une procédure d’application est annexée au DUERP v2.3.</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Livrable produit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20"/>
                <w:szCs w:val="20"/>
              </w:rPr>
              <w:t xml:space="preserve">Modèle type de Plan de Prévention IM2S → client (référence PP-IM2S-Modele-Type-v1) — fichier Word exploitable, conforme aux Art. R.4511-1 à R.4514-10 et à l’Arrêté du 19/03/1993. Comprend : identification des parties, inspection commune préalable, analyse des risques d’interférence, mesures de prévention, modalités d’organisation de la coordination, signatures.</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Action complémentaire IM2S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Validation du modèle de Plan de Prévention type avec le gérant. (2) Adaptation aux 3-5 chantiers récurrents principaux d’IM2S (premier déploiement opérationnel). (3) Formation de M. Karim (administratif/commercial) et de M. Gérard MANGENET (chargé d’exploitation) à son utilisation systématique. (4) Trace de signature client conservée pour chaque intervention soumise à plan de prévention.</w:t>
            </w:r>
          </w:p>
        </w:tc>
      </w:tr>
    </w:tbl>
    <w:p>
      <w:pPr>
        <w:pStyle w:val="Heading2"/>
        <w:keepNext/>
        <w:spacing w:after="140" w:before="280"/>
      </w:pPr>
      <w:r>
        <w:rPr>
          <w:rFonts w:ascii="Arial" w:cs="Arial" w:eastAsia="Arial" w:hAnsi="Arial"/>
          <w:b/>
          <w:bCs/>
          <w:color w:val="1A1A1A"/>
          <w:sz w:val="28"/>
          <w:szCs w:val="28"/>
        </w:rPr>
        <w:t xml:space="preserve">Point n°4 — Doute sur la convention collective applicable (IDCC)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Constat de l’analyse croisée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Doute entre IDCC 1596 (Ouvriers du Bâtiment, entreprises occupant jusqu’à 10 salariés) et IDCC 1597 (Ouvriers du Bâtiment, entreprises occupant plus de 10 salariés). L’effectif d’IM2S étant passé de 9-10 personnes à 18 collaborateurs aujourd’hui, le seuil légal est franchi de manière stable.</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20"/>
                <w:szCs w:val="20"/>
              </w:rPr>
              <w:t xml:space="preserve">✓ CONFIRMÉ EN v2.3 — l’IDCC applicable aux ouvriers d’IM2S est désormais formellement l’IDCC 1597 (Convention collective nationale des ouvriers de travaux publics, étendue par arrêté). L’IDCC 2609 (ETAM du Bâtiment et Travaux Publics) reste applicable au personnel administratif et d’encadrement.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Conséquences pratiques du passage IDCC 1596 → 1597</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Grilles salariales applicables ajustées (1597 prévoit des minima légèrement supérieurs sur certains coefficients).
• Régime de prévoyance et de complémentaire santé à vérifier (les accords de branche peuvent différer).
• Cotisations PRO-BTP / CIBTP à confirmer.
• Obligations de formation maintenues.
• Indemnités de petits déplacements identiques sur les zones IDF-Province.</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Action complémentaire IM2S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Confirmation écrite par le gérant de l’effectif moyen 2025 en ETP (pour acter le franchissement durable du seuil de 10 salariés). (2) Vérification auprès du cabinet Alliance Avocats du libellé IDCC à porter sur les bulletins de paie. (3) Information écrite des salariés du changement de convention collective applicable (Art. L.2261-14 du Code du travail).</w:t>
            </w:r>
          </w:p>
        </w:tc>
      </w:tr>
    </w:tbl>
    <w:p>
      <w:pPr>
        <w:pStyle w:val="Heading2"/>
        <w:keepNext/>
        <w:spacing w:after="140" w:before="280"/>
      </w:pPr>
      <w:r>
        <w:rPr>
          <w:rFonts w:ascii="Arial" w:cs="Arial" w:eastAsia="Arial" w:hAnsi="Arial"/>
          <w:b/>
          <w:bCs/>
          <w:color w:val="1A1A1A"/>
          <w:sz w:val="28"/>
          <w:szCs w:val="28"/>
        </w:rPr>
        <w:t xml:space="preserve">Point n°5 — Clarification de vocabulaire « L’Enaxie » vs « Sentinelle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Constat de l’analyse croisée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 DUERP appelle « L’Enaxie » le logiciel interne de validation des consignes sur les tablettes des techniciens. La réalité historique est que ce logiciel s’appelait à l’origine « Sentinelle » mais que le nom étant protégé, il a été rebaptisé « L’Enaxie ». « Sentinelle Le Veilleur » est désormais exclusivement le nom de la web série de communication.</w:t>
            </w:r>
          </w:p>
        </w:tc>
      </w:tr>
      <w:tr>
        <w:tc>
          <w:tcPr>
            <w:tcW w:type="dxa" w:w="2400"/>
            <w:tcBorders>
              <w:top w:val="single" w:color="CCCCCC" w:sz="4"/>
              <w:left w:val="single" w:color="CCCCCC" w:sz="4"/>
              <w:bottom w:val="single" w:color="CCCCCC" w:sz="4"/>
              <w:right w:val="single" w:color="CCCCCC" w:sz="4"/>
            </w:tcBorders>
            <w:shd w:fill="C8E6C9" w:val="clear"/>
            <w:tcMar>
              <w:top w:type="dxa" w:w="80"/>
              <w:left w:type="dxa" w:w="120"/>
              <w:bottom w:type="dxa" w:w="80"/>
              <w:right w:type="dxa" w:w="120"/>
            </w:tcMar>
            <w:vAlign w:val="center"/>
          </w:tcPr>
          <w:p>
            <w:r>
              <w:rPr>
                <w:rFonts w:ascii="Arial" w:cs="Arial" w:eastAsia="Arial" w:hAnsi="Arial"/>
                <w:b/>
                <w:bCs/>
                <w:color w:val="2E7D32"/>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E7D32"/>
                <w:sz w:val="20"/>
                <w:szCs w:val="20"/>
              </w:rPr>
              <w:t xml:space="preserve">✓ DÉJÀ CORRECT dans la v2.2 ULTIME — le DUERP utilise « L’Enaxie » pour le logiciel et « Sentinelle Le Veilleur » pour la web série. La distinction est respectée dans tous les livrables.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Vigilance maintenue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Lors de la transmission des captures d’écran des modules tablette à LENAXIS, veiller à ce que le nommage « L’Enaxie » soit visible. Si l’interface affiche encore l’ancien nom « Sentinelle » dans certains modules, une mise à jour de l’interface est à programmer avec le développeur (M. Romain LECLERC).</w:t>
            </w:r>
          </w:p>
        </w:tc>
      </w:tr>
    </w:tbl>
    <w:p>
      <w:pPr>
        <w:pStyle w:val="Heading2"/>
        <w:keepNext/>
        <w:spacing w:after="140" w:before="280"/>
      </w:pPr>
      <w:r>
        <w:rPr>
          <w:rFonts w:ascii="Arial" w:cs="Arial" w:eastAsia="Arial" w:hAnsi="Arial"/>
          <w:b/>
          <w:bCs/>
          <w:color w:val="1A1A1A"/>
          <w:sz w:val="28"/>
          <w:szCs w:val="28"/>
        </w:rPr>
        <w:t xml:space="preserve">Point n°6 — Habilitations électriques et formations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Constat de l’analyse croisée</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 DUERP indique 3 salariés non habilités sur une « ancienne base de 9 enregistrées », ce qui ne reflète plus l’effectif courant de 18 collaborateurs. De plus, la formation SST (planifiée pour le 15 avril 2026) doit voir sa réalisation effective confirmée.</w:t>
            </w:r>
          </w:p>
        </w:tc>
      </w:tr>
      <w:tr>
        <w:tc>
          <w:tcPr>
            <w:tcW w:type="dxa" w:w="24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Statut</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PARTIELLEMENT TRAITÉ — la v2.2 ULTIME mentionne « 3 nouveaux entrants + 1 collaboratrice à former à la rentrée ». Une actualisation complète sur la base 18 collaborateurs est nécessaire dans la v2.3.</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Reformulation retenue (v2.3)</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La section 8.1 du CR et la fiche FR-05 du DUERP sont reformulées avec un tableau actualisé : sur les ~8 techniciens terrain courants, les habilitations BS/BR sont valides jusqu’en 2027 pour les anciens. Les 3 nouveaux entrants techniques + 1 collaboratrice du pôle technique seront formés à la rentrée 2026. Le tableau nominatif exact reste à transmettre par IM2S.</w:t>
            </w:r>
          </w:p>
        </w:tc>
      </w:tr>
      <w:tr>
        <w:tc>
          <w:tcPr>
            <w:tcW w:type="dxa" w:w="24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Action complémentaire IM2S</w:t>
            </w:r>
          </w:p>
        </w:tc>
        <w:tc>
          <w:tcPr>
            <w:tcW w:type="dxa" w:w="66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(1) Transmission du tableau nominatif COMPLET et ACTUALISÉ des habilitations électriques : titulaire, type (B0, B1V, B2V, BR, BC, BE Essai, H0V), date de délivrance, organisme, date de recyclage. (2) Pour les salariés non habilités identifiés : décision formelle (régularisation programmée ou consigne écrite d’interdiction d’accès aux installations électriques sous tension, Art. R.4544-9). (3) Confirmation post-15/04/2026 de la réalisation de la formation SST (attestations à archiver). (4) Programmation du recyclage EPI (dernier 2015).</w:t>
            </w:r>
          </w:p>
        </w:tc>
      </w:tr>
    </w:tbl>
    <w:p>
      <w:pPr>
        <w:pStyle w:val="Heading2"/>
        <w:keepNext/>
        <w:spacing w:after="140" w:before="280"/>
      </w:pPr>
      <w:r>
        <w:rPr>
          <w:rFonts w:ascii="Arial" w:cs="Arial" w:eastAsia="Arial" w:hAnsi="Arial"/>
          <w:b/>
          <w:bCs/>
          <w:color w:val="1A1A1A"/>
          <w:sz w:val="28"/>
          <w:szCs w:val="28"/>
        </w:rPr>
        <w:t xml:space="preserve">Synthèse — état d’avancement des 6 corrections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800"/>
        <w:gridCol w:w="3126"/>
      </w:tblGrid>
      <w:tr>
        <w:trPr>
          <w:tblHeader/>
        </w:trPr>
        <w:tc>
          <w:tcPr>
            <w:tcW w:type="dxa" w:w="6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35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w:t>
            </w:r>
          </w:p>
        </w:tc>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 v2.3</w:t>
            </w:r>
          </w:p>
        </w:tc>
        <w:tc>
          <w:tcPr>
            <w:tcW w:type="dxa" w:w="31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IM2S restant à fournir</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Effectif 18 dont 5 F + 13 H (1 longue maladie)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Corrigé</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Liste nominative à transmettre</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Risque chimique réel (peintures, produits d’atelier)</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Reformulé v2.3</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Confirmation bac rétention + inventaire + FDS</w:t>
            </w:r>
          </w:p>
        </w:tc>
      </w:tr>
      <w:tr>
        <w:tc>
          <w:tcPr>
            <w:tcW w:type="dxa" w:w="6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b/>
                <w:bCs/>
                <w:color w:val="222222"/>
                <w:sz w:val="20"/>
                <w:szCs w:val="20"/>
              </w:rPr>
              <w:t xml:space="preserve">Plan de Prévention IM2S → client (entreprise extérieure)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Modèle créé</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Validation + déploiement chantiers récurrents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IDCC 1597 acté pour les ouvriers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Acté v2.3</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Confirmation ETP + info salariés</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Vocabulaire L’Enaxie vs Sentinelle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Conforme</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Vigilance captures d’écran</w:t>
            </w:r>
          </w:p>
        </w:tc>
      </w:tr>
      <w:tr>
        <w:tc>
          <w:tcPr>
            <w:tcW w:type="dxa" w:w="6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Habilitations BS/BR actualisées base 18</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 Reformulé v2.3</w:t>
            </w:r>
          </w:p>
        </w:tc>
        <w:tc>
          <w:tcPr>
            <w:tcW w:type="dxa" w:w="31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Tableau nominatif exact à transmettre</w:t>
            </w:r>
          </w:p>
        </w:tc>
      </w:tr>
    </w:tbl>
    <w:p>
      <w:pPr>
        <w:pStyle w:val="Heading2"/>
        <w:keepNext/>
        <w:spacing w:after="140" w:before="280"/>
      </w:pPr>
      <w:r>
        <w:rPr>
          <w:rFonts w:ascii="Arial" w:cs="Arial" w:eastAsia="Arial" w:hAnsi="Arial"/>
          <w:b/>
          <w:bCs/>
          <w:color w:val="1A1A1A"/>
          <w:sz w:val="28"/>
          <w:szCs w:val="28"/>
        </w:rPr>
        <w:t xml:space="preserve">Livrables associés à la présente note</w:t>
      </w:r>
    </w:p>
    <w:p>
      <w:pPr>
        <w:pStyle w:val="ListParagraph"/>
        <w:numPr>
          <w:ilvl w:val="0"/>
          <w:numId w:val="2"/>
        </w:numPr>
        <w:spacing w:after="40" w:before="40" w:line="300"/>
      </w:pPr>
      <w:r>
        <w:rPr>
          <w:rFonts w:ascii="Arial" w:cs="Arial" w:eastAsia="Arial" w:hAnsi="Arial"/>
          <w:b/>
          <w:bCs/>
          <w:sz w:val="22"/>
          <w:szCs w:val="22"/>
        </w:rPr>
        <w:t xml:space="preserve">DUERP IM2S Édition 2026 v2.3 CORRIGÉ FINAL</w:t>
      </w:r>
      <w:r>
        <w:rPr>
          <w:rFonts w:ascii="Arial" w:cs="Arial" w:eastAsia="Arial" w:hAnsi="Arial"/>
          <w:sz w:val="22"/>
          <w:szCs w:val="22"/>
        </w:rPr>
        <w:t xml:space="preserve"> — référence DUERP-IM2S-v2.3 — intègre les 6 corrections (DOCX).</w:t>
      </w:r>
    </w:p>
    <w:p>
      <w:pPr>
        <w:pStyle w:val="ListParagraph"/>
        <w:numPr>
          <w:ilvl w:val="0"/>
          <w:numId w:val="2"/>
        </w:numPr>
        <w:spacing w:after="40" w:before="40" w:line="300"/>
      </w:pPr>
      <w:r>
        <w:rPr>
          <w:rFonts w:ascii="Arial" w:cs="Arial" w:eastAsia="Arial" w:hAnsi="Arial"/>
          <w:b/>
          <w:bCs/>
          <w:sz w:val="22"/>
          <w:szCs w:val="22"/>
        </w:rPr>
        <w:t xml:space="preserve">Modèle type de Plan de Prévention IM2S → client</w:t>
      </w:r>
      <w:r>
        <w:rPr>
          <w:rFonts w:ascii="Arial" w:cs="Arial" w:eastAsia="Arial" w:hAnsi="Arial"/>
          <w:sz w:val="22"/>
          <w:szCs w:val="22"/>
        </w:rPr>
        <w:t xml:space="preserve"> — référence PP-IM2S-Modele-Type-v1 — conforme R.4511-1 et suivants, prêt à l’emploi (DOCX).</w:t>
      </w:r>
    </w:p>
    <w:p>
      <w:pPr>
        <w:pStyle w:val="ListParagraph"/>
        <w:numPr>
          <w:ilvl w:val="0"/>
          <w:numId w:val="2"/>
        </w:numPr>
        <w:spacing w:after="40" w:before="40" w:line="300"/>
      </w:pPr>
      <w:r>
        <w:rPr>
          <w:rFonts w:ascii="Arial" w:cs="Arial" w:eastAsia="Arial" w:hAnsi="Arial"/>
          <w:b/>
          <w:bCs/>
          <w:sz w:val="22"/>
          <w:szCs w:val="22"/>
        </w:rPr>
        <w:t xml:space="preserve">Présente note de réponse à l’analyse croisée</w:t>
      </w:r>
      <w:r>
        <w:rPr>
          <w:rFonts w:ascii="Arial" w:cs="Arial" w:eastAsia="Arial" w:hAnsi="Arial"/>
          <w:sz w:val="22"/>
          <w:szCs w:val="22"/>
        </w:rPr>
        <w:t xml:space="preserve"> — référence NRA-IM2S-2026-05-27-v1 (DOCX).</w:t>
      </w:r>
    </w:p>
    <w:p>
      <w:pPr>
        <w:pStyle w:val="Heading2"/>
        <w:keepNext/>
        <w:spacing w:after="140" w:before="280"/>
      </w:pPr>
      <w:r>
        <w:rPr>
          <w:rFonts w:ascii="Arial" w:cs="Arial" w:eastAsia="Arial" w:hAnsi="Arial"/>
          <w:b/>
          <w:bCs/>
          <w:color w:val="1A1A1A"/>
          <w:sz w:val="28"/>
          <w:szCs w:val="28"/>
        </w:rPr>
        <w:t xml:space="preserve">Pièces complémentaires demandées à IM2S (échéance &lt; 15 jours)</w:t>
      </w:r>
    </w:p>
    <w:p>
      <w:pPr>
        <w:pStyle w:val="ListParagraph"/>
        <w:numPr>
          <w:ilvl w:val="0"/>
          <w:numId w:val="{numbers-0}"/>
        </w:numPr>
        <w:spacing w:after="40" w:before="40"/>
      </w:pPr>
      <w:r>
        <w:rPr>
          <w:rFonts w:ascii="Arial" w:cs="Arial" w:eastAsia="Arial" w:hAnsi="Arial"/>
          <w:sz w:val="22"/>
          <w:szCs w:val="22"/>
        </w:rPr>
        <w:t xml:space="preserve">Liste nominative complète des 18 collaborateurs (poste, sexe, âge, date d’embauche, ETP, IDCC).</w:t>
      </w:r>
    </w:p>
    <w:p>
      <w:pPr>
        <w:pStyle w:val="ListParagraph"/>
        <w:numPr>
          <w:ilvl w:val="0"/>
          <w:numId w:val="{numbers-0}"/>
        </w:numPr>
        <w:spacing w:after="40" w:before="40"/>
      </w:pPr>
      <w:r>
        <w:rPr>
          <w:rFonts w:ascii="Arial" w:cs="Arial" w:eastAsia="Arial" w:hAnsi="Arial"/>
          <w:sz w:val="22"/>
          <w:szCs w:val="22"/>
        </w:rPr>
        <w:t xml:space="preserve">Tableau exhaustif des habilitations électriques NF C 18-510 (titulaire, type, date délivrance, organisme, date recyclage).</w:t>
      </w:r>
    </w:p>
    <w:p>
      <w:pPr>
        <w:pStyle w:val="ListParagraph"/>
        <w:numPr>
          <w:ilvl w:val="0"/>
          <w:numId w:val="{numbers-0}"/>
        </w:numPr>
        <w:spacing w:after="40" w:before="40"/>
      </w:pPr>
      <w:r>
        <w:rPr>
          <w:rFonts w:ascii="Arial" w:cs="Arial" w:eastAsia="Arial" w:hAnsi="Arial"/>
          <w:sz w:val="22"/>
          <w:szCs w:val="22"/>
        </w:rPr>
        <w:t xml:space="preserve">Décision formelle pour chaque salarié non habilité (régularisation ou interdiction écrite d’accès installations sous tension).</w:t>
      </w:r>
    </w:p>
    <w:p>
      <w:pPr>
        <w:pStyle w:val="ListParagraph"/>
        <w:numPr>
          <w:ilvl w:val="0"/>
          <w:numId w:val="{numbers-0}"/>
        </w:numPr>
        <w:spacing w:after="40" w:before="40"/>
      </w:pPr>
      <w:r>
        <w:rPr>
          <w:rFonts w:ascii="Arial" w:cs="Arial" w:eastAsia="Arial" w:hAnsi="Arial"/>
          <w:sz w:val="22"/>
          <w:szCs w:val="22"/>
        </w:rPr>
        <w:t xml:space="preserve">Inventaire chimique de l’atelier (modèle Excel fourni) et collecte des FDS.</w:t>
      </w:r>
    </w:p>
    <w:p>
      <w:pPr>
        <w:pStyle w:val="ListParagraph"/>
        <w:numPr>
          <w:ilvl w:val="0"/>
          <w:numId w:val="{numbers-0}"/>
        </w:numPr>
        <w:spacing w:after="40" w:before="40"/>
      </w:pPr>
      <w:r>
        <w:rPr>
          <w:rFonts w:ascii="Arial" w:cs="Arial" w:eastAsia="Arial" w:hAnsi="Arial"/>
          <w:sz w:val="22"/>
          <w:szCs w:val="22"/>
        </w:rPr>
        <w:t xml:space="preserve">Confirmation de l’installation du bac de rétention (photo horodatée).</w:t>
      </w:r>
    </w:p>
    <w:p>
      <w:pPr>
        <w:pStyle w:val="ListParagraph"/>
        <w:numPr>
          <w:ilvl w:val="0"/>
          <w:numId w:val="{numbers-0}"/>
        </w:numPr>
        <w:spacing w:after="40" w:before="40"/>
      </w:pPr>
      <w:r>
        <w:rPr>
          <w:rFonts w:ascii="Arial" w:cs="Arial" w:eastAsia="Arial" w:hAnsi="Arial"/>
          <w:sz w:val="22"/>
          <w:szCs w:val="22"/>
        </w:rPr>
        <w:t xml:space="preserve">Confirmation écrite de l’effectif moyen 2025 en ETP (pour valider IDCC 1597).</w:t>
      </w:r>
    </w:p>
    <w:p>
      <w:pPr>
        <w:pStyle w:val="ListParagraph"/>
        <w:numPr>
          <w:ilvl w:val="0"/>
          <w:numId w:val="{numbers-0}"/>
        </w:numPr>
        <w:spacing w:after="40" w:before="40"/>
      </w:pPr>
      <w:r>
        <w:rPr>
          <w:rFonts w:ascii="Arial" w:cs="Arial" w:eastAsia="Arial" w:hAnsi="Arial"/>
          <w:sz w:val="22"/>
          <w:szCs w:val="22"/>
        </w:rPr>
        <w:t xml:space="preserve">Attestations de formation SST post-15/04/2026.</w:t>
      </w:r>
    </w:p>
    <w:p>
      <w:pPr>
        <w:pStyle w:val="ListParagraph"/>
        <w:numPr>
          <w:ilvl w:val="0"/>
          <w:numId w:val="{numbers-0}"/>
        </w:numPr>
        <w:spacing w:after="40" w:before="40"/>
      </w:pPr>
      <w:r>
        <w:rPr>
          <w:rFonts w:ascii="Arial" w:cs="Arial" w:eastAsia="Arial" w:hAnsi="Arial"/>
          <w:sz w:val="22"/>
          <w:szCs w:val="22"/>
        </w:rPr>
        <w:t xml:space="preserve">Validation du modèle de Plan de Prévention et liste des 3 à 5 chantiers récurrents pour un premier déploiement.</w:t>
      </w:r>
    </w:p>
    <w:p>
      <w:pPr>
        <w:pStyle w:val="Heading2"/>
        <w:keepNext/>
        <w:spacing w:after="140" w:before="280"/>
      </w:pPr>
      <w:r>
        <w:rPr>
          <w:rFonts w:ascii="Arial" w:cs="Arial" w:eastAsia="Arial" w:hAnsi="Arial"/>
          <w:b/>
          <w:bCs/>
          <w:color w:val="1A1A1A"/>
          <w:sz w:val="28"/>
          <w:szCs w:val="28"/>
        </w:rPr>
        <w:t xml:space="preserve">Conclusion</w:t>
      </w:r>
    </w:p>
    <w:p>
      <w:pPr>
        <w:spacing w:after="60" w:before="60" w:line="300"/>
      </w:pPr>
      <w:r>
        <w:rPr>
          <w:rFonts w:ascii="Arial" w:cs="Arial" w:eastAsia="Arial" w:hAnsi="Arial"/>
          <w:color w:val="222222"/>
          <w:sz w:val="22"/>
          <w:szCs w:val="22"/>
        </w:rPr>
        <w:t xml:space="preserve">L’analyse croisée a permis d’identifier des écarts précieux entre les premières versions documentaires et la réalité opérationnelle d’IM2S. La version v2.3 du DUERP, accompagnée du modèle type de Plan de Prévention et de la présente note de traçabilité, constitue désormais la version pleinement opposable du Document Unique d’IM2S Protection Incendie.</w:t>
      </w:r>
    </w:p>
    <w:p>
      <w:pPr>
        <w:spacing w:after="60" w:before="60" w:line="300"/>
      </w:pPr>
      <w:r>
        <w:rPr>
          <w:rFonts w:ascii="Arial" w:cs="Arial" w:eastAsia="Arial" w:hAnsi="Arial"/>
          <w:color w:val="222222"/>
          <w:sz w:val="22"/>
          <w:szCs w:val="22"/>
        </w:rPr>
        <w:t xml:space="preserve">Le seul point critique identifié comme « bloquant » par l’analyse croisée — la confusion sur le Plan de Prévention en tant qu’entreprise extérieure — fait l’objet d’un livrable spécifique (modèle prêt à l’emploi) et d’une procédure d’application annexée au DUERP v2.3. Sa mise en œuvre opérationnelle constitue désormais la priorité immédiate pour parachever la conformité.</w:t>
      </w:r>
    </w:p>
    <w:p>
      <w:pPr>
        <w:spacing w:after="60" w:before="60" w:line="300"/>
      </w:pPr>
      <w:r>
        <w:rPr>
          <w:rFonts w:ascii="Arial" w:cs="Arial" w:eastAsia="Arial" w:hAnsi="Arial"/>
          <w:color w:val="222222"/>
          <w:sz w:val="22"/>
          <w:szCs w:val="22"/>
        </w:rPr>
        <w:t xml:space="preserve">Une fois les pièces complémentaires listées ci-dessus transmises par IM2S sous 15 jours, le cabinet LENAXIS / SECURE produira la version finale figée v2.4 du DUERP, intégrant les données nominatives exactes, et procédera à son dépôt définitif. La traçabilité documentaire de ces corrections successives constitue une preuve forte de la démarche d’amélioration continue d’IM2S en matière de prévention.</w:t>
      </w:r>
    </w:p>
    <w:p>
      <w:pPr>
        <w:spacing w:after="60" w:before="360" w:line="300"/>
        <w:jc w:val="right"/>
      </w:pPr>
      <w:r>
        <w:rPr>
          <w:rFonts w:ascii="Arial" w:cs="Arial" w:eastAsia="Arial" w:hAnsi="Arial"/>
          <w:b/>
          <w:bCs/>
          <w:color w:val="222222"/>
          <w:sz w:val="24"/>
          <w:szCs w:val="24"/>
        </w:rPr>
        <w:t xml:space="preserve">David MUSEUR</w:t>
      </w:r>
    </w:p>
    <w:p>
      <w:pPr>
        <w:spacing w:after="60" w:before="60" w:line="300"/>
        <w:jc w:val="right"/>
      </w:pPr>
      <w:r>
        <w:rPr>
          <w:rFonts w:ascii="Arial" w:cs="Arial" w:eastAsia="Arial" w:hAnsi="Arial"/>
          <w:i/>
          <w:iCs/>
          <w:color w:val="5A5B5C"/>
          <w:sz w:val="20"/>
          <w:szCs w:val="20"/>
        </w:rPr>
        <w:t xml:space="preserve">Consultant senior HSE — LENAXIS / SECURE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réponse à l’analyse croisée IM2S — v1</dc:title>
  <dc:creator>LENAXIS / SECURE — David MUSEUR</dc:creator>
  <cp:lastModifiedBy>Un-named</cp:lastModifiedBy>
  <cp:revision>1</cp:revision>
  <dcterms:created xsi:type="dcterms:W3CDTF">2026-05-27T20:34:04.684Z</dcterms:created>
  <dcterms:modified xsi:type="dcterms:W3CDTF">2026-05-27T20:34:04.697Z</dcterms:modified>
</cp:coreProperties>
</file>

<file path=docProps/custom.xml><?xml version="1.0" encoding="utf-8"?>
<Properties xmlns="http://schemas.openxmlformats.org/officeDocument/2006/custom-properties" xmlns:vt="http://schemas.openxmlformats.org/officeDocument/2006/docPropsVTypes"/>
</file>