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drawing>
          <wp:inline distT="0" distB="0" distL="0" distR="0">
            <wp:extent cx="13335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504825"/>
                    </a:xfrm>
                    <a:prstGeom prst="rect">
                      <a:avLst/>
                    </a:prstGeom>
                  </pic:spPr>
                </pic:pic>
              </a:graphicData>
            </a:graphic>
          </wp:inline>
        </w:drawing>
      </w:r>
    </w:p>
    <w:p>
      <w:pPr>
        <w:spacing w:after="60"/>
        <w:jc w:val="center"/>
      </w:pPr>
      <w:r>
        <w:rPr>
          <w:rFonts w:ascii="Arial" w:cs="Arial" w:eastAsia="Arial" w:hAnsi="Arial"/>
          <w:b/>
          <w:bCs/>
          <w:color w:val="A00D1A"/>
          <w:sz w:val="22"/>
          <w:szCs w:val="22"/>
        </w:rPr>
        <w:t xml:space="preserve">IM2S PROTECTION INCENDIE</w:t>
      </w:r>
    </w:p>
    <w:p>
      <w:pPr>
        <w:spacing w:after="360"/>
        <w:jc w:val="center"/>
      </w:pPr>
      <w:r>
        <w:rPr>
          <w:rFonts w:ascii="Arial" w:cs="Arial" w:eastAsia="Arial" w:hAnsi="Arial"/>
          <w:i/>
          <w:iCs/>
          <w:color w:val="5A5B5C"/>
          <w:sz w:val="18"/>
          <w:szCs w:val="18"/>
        </w:rPr>
        <w:t xml:space="preserve">Modèle type — Plan de Prévention pour intervention chez l’Entreprise Utilisatrice</w:t>
      </w:r>
    </w:p>
    <w:p>
      <w:pPr>
        <w:spacing w:after="60" w:before="120"/>
        <w:jc w:val="center"/>
      </w:pPr>
      <w:r>
        <w:rPr>
          <w:rFonts w:ascii="Arial" w:cs="Arial" w:eastAsia="Arial" w:hAnsi="Arial"/>
          <w:b/>
          <w:bCs/>
          <w:color w:val="A00D1A"/>
          <w:sz w:val="36"/>
          <w:szCs w:val="36"/>
        </w:rPr>
        <w:t xml:space="preserve">PLAN DE PRÉVENTION</w:t>
      </w:r>
    </w:p>
    <w:p>
      <w:pPr>
        <w:spacing w:after="60"/>
        <w:jc w:val="center"/>
      </w:pPr>
      <w:r>
        <w:rPr>
          <w:rFonts w:ascii="Arial" w:cs="Arial" w:eastAsia="Arial" w:hAnsi="Arial"/>
          <w:b/>
          <w:bCs/>
          <w:color w:val="1A1A1A"/>
          <w:sz w:val="22"/>
          <w:szCs w:val="22"/>
        </w:rPr>
        <w:t xml:space="preserve">Établi conjointement entre l’Entreprise Utilisatrice et IM2S Protection Incendie</w:t>
      </w:r>
    </w:p>
    <w:p>
      <w:pPr>
        <w:spacing w:after="240"/>
        <w:jc w:val="center"/>
      </w:pPr>
      <w:r>
        <w:rPr>
          <w:rFonts w:ascii="Arial" w:cs="Arial" w:eastAsia="Arial" w:hAnsi="Arial"/>
          <w:i/>
          <w:iCs/>
          <w:color w:val="5A5B5C"/>
          <w:sz w:val="18"/>
          <w:szCs w:val="18"/>
        </w:rPr>
        <w:t xml:space="preserve">En application des Art. R.4511-1 à R.4514-10 du Code du travail et de l’Arrêté du 19 mars 1993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Cadre réglementaire de référence</w:t>
            </w:r>
          </w:p>
          <w:p>
            <w:r>
              <w:rPr>
                <w:rFonts w:ascii="Arial" w:cs="Arial" w:eastAsia="Arial" w:hAnsi="Arial"/>
                <w:color w:val="222222"/>
                <w:sz w:val="22"/>
                <w:szCs w:val="22"/>
              </w:rPr>
              <w:t xml:space="preserve">Le présent Plan de Prévention est établi conformément aux articles R.4511-1 à R.4514-10 du Code du travail, qui imposent aux entreprises extérieures et utilisatrices de procéder, préalablement à l\u2019intervention, à une inspection commune des lieux et à l\u2019analyse des risques d\u2019interférence pouvant résulter de la coexistence des activités.
L\u2019établissement d\u2019un Plan de Prévention écrit est obligatoire dès lors que :
• La durée totale d\u2019intervention prévisible atteint ou dépasse 400 heures sur 12 mois (Art. R.4512-7).
• OU les travaux à effectuer figurent sur la liste des travaux dangereux fixée par l\u2019Arrêté du 19/03/1993 (notamment : travaux en hauteur &gt; 3 m, travaux électriques de toute nature sur installations sous tension, travaux exposant à des substances chimiques dangereuses, travaux de désenfumage, travaux sur installations de sécurité incendie).
L\u2019analyse des risques d\u2019interférence et le Plan de Prévention doivent être réalisés AVANT le début des travaux et signés par les deux entreprises.</w:t>
            </w:r>
          </w:p>
        </w:tc>
      </w:tr>
    </w:tbl>
    <w:p>
      <w:pPr>
        <w:pStyle w:val="Heading2"/>
        <w:keepNext/>
        <w:spacing w:after="140" w:before="280"/>
      </w:pPr>
      <w:r>
        <w:rPr>
          <w:rFonts w:ascii="Arial" w:cs="Arial" w:eastAsia="Arial" w:hAnsi="Arial"/>
          <w:b/>
          <w:bCs/>
          <w:color w:val="1A1A1A"/>
          <w:sz w:val="28"/>
          <w:szCs w:val="28"/>
        </w:rPr>
        <w:t xml:space="preserve">Référence et identification du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Référence du Plan de Prévention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PP-IM2S-AAAA-MM-JJ-[Code Client]</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d’établissement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 / ______ / 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prévisionnelle de début des travaux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 / ______ / 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Date prévisionnelle de fin des travaux</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 / ______ / 2026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Durée prévisionnelle (heures)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 heures sur __________ mois</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Validité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Le présent Plan de Prévention est valide pour la durée des travaux ci-dessus. Il doit être révisé en cas de modification substantielle de l’opération.</w:t>
            </w:r>
          </w:p>
        </w:tc>
      </w:tr>
    </w:tbl>
    <w:p>
      <w:pPr>
        <w:pStyle w:val="Heading2"/>
        <w:keepNext/>
        <w:spacing w:after="140" w:before="280"/>
      </w:pPr>
      <w:r>
        <w:rPr>
          <w:rFonts w:ascii="Arial" w:cs="Arial" w:eastAsia="Arial" w:hAnsi="Arial"/>
          <w:b/>
          <w:bCs/>
          <w:color w:val="1A1A1A"/>
          <w:sz w:val="28"/>
          <w:szCs w:val="28"/>
        </w:rPr>
        <w:t xml:space="preserve">1. Identification des parties signataires</w:t>
      </w:r>
    </w:p>
    <w:p>
      <w:pPr>
        <w:pStyle w:val="Heading3"/>
        <w:keepNext/>
        <w:spacing w:after="100" w:before="200"/>
      </w:pPr>
      <w:r>
        <w:rPr>
          <w:rFonts w:ascii="Arial" w:cs="Arial" w:eastAsia="Arial" w:hAnsi="Arial"/>
          <w:b/>
          <w:bCs/>
          <w:color w:val="5A5B5C"/>
          <w:sz w:val="24"/>
          <w:szCs w:val="24"/>
        </w:rPr>
        <w:t xml:space="preserve">1.1. Entreprise Utilisatrice (EU) — le donneur d’ordre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Raison sociale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______________________________________________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______________________________________________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du site d’intervention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______________________________________________
______________________________________________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Activité principale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______________________________________________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légal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 Mme __________________________ — Fonction : 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Responsable sécurité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 Mme __________________________ — Tél : 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Coordonnées service de sécurité</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Tél interne / consigne en cas d’incident : ______________________________</w:t>
            </w:r>
          </w:p>
        </w:tc>
      </w:tr>
    </w:tbl>
    <w:p>
      <w:pPr>
        <w:pStyle w:val="Heading3"/>
        <w:keepNext/>
        <w:spacing w:after="100" w:before="200"/>
      </w:pPr>
      <w:r>
        <w:rPr>
          <w:rFonts w:ascii="Arial" w:cs="Arial" w:eastAsia="Arial" w:hAnsi="Arial"/>
          <w:b/>
          <w:bCs/>
          <w:color w:val="5A5B5C"/>
          <w:sz w:val="24"/>
          <w:szCs w:val="24"/>
        </w:rPr>
        <w:t xml:space="preserve">1.2. Entreprise Extérieure (EE) — IM2S Protection Incendie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Raison sociale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IM2S PROTECTION INCENDIE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Forme juridique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SARL à associé unique (EURL)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SIRET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504 180 365 00034</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Code NAF</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4321A — Travaux d’installation électrique dans tous locaux</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Siège social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Astrae Center, 235 Allée Hector Pintus, 06610 LA GAUDE</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Adresse opérationnelle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862 avenue Saint-Laurent, La Gaude (06)</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Téléphone — Fax — Mail</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04 93 58 75 38 — 04 93 58 61 18 — contact@im2s.fr</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Gérant</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Stéphane KNOLL</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Représentant sur site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M. ___________________ — Fonction : RSO __________________ — Tél : 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Qualifications IM2S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Qualibat n°80634 + 5442 (désenfumage) • APSAD R6 • ISO 9001 et 14001 (Bureau Veritas) • Distributeur ANDRIEU</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Assurances en cours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RC professionnelle : assureur __________________ — police n° __________________ — validité __________________
Décennale : assureur __________________ — police n° __________________ — validité __________________</w:t>
            </w:r>
          </w:p>
        </w:tc>
      </w:tr>
    </w:tbl>
    <w:p>
      <w:pPr>
        <w:pStyle w:val="Heading3"/>
        <w:keepNext/>
        <w:spacing w:after="100" w:before="200"/>
      </w:pPr>
      <w:r>
        <w:rPr>
          <w:rFonts w:ascii="Arial" w:cs="Arial" w:eastAsia="Arial" w:hAnsi="Arial"/>
          <w:b/>
          <w:bCs/>
          <w:color w:val="5A5B5C"/>
          <w:sz w:val="24"/>
          <w:szCs w:val="24"/>
        </w:rPr>
        <w:t xml:space="preserve">1.3. Sous-traitants éventuels d’IM2S sur l’opération</w:t>
      </w:r>
    </w:p>
    <w:p>
      <w:pPr>
        <w:spacing w:after="60" w:before="60" w:line="300"/>
      </w:pPr>
      <w:r>
        <w:rPr>
          <w:rFonts w:ascii="Arial" w:cs="Arial" w:eastAsia="Arial" w:hAnsi="Arial"/>
          <w:color w:val="222222"/>
          <w:sz w:val="22"/>
          <w:szCs w:val="22"/>
        </w:rPr>
        <w:t xml:space="preserve">Si l’opération mobilise des sous-traitants, leurs coordonnées sont précisées ci-dessous. Chaque sous-traitant doit également être visé par le présent Plan de Prévention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Sous-traitant 1</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Raison sociale : __________________  SIRET : __________________  Spécialité : __________________</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r>
              <w:rPr>
                <w:rFonts w:ascii="Arial" w:cs="Arial" w:eastAsia="Arial" w:hAnsi="Arial"/>
                <w:b/>
                <w:bCs/>
                <w:color w:val="222222"/>
                <w:sz w:val="20"/>
                <w:szCs w:val="20"/>
              </w:rPr>
              <w:t xml:space="preserve">Sous-traitant 2</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Raison sociale : __________________  SIRET : __________________  Spécialité : __________________</w:t>
            </w:r>
          </w:p>
        </w:tc>
      </w:tr>
    </w:tbl>
    <w:p>
      <w:pPr>
        <w:pStyle w:val="Heading2"/>
        <w:keepNext/>
        <w:spacing w:after="140" w:before="280"/>
      </w:pPr>
      <w:r>
        <w:rPr>
          <w:rFonts w:ascii="Arial" w:cs="Arial" w:eastAsia="Arial" w:hAnsi="Arial"/>
          <w:b/>
          <w:bCs/>
          <w:color w:val="1A1A1A"/>
          <w:sz w:val="28"/>
          <w:szCs w:val="28"/>
        </w:rPr>
        <w:t xml:space="preserve">2. Nature des travaux confiés à IM2S</w:t>
      </w:r>
    </w:p>
    <w:p>
      <w:pPr>
        <w:spacing w:after="60" w:before="60" w:line="300"/>
      </w:pPr>
      <w:r>
        <w:rPr>
          <w:rFonts w:ascii="Arial" w:cs="Arial" w:eastAsia="Arial" w:hAnsi="Arial"/>
          <w:color w:val="222222"/>
          <w:sz w:val="22"/>
          <w:szCs w:val="22"/>
        </w:rPr>
        <w:t xml:space="preserve">Décrivez précisément les travaux qui font l’objet du présent Plan de Prévention :</w:t>
      </w:r>
    </w:p>
    <w:p>
      <w:pPr>
        <w:spacing w:after="60" w:before="60" w:line="300"/>
      </w:pPr>
      <w:r>
        <w:rPr>
          <w:rFonts w:ascii="Arial" w:cs="Arial" w:eastAsia="Arial" w:hAnsi="Arial"/>
          <w:b/>
          <w:bCs/>
          <w:color w:val="222222"/>
          <w:sz w:val="22"/>
          <w:szCs w:val="22"/>
        </w:rPr>
        <w:t xml:space="preserve">Description détaillée des travaux :</w:t>
      </w:r>
    </w:p>
    <w:p>
      <w:pPr>
        <w:spacing w:after="60" w:before="60" w:line="300"/>
      </w:pPr>
      <w:r>
        <w:rPr>
          <w:rFonts w:ascii="Arial" w:cs="Arial" w:eastAsia="Arial" w:hAnsi="Arial"/>
          <w:color w:val="222222"/>
          <w:sz w:val="22"/>
          <w:szCs w:val="22"/>
        </w:rPr>
        <w:t xml:space="preserve">______________________________________________________________________________________</w:t>
      </w:r>
    </w:p>
    <w:p>
      <w:pPr>
        <w:spacing w:after="60" w:before="60" w:line="300"/>
      </w:pPr>
      <w:r>
        <w:rPr>
          <w:rFonts w:ascii="Arial" w:cs="Arial" w:eastAsia="Arial" w:hAnsi="Arial"/>
          <w:color w:val="222222"/>
          <w:sz w:val="22"/>
          <w:szCs w:val="22"/>
        </w:rPr>
        <w:t xml:space="preserve">______________________________________________________________________________________</w:t>
      </w:r>
    </w:p>
    <w:p>
      <w:pPr>
        <w:spacing w:after="60" w:before="60" w:line="300"/>
      </w:pPr>
      <w:r>
        <w:rPr>
          <w:rFonts w:ascii="Arial" w:cs="Arial" w:eastAsia="Arial" w:hAnsi="Arial"/>
          <w:color w:val="222222"/>
          <w:sz w:val="22"/>
          <w:szCs w:val="22"/>
        </w:rPr>
        <w:t xml:space="preserve">______________________________________________________________________________________</w:t>
      </w:r>
    </w:p>
    <w:p>
      <w:pPr>
        <w:pStyle w:val="Heading3"/>
        <w:keepNext/>
        <w:spacing w:after="100" w:before="200"/>
      </w:pPr>
      <w:r>
        <w:rPr>
          <w:rFonts w:ascii="Arial" w:cs="Arial" w:eastAsia="Arial" w:hAnsi="Arial"/>
          <w:b/>
          <w:bCs/>
          <w:color w:val="5A5B5C"/>
          <w:sz w:val="24"/>
          <w:szCs w:val="24"/>
        </w:rPr>
        <w:t xml:space="preserve">2.1. Type d’opération</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Installation neuve d’un Système de Sécurité Incendie (SSI) — catégorie : __________</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Maintenance préventive (contractuelle) sur SSI existant</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Maintenance corrective / dépannage</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Vérification périodique annuelle (Art. R.4226-7)</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Travaux de désenfumage (pose, modification, remplacement)</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Installation ou maintenance d’extincteurs portatifs et fixes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Installation ou maintenance d’équipements hydrauliques (RIA, sprinklers)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Travaux électriques sur installations dédiées à la sécurité incendie</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Autre : __________________________________________________</w:t>
      </w:r>
    </w:p>
    <w:p>
      <w:pPr>
        <w:pStyle w:val="Heading3"/>
        <w:keepNext/>
        <w:spacing w:after="100" w:before="200"/>
      </w:pPr>
      <w:r>
        <w:rPr>
          <w:rFonts w:ascii="Arial" w:cs="Arial" w:eastAsia="Arial" w:hAnsi="Arial"/>
          <w:b/>
          <w:bCs/>
          <w:color w:val="5A5B5C"/>
          <w:sz w:val="24"/>
          <w:szCs w:val="24"/>
        </w:rPr>
        <w:t xml:space="preserve">2.2. Localisation des travaux sur le site EU</w:t>
      </w:r>
    </w:p>
    <w:p>
      <w:pPr>
        <w:spacing w:after="60" w:before="60" w:line="300"/>
      </w:pPr>
      <w:r>
        <w:rPr>
          <w:rFonts w:ascii="Arial" w:cs="Arial" w:eastAsia="Arial" w:hAnsi="Arial"/>
          <w:color w:val="222222"/>
          <w:sz w:val="22"/>
          <w:szCs w:val="22"/>
        </w:rPr>
        <w:t xml:space="preserve">Bâtiment(s), niveau(x), zone(s) concernés :</w:t>
      </w:r>
    </w:p>
    <w:p>
      <w:pPr>
        <w:spacing w:after="60" w:before="60" w:line="300"/>
      </w:pPr>
      <w:r>
        <w:rPr>
          <w:rFonts w:ascii="Arial" w:cs="Arial" w:eastAsia="Arial" w:hAnsi="Arial"/>
          <w:color w:val="222222"/>
          <w:sz w:val="22"/>
          <w:szCs w:val="22"/>
        </w:rPr>
        <w:t xml:space="preserve">______________________________________________________________________________________</w:t>
      </w:r>
    </w:p>
    <w:p>
      <w:pPr>
        <w:spacing w:after="60" w:before="60" w:line="300"/>
      </w:pPr>
      <w:r>
        <w:rPr>
          <w:rFonts w:ascii="Arial" w:cs="Arial" w:eastAsia="Arial" w:hAnsi="Arial"/>
          <w:color w:val="222222"/>
          <w:sz w:val="22"/>
          <w:szCs w:val="22"/>
        </w:rPr>
        <w:t xml:space="preserve">______________________________________________________________________________________</w:t>
      </w:r>
    </w:p>
    <w:p>
      <w:pPr>
        <w:pStyle w:val="Heading3"/>
        <w:keepNext/>
        <w:spacing w:after="100" w:before="200"/>
      </w:pPr>
      <w:r>
        <w:rPr>
          <w:rFonts w:ascii="Arial" w:cs="Arial" w:eastAsia="Arial" w:hAnsi="Arial"/>
          <w:b/>
          <w:bCs/>
          <w:color w:val="5A5B5C"/>
          <w:sz w:val="24"/>
          <w:szCs w:val="24"/>
        </w:rPr>
        <w:t xml:space="preserve">2.3. Effectif IM2S et sous-traitants prévu sur site</w:t>
      </w:r>
    </w:p>
    <w:p>
      <w:pPr>
        <w:spacing w:after="60" w:before="60" w:line="300"/>
      </w:pPr>
      <w:r>
        <w:rPr>
          <w:rFonts w:ascii="Arial" w:cs="Arial" w:eastAsia="Arial" w:hAnsi="Arial"/>
          <w:color w:val="222222"/>
          <w:sz w:val="22"/>
          <w:szCs w:val="22"/>
        </w:rPr>
        <w:t xml:space="preserve">Effectif IM2S : __________ technicien(s) — Effectif sous-traitants : __________ — Total prévu : __________</w:t>
      </w:r>
    </w:p>
    <w:p>
      <w:pPr>
        <w:pStyle w:val="Heading2"/>
        <w:keepNext/>
        <w:spacing w:after="140" w:before="280"/>
      </w:pPr>
      <w:r>
        <w:rPr>
          <w:rFonts w:ascii="Arial" w:cs="Arial" w:eastAsia="Arial" w:hAnsi="Arial"/>
          <w:b/>
          <w:bCs/>
          <w:color w:val="1A1A1A"/>
          <w:sz w:val="28"/>
          <w:szCs w:val="28"/>
        </w:rPr>
        <w:t xml:space="preserve">3. Inspection commune préalable (Art. R.4512-2)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0D1A" w:sz="4"/>
              <w:left w:val="single" w:color="A00D1A" w:sz="18"/>
              <w:bottom w:val="single" w:color="A00D1A" w:sz="4"/>
              <w:right w:val="single" w:color="A00D1A" w:sz="4"/>
            </w:tcBorders>
            <w:shd w:fill="F5F5F5" w:val="clear"/>
            <w:tcMar>
              <w:top w:type="dxa" w:w="160"/>
              <w:left w:type="dxa" w:w="200"/>
              <w:bottom w:type="dxa" w:w="160"/>
              <w:right w:type="dxa" w:w="200"/>
            </w:tcMar>
          </w:tcPr>
          <w:p>
            <w:pPr>
              <w:spacing w:after="60"/>
            </w:pPr>
            <w:r>
              <w:rPr>
                <w:rFonts w:ascii="Arial" w:cs="Arial" w:eastAsia="Arial" w:hAnsi="Arial"/>
                <w:b/>
                <w:bCs/>
                <w:color w:val="A00D1A"/>
                <w:sz w:val="22"/>
                <w:szCs w:val="22"/>
              </w:rPr>
              <w:t xml:space="preserve">Obligation légale</w:t>
            </w:r>
          </w:p>
          <w:p>
            <w:r>
              <w:rPr>
                <w:rFonts w:ascii="Arial" w:cs="Arial" w:eastAsia="Arial" w:hAnsi="Arial"/>
                <w:color w:val="222222"/>
                <w:sz w:val="22"/>
                <w:szCs w:val="22"/>
              </w:rPr>
              <w:t xml:space="preserve">Avant l\u2019exécution de l\u2019opération, le chef de l\u2019entreprise utilisatrice et le chef de chaque entreprise extérieure procèdent en commun à une inspection des lieux de travail, des installations et des matériels éventuellement mis à disposition de l\u2019entreprise extérieure.</w:t>
            </w:r>
          </w:p>
        </w:tc>
      </w:tr>
    </w:tbl>
    <w:p>
      <w:pPr>
        <w:spacing w:after="60" w:before="60" w:line="300"/>
      </w:pPr>
      <w:r>
        <w:rPr>
          <w:rFonts w:ascii="Arial" w:cs="Arial" w:eastAsia="Arial" w:hAnsi="Arial"/>
          <w:color w:val="222222"/>
          <w:sz w:val="22"/>
          <w:szCs w:val="22"/>
        </w:rPr>
        <w:t xml:space="preserve">Date de l’inspection commune : ______ / ______ / 2026</w:t>
      </w:r>
    </w:p>
    <w:p>
      <w:pPr>
        <w:spacing w:after="60" w:before="60" w:line="300"/>
      </w:pPr>
      <w:r>
        <w:rPr>
          <w:rFonts w:ascii="Arial" w:cs="Arial" w:eastAsia="Arial" w:hAnsi="Arial"/>
          <w:color w:val="222222"/>
          <w:sz w:val="22"/>
          <w:szCs w:val="22"/>
        </w:rPr>
        <w:t xml:space="preserve">Participants :</w:t>
      </w:r>
    </w:p>
    <w:p>
      <w:pPr>
        <w:spacing w:after="60" w:before="60" w:line="300"/>
      </w:pPr>
      <w:r>
        <w:rPr>
          <w:rFonts w:ascii="Arial" w:cs="Arial" w:eastAsia="Arial" w:hAnsi="Arial"/>
          <w:color w:val="222222"/>
          <w:sz w:val="22"/>
          <w:szCs w:val="22"/>
        </w:rPr>
        <w:t xml:space="preserve">• Pour l’Entreprise Utilisatrice : M. / Mme __________________________ — Fonction : __________________</w:t>
      </w:r>
    </w:p>
    <w:p>
      <w:pPr>
        <w:spacing w:after="60" w:before="60" w:line="300"/>
      </w:pPr>
      <w:r>
        <w:rPr>
          <w:rFonts w:ascii="Arial" w:cs="Arial" w:eastAsia="Arial" w:hAnsi="Arial"/>
          <w:color w:val="222222"/>
          <w:sz w:val="22"/>
          <w:szCs w:val="22"/>
        </w:rPr>
        <w:t xml:space="preserve">• Pour IM2S (Entreprise Extérieure) : M. __________________________ — Fonction : __________________</w:t>
      </w:r>
    </w:p>
    <w:p>
      <w:pPr>
        <w:spacing w:after="60" w:before="60" w:line="300"/>
      </w:pPr>
      <w:r>
        <w:rPr>
          <w:rFonts w:ascii="Arial" w:cs="Arial" w:eastAsia="Arial" w:hAnsi="Arial"/>
          <w:color w:val="222222"/>
          <w:sz w:val="22"/>
          <w:szCs w:val="22"/>
        </w:rPr>
        <w:t xml:space="preserve">• Pour les sous-traitants éventuels : __________________________</w:t>
      </w:r>
    </w:p>
    <w:p>
      <w:pPr>
        <w:spacing w:after="60" w:before="240" w:line="300"/>
      </w:pPr>
      <w:r>
        <w:rPr>
          <w:rFonts w:ascii="Arial" w:cs="Arial" w:eastAsia="Arial" w:hAnsi="Arial"/>
          <w:b/>
          <w:bCs/>
          <w:color w:val="222222"/>
          <w:sz w:val="22"/>
          <w:szCs w:val="22"/>
        </w:rPr>
        <w:t xml:space="preserve">Éléments examinés lors de l’inspection commune :</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Configuration des lieux et accès au chantier</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Voies de circulation et signalisation interne au site EU</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Issues de secours et points de rassemblement</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Installations électriques de l’EU (TGBT, points de coupure)</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Présence d’autres entreprises sur le site (interférences)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Activités à risque spécifique du site EU (ATEX, chimique, biologique, rayonnements)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Moyens de premiers secours (DAE, trousse, SST EU disponibles)</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Consignes de sécurité spécifiques au site</w:t>
      </w:r>
    </w:p>
    <w:p>
      <w:pPr>
        <w:pStyle w:val="Heading2"/>
        <w:keepNext/>
        <w:spacing w:after="140" w:before="280"/>
      </w:pPr>
      <w:r>
        <w:rPr>
          <w:rFonts w:ascii="Arial" w:cs="Arial" w:eastAsia="Arial" w:hAnsi="Arial"/>
          <w:b/>
          <w:bCs/>
          <w:color w:val="1A1A1A"/>
          <w:sz w:val="28"/>
          <w:szCs w:val="28"/>
        </w:rPr>
        <w:t xml:space="preserve">4. Analyse des risques d’interférence (Art. R.4512-6)</w:t>
      </w:r>
    </w:p>
    <w:p>
      <w:pPr>
        <w:spacing w:after="60" w:before="60" w:line="300"/>
      </w:pPr>
      <w:r>
        <w:rPr>
          <w:rFonts w:ascii="Arial" w:cs="Arial" w:eastAsia="Arial" w:hAnsi="Arial"/>
          <w:color w:val="222222"/>
          <w:sz w:val="22"/>
          <w:szCs w:val="22"/>
        </w:rPr>
        <w:t xml:space="preserve">Cette analyse, cœur du Plan de Prévention, identifie les risques susceptibles de résulter de la coexistence des activités de l’EU et d’IM2S — risques qui n’existeraient pas en l’absence d’interférence entre les deux entreprises.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226"/>
      </w:tblGrid>
      <w:tr>
        <w:trPr>
          <w:tblHeader/>
        </w:trPr>
        <w:tc>
          <w:tcPr>
            <w:tcW w:type="dxa" w:w="18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 d’interférence</w:t>
            </w:r>
          </w:p>
        </w:tc>
        <w:tc>
          <w:tcPr>
            <w:tcW w:type="dxa" w:w="3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 nature</w:t>
            </w:r>
          </w:p>
        </w:tc>
        <w:tc>
          <w:tcPr>
            <w:tcW w:type="dxa" w:w="20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 concernée</w:t>
            </w:r>
          </w:p>
        </w:tc>
        <w:tc>
          <w:tcPr>
            <w:tcW w:type="dxa" w:w="22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Mesure de prévention (cf. partie 5)</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Risque électrique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Travaux à proximité d’installations électriques de l’EU sous tension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Consignation EU + habilitations IM2S BS/BR</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Risque de chute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Travaux en hauteur (faux-plafond, toiture) sur emprise 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Échelles HYMER + harnais + ligne de vie EU si &gt; 3 m</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Risque incendie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Points chauds (soudure, perçage) ou interventions à proximité de matières inflammables 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Permis de feu + extincteur dédié + surveillance H+2</w:t>
            </w:r>
          </w:p>
        </w:tc>
      </w:tr>
      <w:tr>
        <w:tc>
          <w:tcPr>
            <w:tcW w:type="dxa" w:w="1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Risque chimique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Exposition aux produits de l’EU ou utilisation par IM2S de produits sur site EU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FDS échangées + EPI adapté + ventilation</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Risque amiante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Bâtiment EU antérieur à 1997 — possible présence d’amiante en faux-plafond, calorifuge, etc.</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DTA fourni par EU + formation SS4 IM2S + interruption si découverte fortuite</w:t>
            </w:r>
          </w:p>
        </w:tc>
      </w:tr>
      <w:tr>
        <w:tc>
          <w:tcPr>
            <w:tcW w:type="dxa" w:w="1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Risque circulation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Croisement avec engins, chariots, véhicules EU et autres entreprises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Plan de circulation EU + EPI haute visibilité</w:t>
            </w:r>
          </w:p>
        </w:tc>
      </w:tr>
      <w:tr>
        <w:tc>
          <w:tcPr>
            <w:tcW w:type="dxa" w:w="1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Risque bruit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Émissions sonores des activités EU ou IM2S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Bouchons d’oreilles obligatoires si &gt; 80 dB(A)</w:t>
            </w:r>
          </w:p>
        </w:tc>
      </w:tr>
      <w:tr>
        <w:tc>
          <w:tcPr>
            <w:tcW w:type="dxa" w:w="1800"/>
            <w:tcBorders>
              <w:top w:val="single" w:color="CCCCCC" w:sz="4"/>
              <w:left w:val="single" w:color="CCCCCC" w:sz="4"/>
              <w:bottom w:val="single" w:color="CCCCCC" w:sz="4"/>
              <w:right w:val="single" w:color="CCCCCC" w:sz="4"/>
            </w:tcBorders>
            <w:shd w:fill="FFE0B2" w:val="clear"/>
            <w:tcMar>
              <w:top w:type="dxa" w:w="80"/>
              <w:left w:type="dxa" w:w="120"/>
              <w:bottom w:type="dxa" w:w="80"/>
              <w:right w:type="dxa" w:w="120"/>
            </w:tcMar>
            <w:vAlign w:val="center"/>
          </w:tcPr>
          <w:p>
            <w:r>
              <w:rPr>
                <w:rFonts w:ascii="Arial" w:cs="Arial" w:eastAsia="Arial" w:hAnsi="Arial"/>
                <w:b/>
                <w:bCs/>
                <w:color w:val="E65100"/>
                <w:sz w:val="20"/>
                <w:szCs w:val="20"/>
              </w:rPr>
              <w:t xml:space="preserve">Co-activité</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Présence simultanée d’autres entreprises sur le site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 / autres EE</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Coordination par EU + zones de travail balisées</w:t>
            </w:r>
          </w:p>
        </w:tc>
      </w:tr>
      <w:tr>
        <w:tc>
          <w:tcPr>
            <w:tcW w:type="dxa" w:w="1800"/>
            <w:tcBorders>
              <w:top w:val="single" w:color="CCCCCC" w:sz="4"/>
              <w:left w:val="single" w:color="CCCCCC" w:sz="4"/>
              <w:bottom w:val="single" w:color="CCCCCC" w:sz="4"/>
              <w:right w:val="single" w:color="CCCCCC" w:sz="4"/>
            </w:tcBorders>
            <w:shd w:fill="FFF59D" w:val="clear"/>
            <w:tcMar>
              <w:top w:type="dxa" w:w="80"/>
              <w:left w:type="dxa" w:w="120"/>
              <w:bottom w:type="dxa" w:w="80"/>
              <w:right w:type="dxa" w:w="120"/>
            </w:tcMar>
            <w:vAlign w:val="center"/>
          </w:tcPr>
          <w:p>
            <w:r>
              <w:rPr>
                <w:rFonts w:ascii="Arial" w:cs="Arial" w:eastAsia="Arial" w:hAnsi="Arial"/>
                <w:b/>
                <w:bCs/>
                <w:color w:val="B8860B"/>
                <w:sz w:val="20"/>
                <w:szCs w:val="20"/>
              </w:rPr>
              <w:t xml:space="preserve">Risque biologique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Sites sensibles (établissements de santé, laboratoires, agroalimentaire)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EPI adapté + procédure AES + vaccination personnel</w:t>
            </w:r>
          </w:p>
        </w:tc>
      </w:tr>
      <w:tr>
        <w:tc>
          <w:tcPr>
            <w:tcW w:type="dxa" w:w="1800"/>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r>
              <w:rPr>
                <w:rFonts w:ascii="Arial" w:cs="Arial" w:eastAsia="Arial" w:hAnsi="Arial"/>
                <w:b/>
                <w:bCs/>
                <w:color w:val="A00D1A"/>
                <w:sz w:val="20"/>
                <w:szCs w:val="20"/>
              </w:rPr>
              <w:t xml:space="preserve">ATEX</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Atmosphère explosive sur site EU (industrie, dépôts, garages)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center"/>
            </w:pPr>
            <w:r>
              <w:rPr>
                <w:rFonts w:ascii="Arial" w:cs="Arial" w:eastAsia="Arial" w:hAnsi="Arial"/>
                <w:color w:val="222222"/>
                <w:sz w:val="20"/>
                <w:szCs w:val="20"/>
              </w:rPr>
              <w:t xml:space="preserve">IM2S / EU</w:t>
            </w:r>
          </w:p>
        </w:tc>
        <w:tc>
          <w:tcPr>
            <w:tcW w:type="dxa" w:w="22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Identification zones ATEX par EU + matériel certifié IM2S + interdiction sources d’ignition</w:t>
            </w:r>
          </w:p>
        </w:tc>
      </w:tr>
    </w:tbl>
    <w:p>
      <w:pPr>
        <w:pStyle w:val="Heading3"/>
        <w:keepNext/>
        <w:spacing w:after="100" w:before="200"/>
      </w:pPr>
      <w:r>
        <w:rPr>
          <w:rFonts w:ascii="Arial" w:cs="Arial" w:eastAsia="Arial" w:hAnsi="Arial"/>
          <w:b/>
          <w:bCs/>
          <w:color w:val="5A5B5C"/>
          <w:sz w:val="24"/>
          <w:szCs w:val="24"/>
        </w:rPr>
        <w:t xml:space="preserve">4.1. Risques additionnels spécifiques à cette opération</w:t>
      </w:r>
    </w:p>
    <w:p>
      <w:pPr>
        <w:spacing w:after="60" w:before="60" w:line="300"/>
      </w:pPr>
      <w:r>
        <w:rPr>
          <w:rFonts w:ascii="Arial" w:cs="Arial" w:eastAsia="Arial" w:hAnsi="Arial"/>
          <w:color w:val="222222"/>
          <w:sz w:val="22"/>
          <w:szCs w:val="22"/>
        </w:rPr>
        <w:t xml:space="preserve">Cocher et préciser les risques additionnels identifiés lors de l’inspection commune :</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Rayonnements ionisants (sites médicaux/industriels) — précautions : __________________</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Travail isolé prolongé — précautions : __________________</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Travail en environnement froid / chaud — précautions : __________________</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Travail en espace confiné — précautions : __________________ (procédure spécifique requise)</w:t>
      </w:r>
    </w:p>
    <w:p>
      <w:pPr>
        <w:spacing w:after="60" w:before="60"/>
      </w:pPr>
      <w:r>
        <w:rPr>
          <w:rFonts w:ascii="Arial" w:cs="Arial" w:eastAsia="Arial" w:hAnsi="Arial"/>
          <w:b/>
          <w:bCs/>
          <w:sz w:val="22"/>
          <w:szCs w:val="22"/>
        </w:rPr>
        <w:t xml:space="preserve">☐  </w:t>
      </w:r>
      <w:r>
        <w:rPr>
          <w:rFonts w:ascii="Arial" w:cs="Arial" w:eastAsia="Arial" w:hAnsi="Arial"/>
          <w:sz w:val="22"/>
          <w:szCs w:val="22"/>
        </w:rPr>
        <w:t xml:space="preserve">Autre risque identifié : __________________ — précautions : __________________</w:t>
      </w:r>
    </w:p>
    <w:p>
      <w:pPr>
        <w:pStyle w:val="Heading2"/>
        <w:keepNext/>
        <w:spacing w:after="140" w:before="280"/>
      </w:pPr>
      <w:r>
        <w:rPr>
          <w:rFonts w:ascii="Arial" w:cs="Arial" w:eastAsia="Arial" w:hAnsi="Arial"/>
          <w:b/>
          <w:bCs/>
          <w:color w:val="1A1A1A"/>
          <w:sz w:val="28"/>
          <w:szCs w:val="28"/>
        </w:rPr>
        <w:t xml:space="preserve">5. Mesures de prévention adoptées</w:t>
      </w:r>
    </w:p>
    <w:p>
      <w:pPr>
        <w:pStyle w:val="Heading3"/>
        <w:keepNext/>
        <w:spacing w:after="100" w:before="200"/>
      </w:pPr>
      <w:r>
        <w:rPr>
          <w:rFonts w:ascii="Arial" w:cs="Arial" w:eastAsia="Arial" w:hAnsi="Arial"/>
          <w:b/>
          <w:bCs/>
          <w:color w:val="5A5B5C"/>
          <w:sz w:val="24"/>
          <w:szCs w:val="24"/>
        </w:rPr>
        <w:t xml:space="preserve">5.1. Mesures à la charge de l’Entreprise Utilisatrice</w:t>
      </w:r>
    </w:p>
    <w:p>
      <w:pPr>
        <w:pStyle w:val="ListParagraph"/>
        <w:numPr>
          <w:ilvl w:val="0"/>
          <w:numId w:val="2"/>
        </w:numPr>
        <w:spacing w:after="40" w:before="40" w:line="300"/>
      </w:pPr>
      <w:r>
        <w:rPr>
          <w:rFonts w:ascii="Arial" w:cs="Arial" w:eastAsia="Arial" w:hAnsi="Arial"/>
          <w:color w:val="222222"/>
          <w:sz w:val="22"/>
          <w:szCs w:val="22"/>
        </w:rPr>
        <w:t xml:space="preserve">Information préalable d’IM2S sur les risques et consignes de sécurité spécifiques au site.</w:t>
      </w:r>
    </w:p>
    <w:p>
      <w:pPr>
        <w:pStyle w:val="ListParagraph"/>
        <w:numPr>
          <w:ilvl w:val="0"/>
          <w:numId w:val="2"/>
        </w:numPr>
        <w:spacing w:after="40" w:before="40" w:line="300"/>
      </w:pPr>
      <w:r>
        <w:rPr>
          <w:rFonts w:ascii="Arial" w:cs="Arial" w:eastAsia="Arial" w:hAnsi="Arial"/>
          <w:color w:val="222222"/>
          <w:sz w:val="22"/>
          <w:szCs w:val="22"/>
        </w:rPr>
        <w:t xml:space="preserve">Mise à disposition du Plan de Circulation, du Plan d’Évacuation, des consignes incendie et points de rassemblement.</w:t>
      </w:r>
    </w:p>
    <w:p>
      <w:pPr>
        <w:pStyle w:val="ListParagraph"/>
        <w:numPr>
          <w:ilvl w:val="0"/>
          <w:numId w:val="2"/>
        </w:numPr>
        <w:spacing w:after="40" w:before="40" w:line="300"/>
      </w:pPr>
      <w:r>
        <w:rPr>
          <w:rFonts w:ascii="Arial" w:cs="Arial" w:eastAsia="Arial" w:hAnsi="Arial"/>
          <w:color w:val="222222"/>
          <w:sz w:val="22"/>
          <w:szCs w:val="22"/>
        </w:rPr>
        <w:t xml:space="preserve">Communication du DTA (Dossier Technique Amiante) si bâtiment antérieur à 1997.</w:t>
      </w:r>
    </w:p>
    <w:p>
      <w:pPr>
        <w:pStyle w:val="ListParagraph"/>
        <w:numPr>
          <w:ilvl w:val="0"/>
          <w:numId w:val="2"/>
        </w:numPr>
        <w:spacing w:after="40" w:before="40" w:line="300"/>
      </w:pPr>
      <w:r>
        <w:rPr>
          <w:rFonts w:ascii="Arial" w:cs="Arial" w:eastAsia="Arial" w:hAnsi="Arial"/>
          <w:color w:val="222222"/>
          <w:sz w:val="22"/>
          <w:szCs w:val="22"/>
        </w:rPr>
        <w:t xml:space="preserve">Mise à disposition des FDS des produits chimiques présents sur le site susceptibles d’interférer.</w:t>
      </w:r>
    </w:p>
    <w:p>
      <w:pPr>
        <w:pStyle w:val="ListParagraph"/>
        <w:numPr>
          <w:ilvl w:val="0"/>
          <w:numId w:val="2"/>
        </w:numPr>
        <w:spacing w:after="40" w:before="40" w:line="300"/>
      </w:pPr>
      <w:r>
        <w:rPr>
          <w:rFonts w:ascii="Arial" w:cs="Arial" w:eastAsia="Arial" w:hAnsi="Arial"/>
          <w:color w:val="222222"/>
          <w:sz w:val="22"/>
          <w:szCs w:val="22"/>
        </w:rPr>
        <w:t xml:space="preserve">Consignation électrique préalable des installations sous tension à la charge de l’EU si nécessaire.</w:t>
      </w:r>
    </w:p>
    <w:p>
      <w:pPr>
        <w:pStyle w:val="ListParagraph"/>
        <w:numPr>
          <w:ilvl w:val="0"/>
          <w:numId w:val="2"/>
        </w:numPr>
        <w:spacing w:after="40" w:before="40" w:line="300"/>
      </w:pPr>
      <w:r>
        <w:rPr>
          <w:rFonts w:ascii="Arial" w:cs="Arial" w:eastAsia="Arial" w:hAnsi="Arial"/>
          <w:color w:val="222222"/>
          <w:sz w:val="22"/>
          <w:szCs w:val="22"/>
        </w:rPr>
        <w:t xml:space="preserve">Désignation d’un référent EU joignable pendant toute la durée de l’intervention.</w:t>
      </w:r>
    </w:p>
    <w:p>
      <w:pPr>
        <w:pStyle w:val="ListParagraph"/>
        <w:numPr>
          <w:ilvl w:val="0"/>
          <w:numId w:val="2"/>
        </w:numPr>
        <w:spacing w:after="40" w:before="40" w:line="300"/>
      </w:pPr>
      <w:r>
        <w:rPr>
          <w:rFonts w:ascii="Arial" w:cs="Arial" w:eastAsia="Arial" w:hAnsi="Arial"/>
          <w:color w:val="222222"/>
          <w:sz w:val="22"/>
          <w:szCs w:val="22"/>
        </w:rPr>
        <w:t xml:space="preserve">Mise à disposition des sanitaires, vestiaires, lieux de pause selon Art. R.4513-9.</w:t>
      </w:r>
    </w:p>
    <w:p>
      <w:pPr>
        <w:pStyle w:val="Heading3"/>
        <w:keepNext/>
        <w:spacing w:after="100" w:before="200"/>
      </w:pPr>
      <w:r>
        <w:rPr>
          <w:rFonts w:ascii="Arial" w:cs="Arial" w:eastAsia="Arial" w:hAnsi="Arial"/>
          <w:b/>
          <w:bCs/>
          <w:color w:val="5A5B5C"/>
          <w:sz w:val="24"/>
          <w:szCs w:val="24"/>
        </w:rPr>
        <w:t xml:space="preserve">5.2. Mesures à la charge d’IM2S Protection Incendie (Entreprise Extérieure)</w:t>
      </w:r>
    </w:p>
    <w:p>
      <w:pPr>
        <w:pStyle w:val="ListParagraph"/>
        <w:numPr>
          <w:ilvl w:val="0"/>
          <w:numId w:val="2"/>
        </w:numPr>
        <w:spacing w:after="40" w:before="40" w:line="300"/>
      </w:pPr>
      <w:r>
        <w:rPr>
          <w:rFonts w:ascii="Arial" w:cs="Arial" w:eastAsia="Arial" w:hAnsi="Arial"/>
          <w:color w:val="222222"/>
          <w:sz w:val="22"/>
          <w:szCs w:val="22"/>
        </w:rPr>
        <w:t xml:space="preserve">Habilitations à jour des intervenants : BS/BR (NF C 18-510) — valides jusqu’en 2027 — copie tenue à disposition.</w:t>
      </w:r>
    </w:p>
    <w:p>
      <w:pPr>
        <w:pStyle w:val="ListParagraph"/>
        <w:numPr>
          <w:ilvl w:val="0"/>
          <w:numId w:val="2"/>
        </w:numPr>
        <w:spacing w:after="40" w:before="40" w:line="300"/>
      </w:pPr>
      <w:r>
        <w:rPr>
          <w:rFonts w:ascii="Arial" w:cs="Arial" w:eastAsia="Arial" w:hAnsi="Arial"/>
          <w:color w:val="222222"/>
          <w:sz w:val="22"/>
          <w:szCs w:val="22"/>
        </w:rPr>
        <w:t xml:space="preserve">Formation SS4 amiante (Art. R.4412-117) pour interventions sur bâti antérieur à 1997.</w:t>
      </w:r>
    </w:p>
    <w:p>
      <w:pPr>
        <w:pStyle w:val="ListParagraph"/>
        <w:numPr>
          <w:ilvl w:val="0"/>
          <w:numId w:val="2"/>
        </w:numPr>
        <w:spacing w:after="40" w:before="40" w:line="300"/>
      </w:pPr>
      <w:r>
        <w:rPr>
          <w:rFonts w:ascii="Arial" w:cs="Arial" w:eastAsia="Arial" w:hAnsi="Arial"/>
          <w:color w:val="222222"/>
          <w:sz w:val="22"/>
          <w:szCs w:val="22"/>
        </w:rPr>
        <w:t xml:space="preserve">Port systématique des EPI : casque MSA, lunettes, chaussures de sécurité, gants, gilet haute visibilité, bouchons d’oreilles si nécessaire.</w:t>
      </w:r>
    </w:p>
    <w:p>
      <w:pPr>
        <w:pStyle w:val="ListParagraph"/>
        <w:numPr>
          <w:ilvl w:val="0"/>
          <w:numId w:val="2"/>
        </w:numPr>
        <w:spacing w:after="40" w:before="40" w:line="300"/>
      </w:pPr>
      <w:r>
        <w:rPr>
          <w:rFonts w:ascii="Arial" w:cs="Arial" w:eastAsia="Arial" w:hAnsi="Arial"/>
          <w:color w:val="222222"/>
          <w:sz w:val="22"/>
          <w:szCs w:val="22"/>
        </w:rPr>
        <w:t xml:space="preserve">Validation des consignes de sécurité via la tablette interne « L’Enaxie » avant, pendant et après intervention (validation horodatée).</w:t>
      </w:r>
    </w:p>
    <w:p>
      <w:pPr>
        <w:pStyle w:val="ListParagraph"/>
        <w:numPr>
          <w:ilvl w:val="0"/>
          <w:numId w:val="2"/>
        </w:numPr>
        <w:spacing w:after="40" w:before="40" w:line="300"/>
      </w:pPr>
      <w:r>
        <w:rPr>
          <w:rFonts w:ascii="Arial" w:cs="Arial" w:eastAsia="Arial" w:hAnsi="Arial"/>
          <w:color w:val="222222"/>
          <w:sz w:val="22"/>
          <w:szCs w:val="22"/>
        </w:rPr>
        <w:t xml:space="preserve">Utilisation exclusive de matériel professionnel conforme : échelles HYMER, harnais individuels, outillage électroportatif Schneider/Legrand.</w:t>
      </w:r>
    </w:p>
    <w:p>
      <w:pPr>
        <w:pStyle w:val="ListParagraph"/>
        <w:numPr>
          <w:ilvl w:val="0"/>
          <w:numId w:val="2"/>
        </w:numPr>
        <w:spacing w:after="40" w:before="40" w:line="300"/>
      </w:pPr>
      <w:r>
        <w:rPr>
          <w:rFonts w:ascii="Arial" w:cs="Arial" w:eastAsia="Arial" w:hAnsi="Arial"/>
          <w:color w:val="222222"/>
          <w:sz w:val="22"/>
          <w:szCs w:val="22"/>
        </w:rPr>
        <w:t xml:space="preserve">Application du droit de retrait : arrêt immédiat de l’intervention en cas de constat de risque grave (verbatim direction IM2S : « Stop, on ne la fait pas, et on écrit au client »).</w:t>
      </w:r>
    </w:p>
    <w:p>
      <w:pPr>
        <w:pStyle w:val="ListParagraph"/>
        <w:numPr>
          <w:ilvl w:val="0"/>
          <w:numId w:val="2"/>
        </w:numPr>
        <w:spacing w:after="40" w:before="40" w:line="300"/>
      </w:pPr>
      <w:r>
        <w:rPr>
          <w:rFonts w:ascii="Arial" w:cs="Arial" w:eastAsia="Arial" w:hAnsi="Arial"/>
          <w:color w:val="222222"/>
          <w:sz w:val="22"/>
          <w:szCs w:val="22"/>
        </w:rPr>
        <w:t xml:space="preserve">Permis de feu interne IM2S pour tous les points chauds, avec surveillance 2h après fin d’intervention.</w:t>
      </w:r>
    </w:p>
    <w:p>
      <w:pPr>
        <w:pStyle w:val="ListParagraph"/>
        <w:numPr>
          <w:ilvl w:val="0"/>
          <w:numId w:val="2"/>
        </w:numPr>
        <w:spacing w:after="40" w:before="40" w:line="300"/>
      </w:pPr>
      <w:r>
        <w:rPr>
          <w:rFonts w:ascii="Arial" w:cs="Arial" w:eastAsia="Arial" w:hAnsi="Arial"/>
          <w:color w:val="222222"/>
          <w:sz w:val="22"/>
          <w:szCs w:val="22"/>
        </w:rPr>
        <w:t xml:space="preserve">Procédure de balisage et signalisation de la zone d’intervention.</w:t>
      </w:r>
    </w:p>
    <w:p>
      <w:pPr>
        <w:pStyle w:val="ListParagraph"/>
        <w:numPr>
          <w:ilvl w:val="0"/>
          <w:numId w:val="2"/>
        </w:numPr>
        <w:spacing w:after="40" w:before="40" w:line="300"/>
      </w:pPr>
      <w:r>
        <w:rPr>
          <w:rFonts w:ascii="Arial" w:cs="Arial" w:eastAsia="Arial" w:hAnsi="Arial"/>
          <w:color w:val="222222"/>
          <w:sz w:val="22"/>
          <w:szCs w:val="22"/>
        </w:rPr>
        <w:t xml:space="preserve">Évacuation des déchets par IM2S vers ses propres centres agréés.</w:t>
      </w:r>
    </w:p>
    <w:p>
      <w:pPr>
        <w:pStyle w:val="Heading3"/>
        <w:keepNext/>
        <w:spacing w:after="100" w:before="200"/>
      </w:pPr>
      <w:r>
        <w:rPr>
          <w:rFonts w:ascii="Arial" w:cs="Arial" w:eastAsia="Arial" w:hAnsi="Arial"/>
          <w:b/>
          <w:bCs/>
          <w:color w:val="5A5B5C"/>
          <w:sz w:val="24"/>
          <w:szCs w:val="24"/>
        </w:rPr>
        <w:t xml:space="preserve">5.3. Mesures communes EU + IM2S</w:t>
      </w:r>
    </w:p>
    <w:p>
      <w:pPr>
        <w:pStyle w:val="ListParagraph"/>
        <w:numPr>
          <w:ilvl w:val="0"/>
          <w:numId w:val="2"/>
        </w:numPr>
        <w:spacing w:after="40" w:before="40" w:line="300"/>
      </w:pPr>
      <w:r>
        <w:rPr>
          <w:rFonts w:ascii="Arial" w:cs="Arial" w:eastAsia="Arial" w:hAnsi="Arial"/>
          <w:color w:val="222222"/>
          <w:sz w:val="22"/>
          <w:szCs w:val="22"/>
        </w:rPr>
        <w:t xml:space="preserve">Briefing sécurité d’accueil à l’arrivée des techniciens IM2S (consignes site, points d’évacuation).</w:t>
      </w:r>
    </w:p>
    <w:p>
      <w:pPr>
        <w:pStyle w:val="ListParagraph"/>
        <w:numPr>
          <w:ilvl w:val="0"/>
          <w:numId w:val="2"/>
        </w:numPr>
        <w:spacing w:after="40" w:before="40" w:line="300"/>
      </w:pPr>
      <w:r>
        <w:rPr>
          <w:rFonts w:ascii="Arial" w:cs="Arial" w:eastAsia="Arial" w:hAnsi="Arial"/>
          <w:color w:val="222222"/>
          <w:sz w:val="22"/>
          <w:szCs w:val="22"/>
        </w:rPr>
        <w:t xml:space="preserve">Liaison radio ou téléphone permanente entre référents EU et représentant IM2S sur site.</w:t>
      </w:r>
    </w:p>
    <w:p>
      <w:pPr>
        <w:pStyle w:val="ListParagraph"/>
        <w:numPr>
          <w:ilvl w:val="0"/>
          <w:numId w:val="2"/>
        </w:numPr>
        <w:spacing w:after="40" w:before="40" w:line="300"/>
      </w:pPr>
      <w:r>
        <w:rPr>
          <w:rFonts w:ascii="Arial" w:cs="Arial" w:eastAsia="Arial" w:hAnsi="Arial"/>
          <w:color w:val="222222"/>
          <w:sz w:val="22"/>
          <w:szCs w:val="22"/>
        </w:rPr>
        <w:t xml:space="preserve">Réunion de coordination en début de journée si présence simultanée d’autres entreprises.</w:t>
      </w:r>
    </w:p>
    <w:p>
      <w:pPr>
        <w:pStyle w:val="ListParagraph"/>
        <w:numPr>
          <w:ilvl w:val="0"/>
          <w:numId w:val="2"/>
        </w:numPr>
        <w:spacing w:after="40" w:before="40" w:line="300"/>
      </w:pPr>
      <w:r>
        <w:rPr>
          <w:rFonts w:ascii="Arial" w:cs="Arial" w:eastAsia="Arial" w:hAnsi="Arial"/>
          <w:color w:val="222222"/>
          <w:sz w:val="22"/>
          <w:szCs w:val="22"/>
        </w:rPr>
        <w:t xml:space="preserve">Procédure d’alerte commune en cas d’incident ou accident (numéros internes EU + 18/15/112).</w:t>
      </w:r>
    </w:p>
    <w:p>
      <w:pPr>
        <w:pStyle w:val="Heading2"/>
        <w:keepNext/>
        <w:spacing w:after="140" w:before="280"/>
      </w:pPr>
      <w:r>
        <w:rPr>
          <w:rFonts w:ascii="Arial" w:cs="Arial" w:eastAsia="Arial" w:hAnsi="Arial"/>
          <w:b/>
          <w:bCs/>
          <w:color w:val="1A1A1A"/>
          <w:sz w:val="28"/>
          <w:szCs w:val="28"/>
        </w:rPr>
        <w:t xml:space="preserve">6. Organisation des premiers secours et procédure en cas d’incident</w:t>
      </w:r>
    </w:p>
    <w:p>
      <w:pPr>
        <w:spacing w:after="60" w:before="60" w:line="300"/>
      </w:pPr>
      <w:r>
        <w:rPr>
          <w:rFonts w:ascii="Arial" w:cs="Arial" w:eastAsia="Arial" w:hAnsi="Arial"/>
          <w:color w:val="222222"/>
          <w:sz w:val="22"/>
          <w:szCs w:val="22"/>
        </w:rPr>
        <w:t xml:space="preserve">En cas d’accident ou incident, la procédure suivante s’applique :</w:t>
      </w:r>
    </w:p>
    <w:p>
      <w:pPr>
        <w:pStyle w:val="ListParagraph"/>
        <w:numPr>
          <w:ilvl w:val="0"/>
          <w:numId w:val="{numbers-0}"/>
        </w:numPr>
        <w:spacing w:after="40" w:before="40"/>
      </w:pPr>
      <w:r>
        <w:rPr>
          <w:rFonts w:ascii="Arial" w:cs="Arial" w:eastAsia="Arial" w:hAnsi="Arial"/>
          <w:sz w:val="22"/>
          <w:szCs w:val="22"/>
        </w:rPr>
        <w:t xml:space="preserve">Sécuriser la zone et la personne accidentée.</w:t>
      </w:r>
    </w:p>
    <w:p>
      <w:pPr>
        <w:pStyle w:val="ListParagraph"/>
        <w:numPr>
          <w:ilvl w:val="0"/>
          <w:numId w:val="{numbers-0}"/>
        </w:numPr>
        <w:spacing w:after="40" w:before="40"/>
      </w:pPr>
      <w:r>
        <w:rPr>
          <w:rFonts w:ascii="Arial" w:cs="Arial" w:eastAsia="Arial" w:hAnsi="Arial"/>
          <w:sz w:val="22"/>
          <w:szCs w:val="22"/>
        </w:rPr>
        <w:t xml:space="preserve">Alerter immédiatement le SST de l’EU (numéro interne : __________) ET le représentant IM2S sur site.</w:t>
      </w:r>
    </w:p>
    <w:p>
      <w:pPr>
        <w:pStyle w:val="ListParagraph"/>
        <w:numPr>
          <w:ilvl w:val="0"/>
          <w:numId w:val="{numbers-0}"/>
        </w:numPr>
        <w:spacing w:after="40" w:before="40"/>
      </w:pPr>
      <w:r>
        <w:rPr>
          <w:rFonts w:ascii="Arial" w:cs="Arial" w:eastAsia="Arial" w:hAnsi="Arial"/>
          <w:sz w:val="22"/>
          <w:szCs w:val="22"/>
        </w:rPr>
        <w:t xml:space="preserve">Appeler les secours externes si nécessaire : SAMU 15 — Pompiers 18 — Européen 112.</w:t>
      </w:r>
    </w:p>
    <w:p>
      <w:pPr>
        <w:pStyle w:val="ListParagraph"/>
        <w:numPr>
          <w:ilvl w:val="0"/>
          <w:numId w:val="{numbers-0}"/>
        </w:numPr>
        <w:spacing w:after="40" w:before="40"/>
      </w:pPr>
      <w:r>
        <w:rPr>
          <w:rFonts w:ascii="Arial" w:cs="Arial" w:eastAsia="Arial" w:hAnsi="Arial"/>
          <w:sz w:val="22"/>
          <w:szCs w:val="22"/>
        </w:rPr>
        <w:t xml:space="preserve">Préserver les éléments de l’accident pour analyse ultérieure.</w:t>
      </w:r>
    </w:p>
    <w:p>
      <w:pPr>
        <w:pStyle w:val="ListParagraph"/>
        <w:numPr>
          <w:ilvl w:val="0"/>
          <w:numId w:val="{numbers-0}"/>
        </w:numPr>
        <w:spacing w:after="40" w:before="40"/>
      </w:pPr>
      <w:r>
        <w:rPr>
          <w:rFonts w:ascii="Arial" w:cs="Arial" w:eastAsia="Arial" w:hAnsi="Arial"/>
          <w:sz w:val="22"/>
          <w:szCs w:val="22"/>
        </w:rPr>
        <w:t xml:space="preserve">Le représentant IM2S informe immédiatement la direction (M. KNOLL — 04 93 58 75 38).</w:t>
      </w:r>
    </w:p>
    <w:p>
      <w:pPr>
        <w:pStyle w:val="ListParagraph"/>
        <w:numPr>
          <w:ilvl w:val="0"/>
          <w:numId w:val="{numbers-0}"/>
        </w:numPr>
        <w:spacing w:after="40" w:before="40"/>
      </w:pPr>
      <w:r>
        <w:rPr>
          <w:rFonts w:ascii="Arial" w:cs="Arial" w:eastAsia="Arial" w:hAnsi="Arial"/>
          <w:sz w:val="22"/>
          <w:szCs w:val="22"/>
        </w:rPr>
        <w:t xml:space="preserve">Le représentant EU informe immédiatement sa direction et son service sécurité.</w:t>
      </w:r>
    </w:p>
    <w:p>
      <w:pPr>
        <w:pStyle w:val="ListParagraph"/>
        <w:numPr>
          <w:ilvl w:val="0"/>
          <w:numId w:val="{numbers-0}"/>
        </w:numPr>
        <w:spacing w:after="40" w:before="40"/>
      </w:pPr>
      <w:r>
        <w:rPr>
          <w:rFonts w:ascii="Arial" w:cs="Arial" w:eastAsia="Arial" w:hAnsi="Arial"/>
          <w:sz w:val="22"/>
          <w:szCs w:val="22"/>
        </w:rPr>
        <w:t xml:space="preserve">Déclaration d’accident du travail (DAT) par IM2S sous 48h si salarié IM2S concerné (Art. L.441-1 CSS).</w:t>
      </w:r>
    </w:p>
    <w:p>
      <w:pPr>
        <w:pStyle w:val="ListParagraph"/>
        <w:numPr>
          <w:ilvl w:val="0"/>
          <w:numId w:val="{numbers-0}"/>
        </w:numPr>
        <w:spacing w:after="40" w:before="40"/>
      </w:pPr>
      <w:r>
        <w:rPr>
          <w:rFonts w:ascii="Arial" w:cs="Arial" w:eastAsia="Arial" w:hAnsi="Arial"/>
          <w:sz w:val="22"/>
          <w:szCs w:val="22"/>
        </w:rPr>
        <w:t xml:space="preserve">Analyse REX conjointe EU + IM2S dans les 15 jours suivants.</w:t>
      </w:r>
    </w:p>
    <w:p>
      <w:pPr>
        <w:spacing w:after="60" w:before="240" w:line="300"/>
      </w:pPr>
      <w:r>
        <w:rPr>
          <w:rFonts w:ascii="Arial" w:cs="Arial" w:eastAsia="Arial" w:hAnsi="Arial"/>
          <w:b/>
          <w:bCs/>
          <w:color w:val="222222"/>
          <w:sz w:val="22"/>
          <w:szCs w:val="22"/>
        </w:rPr>
        <w:t xml:space="preserve">Coordonnées des secours et structures hospitalières les plus proches :</w:t>
      </w:r>
    </w:p>
    <w:p>
      <w:pPr>
        <w:pStyle w:val="ListParagraph"/>
        <w:numPr>
          <w:ilvl w:val="0"/>
          <w:numId w:val="2"/>
        </w:numPr>
        <w:spacing w:after="40" w:before="40" w:line="300"/>
      </w:pPr>
      <w:r>
        <w:rPr>
          <w:rFonts w:ascii="Arial" w:cs="Arial" w:eastAsia="Arial" w:hAnsi="Arial"/>
          <w:color w:val="222222"/>
          <w:sz w:val="22"/>
          <w:szCs w:val="22"/>
        </w:rPr>
        <w:t xml:space="preserve">Hôpital de référence (à compléter selon localisation) : __________________ — Tél : __________________</w:t>
      </w:r>
    </w:p>
    <w:p>
      <w:pPr>
        <w:pStyle w:val="ListParagraph"/>
        <w:numPr>
          <w:ilvl w:val="0"/>
          <w:numId w:val="2"/>
        </w:numPr>
        <w:spacing w:after="40" w:before="40" w:line="300"/>
      </w:pPr>
      <w:r>
        <w:rPr>
          <w:rFonts w:ascii="Arial" w:cs="Arial" w:eastAsia="Arial" w:hAnsi="Arial"/>
          <w:color w:val="222222"/>
          <w:sz w:val="22"/>
          <w:szCs w:val="22"/>
        </w:rPr>
        <w:t xml:space="preserve">CHU Nice — Hôpital de l’Archet : 04 92 03 55 55 (référence pour interventions Alpes-Maritimes)</w:t>
      </w:r>
    </w:p>
    <w:p>
      <w:pPr>
        <w:pStyle w:val="ListParagraph"/>
        <w:numPr>
          <w:ilvl w:val="0"/>
          <w:numId w:val="2"/>
        </w:numPr>
        <w:spacing w:after="40" w:before="40" w:line="300"/>
      </w:pPr>
      <w:r>
        <w:rPr>
          <w:rFonts w:ascii="Arial" w:cs="Arial" w:eastAsia="Arial" w:hAnsi="Arial"/>
          <w:color w:val="222222"/>
          <w:sz w:val="22"/>
          <w:szCs w:val="22"/>
        </w:rPr>
        <w:t xml:space="preserve">SDIS 06 — Centre de secours le plus proche : __________________</w:t>
      </w:r>
    </w:p>
    <w:p>
      <w:pPr>
        <w:pStyle w:val="Heading2"/>
        <w:keepNext/>
        <w:spacing w:after="140" w:before="280"/>
      </w:pPr>
      <w:r>
        <w:rPr>
          <w:rFonts w:ascii="Arial" w:cs="Arial" w:eastAsia="Arial" w:hAnsi="Arial"/>
          <w:b/>
          <w:bCs/>
          <w:color w:val="1A1A1A"/>
          <w:sz w:val="28"/>
          <w:szCs w:val="28"/>
        </w:rPr>
        <w:t xml:space="preserve">7. Suivi du plan, révision et bilan</w:t>
      </w:r>
    </w:p>
    <w:p>
      <w:pPr>
        <w:pStyle w:val="ListParagraph"/>
        <w:numPr>
          <w:ilvl w:val="0"/>
          <w:numId w:val="2"/>
        </w:numPr>
        <w:spacing w:after="40" w:before="40" w:line="300"/>
      </w:pPr>
      <w:r>
        <w:rPr>
          <w:rFonts w:ascii="Arial" w:cs="Arial" w:eastAsia="Arial" w:hAnsi="Arial"/>
          <w:color w:val="222222"/>
          <w:sz w:val="22"/>
          <w:szCs w:val="22"/>
        </w:rPr>
        <w:t xml:space="preserve">Le présent Plan de Prévention est révisé en cas de modification substantielle de l’opération (extension, nouvelle entreprise, nouveaux risques).</w:t>
      </w:r>
    </w:p>
    <w:p>
      <w:pPr>
        <w:pStyle w:val="ListParagraph"/>
        <w:numPr>
          <w:ilvl w:val="0"/>
          <w:numId w:val="2"/>
        </w:numPr>
        <w:spacing w:after="40" w:before="40" w:line="300"/>
      </w:pPr>
      <w:r>
        <w:rPr>
          <w:rFonts w:ascii="Arial" w:cs="Arial" w:eastAsia="Arial" w:hAnsi="Arial"/>
          <w:color w:val="222222"/>
          <w:sz w:val="22"/>
          <w:szCs w:val="22"/>
        </w:rPr>
        <w:t xml:space="preserve">Une réunion de coordination est organisée à mi-parcours pour les opérations supérieures à 1 mois.</w:t>
      </w:r>
    </w:p>
    <w:p>
      <w:pPr>
        <w:pStyle w:val="ListParagraph"/>
        <w:numPr>
          <w:ilvl w:val="0"/>
          <w:numId w:val="2"/>
        </w:numPr>
        <w:spacing w:after="40" w:before="40" w:line="300"/>
      </w:pPr>
      <w:r>
        <w:rPr>
          <w:rFonts w:ascii="Arial" w:cs="Arial" w:eastAsia="Arial" w:hAnsi="Arial"/>
          <w:color w:val="222222"/>
          <w:sz w:val="22"/>
          <w:szCs w:val="22"/>
        </w:rPr>
        <w:t xml:space="preserve">Un bilan de fin d’intervention est établi conjointement et archivé pendant 5 ans minimum par chacune des parties.</w:t>
      </w:r>
    </w:p>
    <w:p>
      <w:pPr>
        <w:pStyle w:val="ListParagraph"/>
        <w:numPr>
          <w:ilvl w:val="0"/>
          <w:numId w:val="2"/>
        </w:numPr>
        <w:spacing w:after="40" w:before="40" w:line="300"/>
      </w:pPr>
      <w:r>
        <w:rPr>
          <w:rFonts w:ascii="Arial" w:cs="Arial" w:eastAsia="Arial" w:hAnsi="Arial"/>
          <w:color w:val="222222"/>
          <w:sz w:val="22"/>
          <w:szCs w:val="22"/>
        </w:rPr>
        <w:t xml:space="preserve">Le présent Plan de Prévention est tenu à disposition de l’Inspection du Travail et du médecin du travail (Art. R.4513-12).</w:t>
      </w:r>
    </w:p>
    <w:p>
      <w:pPr>
        <w:pStyle w:val="Heading2"/>
        <w:keepNext/>
        <w:spacing w:after="140" w:before="280"/>
      </w:pPr>
      <w:r>
        <w:rPr>
          <w:rFonts w:ascii="Arial" w:cs="Arial" w:eastAsia="Arial" w:hAnsi="Arial"/>
          <w:b/>
          <w:bCs/>
          <w:color w:val="1A1A1A"/>
          <w:sz w:val="28"/>
          <w:szCs w:val="28"/>
        </w:rPr>
        <w:t xml:space="preserve">8. Signatures des parties</w:t>
      </w:r>
    </w:p>
    <w:p>
      <w:pPr>
        <w:spacing w:after="60" w:before="60" w:line="300"/>
      </w:pPr>
      <w:r>
        <w:rPr>
          <w:rFonts w:ascii="Arial" w:cs="Arial" w:eastAsia="Arial" w:hAnsi="Arial"/>
          <w:color w:val="222222"/>
          <w:sz w:val="22"/>
          <w:szCs w:val="22"/>
        </w:rPr>
        <w:t xml:space="preserve">Les parties soussignées reconnaissent avoir procédé à l’inspection commune préalable, avoir conjointement analysé les risques d’interférence et arrêté les mesures de prévention décrites au présent Plan de Prévention. Elles s’engagent à les faire respecter par leurs personnels respectifs.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Pour l’Entreprise Utilisatrice</w:t>
            </w:r>
          </w:p>
        </w:tc>
        <w:tc>
          <w:tcPr>
            <w:tcW w:type="dxa" w:w="4513"/>
            <w:tcBorders>
              <w:top w:val="single" w:color="CCCCCC" w:sz="4"/>
              <w:left w:val="single" w:color="CCCCCC" w:sz="4"/>
              <w:bottom w:val="single" w:color="CCCCCC" w:sz="4"/>
              <w:right w:val="single" w:color="CCCCCC" w:sz="4"/>
            </w:tcBorders>
            <w:shd w:fill="F4E4E6" w:val="clear"/>
            <w:tcMar>
              <w:top w:type="dxa" w:w="80"/>
              <w:left w:type="dxa" w:w="120"/>
              <w:bottom w:type="dxa" w:w="80"/>
              <w:right w:type="dxa" w:w="120"/>
            </w:tcMar>
            <w:vAlign w:val="center"/>
          </w:tcPr>
          <w:p>
            <w:pPr>
              <w:jc w:val="center"/>
            </w:pPr>
            <w:r>
              <w:rPr>
                <w:rFonts w:ascii="Arial" w:cs="Arial" w:eastAsia="Arial" w:hAnsi="Arial"/>
                <w:b/>
                <w:bCs/>
                <w:color w:val="A00D1A"/>
                <w:sz w:val="20"/>
                <w:szCs w:val="20"/>
              </w:rPr>
              <w:t xml:space="preserve">Pour IM2S Protection Incendie (Entreprise Extérieure)</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Nom / Fonction :
_________________________________
Date : ______ / ______ / 2026
Signature et cachet :
</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Nom / Fonction :
_________________________________
Date : ______ / ______ / 2026
Signature et cachet :
</w:t>
            </w:r>
          </w:p>
        </w:tc>
      </w:tr>
    </w:tbl>
    <w:p>
      <w:pPr>
        <w:pStyle w:val="Heading3"/>
        <w:keepNext/>
        <w:spacing w:after="100" w:before="200"/>
      </w:pPr>
      <w:r>
        <w:rPr>
          <w:rFonts w:ascii="Arial" w:cs="Arial" w:eastAsia="Arial" w:hAnsi="Arial"/>
          <w:b/>
          <w:bCs/>
          <w:color w:val="5A5B5C"/>
          <w:sz w:val="24"/>
          <w:szCs w:val="24"/>
        </w:rPr>
        <w:t xml:space="preserve">Visa des sous-traitants éventuels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Sous-traitant</w:t>
            </w:r>
          </w:p>
        </w:tc>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 du signataire</w:t>
            </w:r>
          </w:p>
        </w:tc>
        <w:tc>
          <w:tcPr>
            <w:tcW w:type="dxa" w:w="2200"/>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426"/>
            <w:tcBorders>
              <w:top w:val="single" w:color="CCCCCC" w:sz="4"/>
              <w:left w:val="single" w:color="CCCCCC" w:sz="4"/>
              <w:bottom w:val="single" w:color="CCCCCC" w:sz="4"/>
              <w:right w:val="single" w:color="CCCCCC" w:sz="4"/>
            </w:tcBorders>
            <w:shd w:fill="A00D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___/___/2026</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______________________</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___/___/2026</w:t>
            </w:r>
          </w:p>
        </w:tc>
        <w:tc>
          <w:tcPr>
            <w:tcW w:type="dxa" w:w="2426"/>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r>
              <w:rPr>
                <w:rFonts w:ascii="Arial" w:cs="Arial" w:eastAsia="Arial" w:hAnsi="Arial"/>
                <w:color w:val="222222"/>
                <w:sz w:val="20"/>
                <w:szCs w:val="20"/>
              </w:rPr>
              <w:t xml:space="preserve"/>
            </w:r>
          </w:p>
        </w:tc>
      </w:tr>
    </w:tbl>
    <w:p>
      <w:pPr>
        <w:pStyle w:val="Heading2"/>
        <w:keepNext/>
        <w:spacing w:after="140" w:before="280"/>
      </w:pPr>
      <w:r>
        <w:rPr>
          <w:rFonts w:ascii="Arial" w:cs="Arial" w:eastAsia="Arial" w:hAnsi="Arial"/>
          <w:b/>
          <w:bCs/>
          <w:color w:val="1A1A1A"/>
          <w:sz w:val="28"/>
          <w:szCs w:val="28"/>
        </w:rPr>
        <w:t xml:space="preserve">Annexes obligatoires à joindre</w:t>
      </w:r>
    </w:p>
    <w:p>
      <w:pPr>
        <w:pStyle w:val="ListParagraph"/>
        <w:numPr>
          <w:ilvl w:val="0"/>
          <w:numId w:val="2"/>
        </w:numPr>
        <w:spacing w:after="40" w:before="40" w:line="300"/>
      </w:pPr>
      <w:r>
        <w:rPr>
          <w:rFonts w:ascii="Arial" w:cs="Arial" w:eastAsia="Arial" w:hAnsi="Arial"/>
          <w:color w:val="222222"/>
          <w:sz w:val="22"/>
          <w:szCs w:val="22"/>
        </w:rPr>
        <w:t xml:space="preserve">Liste nominative des intervenants IM2S (et sous-traitants) avec habilitations.</w:t>
      </w:r>
    </w:p>
    <w:p>
      <w:pPr>
        <w:pStyle w:val="ListParagraph"/>
        <w:numPr>
          <w:ilvl w:val="0"/>
          <w:numId w:val="2"/>
        </w:numPr>
        <w:spacing w:after="40" w:before="40" w:line="300"/>
      </w:pPr>
      <w:r>
        <w:rPr>
          <w:rFonts w:ascii="Arial" w:cs="Arial" w:eastAsia="Arial" w:hAnsi="Arial"/>
          <w:color w:val="222222"/>
          <w:sz w:val="22"/>
          <w:szCs w:val="22"/>
        </w:rPr>
        <w:t xml:space="preserve">Copies des attestations d’habilitations BS/BR et certifications spécifiques (CACES, SS4 amiante).</w:t>
      </w:r>
    </w:p>
    <w:p>
      <w:pPr>
        <w:pStyle w:val="ListParagraph"/>
        <w:numPr>
          <w:ilvl w:val="0"/>
          <w:numId w:val="2"/>
        </w:numPr>
        <w:spacing w:after="40" w:before="40" w:line="300"/>
      </w:pPr>
      <w:r>
        <w:rPr>
          <w:rFonts w:ascii="Arial" w:cs="Arial" w:eastAsia="Arial" w:hAnsi="Arial"/>
          <w:color w:val="222222"/>
          <w:sz w:val="22"/>
          <w:szCs w:val="22"/>
        </w:rPr>
        <w:t xml:space="preserve">Attestation d’assurance RC professionnelle et décennale en cours de validité.</w:t>
      </w:r>
    </w:p>
    <w:p>
      <w:pPr>
        <w:pStyle w:val="ListParagraph"/>
        <w:numPr>
          <w:ilvl w:val="0"/>
          <w:numId w:val="2"/>
        </w:numPr>
        <w:spacing w:after="40" w:before="40" w:line="300"/>
      </w:pPr>
      <w:r>
        <w:rPr>
          <w:rFonts w:ascii="Arial" w:cs="Arial" w:eastAsia="Arial" w:hAnsi="Arial"/>
          <w:color w:val="222222"/>
          <w:sz w:val="22"/>
          <w:szCs w:val="22"/>
        </w:rPr>
        <w:t xml:space="preserve">Carte BTP (Art. R.8291-1) de chaque intervenant.</w:t>
      </w:r>
    </w:p>
    <w:p>
      <w:pPr>
        <w:pStyle w:val="ListParagraph"/>
        <w:numPr>
          <w:ilvl w:val="0"/>
          <w:numId w:val="2"/>
        </w:numPr>
        <w:spacing w:after="40" w:before="40" w:line="300"/>
      </w:pPr>
      <w:r>
        <w:rPr>
          <w:rFonts w:ascii="Arial" w:cs="Arial" w:eastAsia="Arial" w:hAnsi="Arial"/>
          <w:color w:val="222222"/>
          <w:sz w:val="22"/>
          <w:szCs w:val="22"/>
        </w:rPr>
        <w:t xml:space="preserve">FDS des produits utilisés par IM2S sur le site si applicable.</w:t>
      </w:r>
    </w:p>
    <w:p>
      <w:pPr>
        <w:pStyle w:val="ListParagraph"/>
        <w:numPr>
          <w:ilvl w:val="0"/>
          <w:numId w:val="2"/>
        </w:numPr>
        <w:spacing w:after="40" w:before="40" w:line="300"/>
      </w:pPr>
      <w:r>
        <w:rPr>
          <w:rFonts w:ascii="Arial" w:cs="Arial" w:eastAsia="Arial" w:hAnsi="Arial"/>
          <w:color w:val="222222"/>
          <w:sz w:val="22"/>
          <w:szCs w:val="22"/>
        </w:rPr>
        <w:t xml:space="preserve">Plan de zonage / plan d’évacuation du site EU.</w:t>
      </w:r>
    </w:p>
    <w:p>
      <w:pPr>
        <w:pStyle w:val="ListParagraph"/>
        <w:numPr>
          <w:ilvl w:val="0"/>
          <w:numId w:val="2"/>
        </w:numPr>
        <w:spacing w:after="40" w:before="40" w:line="300"/>
      </w:pPr>
      <w:r>
        <w:rPr>
          <w:rFonts w:ascii="Arial" w:cs="Arial" w:eastAsia="Arial" w:hAnsi="Arial"/>
          <w:color w:val="222222"/>
          <w:sz w:val="22"/>
          <w:szCs w:val="22"/>
        </w:rPr>
        <w:t xml:space="preserve">DTA de l’EU (extrait pertinent) si bâti antérieur à 1997.</w:t>
      </w:r>
    </w:p>
    <w:p>
      <w:pPr>
        <w:pStyle w:val="Heading2"/>
        <w:keepNext/>
        <w:spacing w:after="140" w:before="280"/>
      </w:pPr>
      <w:r>
        <w:rPr>
          <w:rFonts w:ascii="Arial" w:cs="Arial" w:eastAsia="Arial" w:hAnsi="Arial"/>
          <w:b/>
          <w:bCs/>
          <w:color w:val="1A1A1A"/>
          <w:sz w:val="28"/>
          <w:szCs w:val="28"/>
        </w:rPr>
        <w:t xml:space="preserve">Conseils d’utilisation du présent modèle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8"/>
              <w:bottom w:val="single" w:color="2E7D32" w:sz="4"/>
              <w:right w:val="single" w:color="2E7D32" w:sz="4"/>
            </w:tcBorders>
            <w:shd w:fill="F5F5F5" w:val="clear"/>
            <w:tcMar>
              <w:top w:type="dxa" w:w="160"/>
              <w:left w:type="dxa" w:w="200"/>
              <w:bottom w:type="dxa" w:w="160"/>
              <w:right w:type="dxa" w:w="200"/>
            </w:tcMar>
          </w:tcPr>
          <w:p>
            <w:pPr>
              <w:spacing w:after="60"/>
            </w:pPr>
            <w:r>
              <w:rPr>
                <w:rFonts w:ascii="Arial" w:cs="Arial" w:eastAsia="Arial" w:hAnsi="Arial"/>
                <w:b/>
                <w:bCs/>
                <w:color w:val="2E7D32"/>
                <w:sz w:val="22"/>
                <w:szCs w:val="22"/>
              </w:rPr>
              <w:t xml:space="preserve">Pour le déploiement opérationnel par IM2S</w:t>
            </w:r>
          </w:p>
          <w:p>
            <w:r>
              <w:rPr>
                <w:rFonts w:ascii="Arial" w:cs="Arial" w:eastAsia="Arial" w:hAnsi="Arial"/>
                <w:color w:val="222222"/>
                <w:sz w:val="22"/>
                <w:szCs w:val="22"/>
              </w:rPr>
              <w:t xml:space="preserve">1. Pré-remplir le présent modèle pour vos 3 à 5 chantiers récurrents principaux (clients à forte récurrence d\u2019intervention &gt; 400 h / 12 mois).
2. Pour chaque nouveau client, programmer une visite d\u2019inspection commune avec le référent sécurité du site AVANT toute première intervention.
3. Former M. Karim (administratif) et M. Gérard MANGENET (chargé d\u2019exploitation) à l\u2019utilisation systématique du modèle : intégration dans le processus de devis et de planification.
4. Archivage : conserver un exemplaire signé pendant 5 ans minimum (Art. R.4513-12). Sauvegarde recommandée sur Google Drive partagé en complément du papier.
5. Intégration dans la tablette L\u2019Enaxie : ajouter un module « PP-Client » pré-rempli par client récurrent, affichant les risques d\u2019interférence et les consignes de sécurité spécifiques avant chaque intervention.
6. Révision annuelle du modèle type avec LENAXIS / SECURE pour intégrer toute évolution réglementaire.</w:t>
            </w:r>
          </w:p>
        </w:tc>
      </w:tr>
    </w:tbl>
    <w:p>
      <w:pPr>
        <w:spacing w:after="60" w:before="360" w:line="300"/>
        <w:jc w:val="center"/>
      </w:pPr>
      <w:r>
        <w:rPr>
          <w:rFonts w:ascii="Arial" w:cs="Arial" w:eastAsia="Arial" w:hAnsi="Arial"/>
          <w:i/>
          <w:iCs/>
          <w:color w:val="5A5B5C"/>
          <w:sz w:val="18"/>
          <w:szCs w:val="18"/>
        </w:rPr>
        <w:t xml:space="preserve">— FIN DU MODÈLE TYPE — référence PP-IM2S-Modele-Type-v1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5B5C" w:sz="6" w:space="1"/>
      </w:pBdr>
      <w:spacing w:before="0"/>
    </w:pPr>
    <w:r>
      <w:rPr>
        <w:rFonts w:ascii="Arial" w:cs="Arial" w:eastAsia="Arial" w:hAnsi="Arial"/>
        <w:sz w:val="4"/>
        <w:szCs w:val="4"/>
      </w:rPr>
      <w:t xml:space="preserve"/>
    </w:r>
  </w:p>
  <w:p>
    <w:pPr>
      <w:tabs>
        <w:tab w:val="center" w:pos="4513"/>
        <w:tab w:val="right" w:pos="9026"/>
      </w:tabs>
      <w:spacing w:before="60"/>
    </w:pPr>
    <w:r>
      <w:rPr>
        <w:rFonts w:ascii="Arial" w:cs="Arial" w:eastAsia="Arial" w:hAnsi="Arial"/>
        <w:color w:val="5A5B5C"/>
        <w:sz w:val="16"/>
        <w:szCs w:val="16"/>
      </w:rPr>
      <w:t xml:space="preserve">Document confidentiel — LENAXIS / SECURE</w:t>
    </w:r>
    <w:r>
      <w:rPr>
        <w:rFonts w:ascii="Arial" w:cs="Arial" w:eastAsia="Arial" w:hAnsi="Arial"/>
      </w:rPr>
      <w:t xml:space="preserve">	</w:t>
    </w:r>
    <w:r>
      <w:rPr>
        <w:rFonts w:ascii="Arial" w:cs="Arial" w:eastAsia="Arial" w:hAnsi="Arial"/>
        <w:color w:val="5A5B5C"/>
        <w:sz w:val="16"/>
        <w:szCs w:val="16"/>
      </w:rPr>
      <w:t xml:space="preserve">Page </w:t>
    </w:r>
    <w:r>
      <w:rPr>
        <w:rFonts w:ascii="Arial" w:cs="Arial" w:eastAsia="Arial" w:hAnsi="Arial"/>
        <w:color w:val="5A5B5C"/>
        <w:sz w:val="16"/>
        <w:szCs w:val="16"/>
      </w:rPr>
      <w:fldChar w:fldCharType="begin"/>
      <w:instrText xml:space="preserve">PAGE</w:instrText>
      <w:fldChar w:fldCharType="separate"/>
      <w:fldChar w:fldCharType="end"/>
    </w:r>
    <w:r>
      <w:rPr>
        <w:rFonts w:ascii="Arial" w:cs="Arial" w:eastAsia="Arial" w:hAnsi="Arial"/>
        <w:color w:val="5A5B5C"/>
        <w:sz w:val="16"/>
        <w:szCs w:val="16"/>
      </w:rPr>
      <w:t xml:space="preserve"> / </w:t>
    </w:r>
    <w:r>
      <w:rPr>
        <w:rFonts w:ascii="Arial" w:cs="Arial" w:eastAsia="Arial" w:hAnsi="Arial"/>
        <w:color w:val="5A5B5C"/>
        <w:sz w:val="16"/>
        <w:szCs w:val="16"/>
      </w:rPr>
      <w:fldChar w:fldCharType="begin"/>
      <w:instrText xml:space="preserve">NUMPAGES</w:instrText>
      <w:fldChar w:fldCharType="separate"/>
      <w:fldChar w:fldCharType="end"/>
    </w:r>
    <w:r>
      <w:rPr>
        <w:rFonts w:ascii="Arial" w:cs="Arial" w:eastAsia="Arial" w:hAnsi="Arial"/>
      </w:rPr>
      <w:t xml:space="preserve">	</w:t>
    </w:r>
    <w:r>
      <w:rPr>
        <w:rFonts w:ascii="Arial" w:cs="Arial" w:eastAsia="Arial" w:hAnsi="Arial"/>
        <w:color w:val="5A5B5C"/>
        <w:sz w:val="16"/>
        <w:szCs w:val="16"/>
      </w:rPr>
      <w:t xml:space="preserve">IM2S — SIREN 504 180 365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drawing>
        <wp:inline distT="0" distB="0" distL="0" distR="0">
          <wp:extent cx="7620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285750"/>
                  </a:xfrm>
                  <a:prstGeom prst="rect">
                    <a:avLst/>
                  </a:prstGeom>
                </pic:spPr>
              </pic:pic>
            </a:graphicData>
          </a:graphic>
        </wp:inline>
      </w:drawing>
    </w:r>
    <w:r>
      <w:rPr>
        <w:rFonts w:ascii="Arial" w:cs="Arial" w:eastAsia="Arial" w:hAnsi="Arial"/>
      </w:rPr>
      <w:t xml:space="preserve">	</w:t>
    </w:r>
    <w:r>
      <w:rPr>
        <w:rFonts w:ascii="Arial" w:cs="Arial" w:eastAsia="Arial" w:hAnsi="Arial"/>
        <w:color w:val="5A5B5C"/>
        <w:sz w:val="16"/>
        <w:szCs w:val="16"/>
      </w:rPr>
      <w:t xml:space="preserve">DUERP — IM2S PROTECTION INCENDIE — Édition 2026 v1</w:t>
    </w:r>
  </w:p>
  <w:p>
    <w:pPr>
      <w:pBdr>
        <w:bottom w:val="single" w:color="A00D1A" w:sz="8" w:space="1"/>
      </w:pBdr>
      <w:spacing w:after="0"/>
    </w:pPr>
    <w:r>
      <w:rPr>
        <w:rFonts w:ascii="Arial" w:cs="Arial" w:eastAsia="Arial" w:hAnsi="Arial"/>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A00D1A"/>
      <w:sz w:val="32"/>
      <w:szCs w:val="32"/>
    </w:rPr>
  </w:style>
  <w:style w:type="paragraph" w:styleId="Heading2">
    <w:name w:val="Heading 2"/>
    <w:basedOn w:val="Normal"/>
    <w:next w:val="Normal"/>
    <w:qFormat/>
    <w:pPr>
      <w:pBdr>
        <w:bottom w:val="single" w:color="A00D1A" w:sz="12" w:space="4"/>
      </w:pBdr>
      <w:spacing w:after="120" w:before="24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A00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55b4085ea79c680c88b3d05114a67a9e2c045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55b4085ea79c680c88b3d05114a67a9e2c045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Prévention IM2S — Modèle type v1</dc:title>
  <dc:creator>LENAXIS / SECURE — David MUSEUR</dc:creator>
  <cp:lastModifiedBy>Un-named</cp:lastModifiedBy>
  <cp:revision>1</cp:revision>
  <dcterms:created xsi:type="dcterms:W3CDTF">2026-05-27T20:37:01.416Z</dcterms:created>
  <dcterms:modified xsi:type="dcterms:W3CDTF">2026-05-27T20:37:01.417Z</dcterms:modified>
</cp:coreProperties>
</file>

<file path=docProps/custom.xml><?xml version="1.0" encoding="utf-8"?>
<Properties xmlns="http://schemas.openxmlformats.org/officeDocument/2006/custom-properties" xmlns:vt="http://schemas.openxmlformats.org/officeDocument/2006/docPropsVTypes"/>
</file>