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LENAXIS / SECURE</w:t>
      </w:r>
    </w:p>
    <w:p>
      <w:pPr>
        <w:spacing w:after="360"/>
        <w:jc w:val="center"/>
      </w:pPr>
      <w:r>
        <w:rPr>
          <w:rFonts w:ascii="Arial" w:cs="Arial" w:eastAsia="Arial" w:hAnsi="Arial"/>
          <w:i/>
          <w:iCs/>
          <w:color w:val="5A5B5C"/>
          <w:sz w:val="18"/>
          <w:szCs w:val="18"/>
        </w:rPr>
        <w:t xml:space="preserve">Consultant : David MUSEUR — Cabinet HSE et conformité</w:t>
      </w:r>
    </w:p>
    <w:p>
      <w:pPr>
        <w:spacing w:after="60" w:before="240" w:line="300"/>
      </w:pPr>
      <w:r>
        <w:rPr>
          <w:rFonts w:ascii="Arial" w:cs="Arial" w:eastAsia="Arial" w:hAnsi="Arial"/>
          <w:color w:val="222222"/>
          <w:sz w:val="24"/>
          <w:szCs w:val="24"/>
        </w:rPr>
        <w:t xml:space="default">À l’attention de M. Stéphane KNOLL</w:t>
      </w:r>
    </w:p>
    <w:p>
      <w:pPr>
        <w:spacing w:after="60" w:before="60" w:line="300"/>
      </w:pPr>
      <w:r>
        <w:rPr>
          <w:rFonts w:ascii="Arial" w:cs="Arial" w:eastAsia="Arial" w:hAnsi="Arial"/>
          <w:color w:val="222222"/>
          <w:sz w:val="22"/>
          <w:szCs w:val="22"/>
        </w:rPr>
        <w:t xml:space="preserve">Gérant et associé unique d’IM2S PROTECTION INCENDIE</w:t>
      </w:r>
    </w:p>
    <w:p>
      <w:pPr>
        <w:spacing w:after="60" w:before="240" w:line="300"/>
        <w:jc w:val="right"/>
      </w:pPr>
      <w:r>
        <w:rPr>
          <w:rFonts w:ascii="Arial" w:cs="Arial" w:eastAsia="Arial" w:hAnsi="Arial"/>
          <w:i/>
          <w:iCs/>
          <w:color w:val="222222"/>
          <w:sz w:val="22"/>
          <w:szCs w:val="22"/>
        </w:rPr>
        <w:t xml:space="preserve">La Gaude, le 27 mai 2026</w:t>
      </w:r>
    </w:p>
    <w:p>
      <w:pPr>
        <w:spacing w:after="60" w:before="360" w:line="300"/>
      </w:pPr>
      <w:r>
        <w:rPr>
          <w:rFonts w:ascii="Arial" w:cs="Arial" w:eastAsia="Arial" w:hAnsi="Arial"/>
          <w:color w:val="222222"/>
          <w:sz w:val="22"/>
          <w:szCs w:val="22"/>
        </w:rPr>
        <w:t xml:space="default">Objet : Liste consolidée des pièces à obtenir — classement par degré d’urgence</w:t>
      </w:r>
    </w:p>
    <w:p>
      <w:pPr>
        <w:spacing w:after="60" w:before="240" w:line="300"/>
      </w:pPr>
      <w:r>
        <w:rPr>
          <w:rFonts w:ascii="Arial" w:cs="Arial" w:eastAsia="Arial" w:hAnsi="Arial"/>
          <w:color w:val="222222"/>
          <w:sz w:val="22"/>
          <w:szCs w:val="22"/>
        </w:rPr>
        <w:t xml:space="preserve">Monsieur le Gérant,</w:t>
      </w:r>
    </w:p>
    <w:p>
      <w:pPr>
        <w:spacing w:after="60" w:before="60" w:line="300"/>
      </w:pPr>
      <w:r>
        <w:rPr>
          <w:rFonts w:ascii="Arial" w:cs="Arial" w:eastAsia="Arial" w:hAnsi="Arial"/>
          <w:color w:val="222222"/>
          <w:sz w:val="22"/>
          <w:szCs w:val="22"/>
        </w:rPr>
        <w:t xml:space="preserve">Suite à la remise de l’édition 2026 v2.0 du DUERP et au compte rendu de la réunion du 26 mars 2026, je vous transmets ci-après la liste consolidée des pièces nécessaires pour finaliser la conformité documentaire. Cette liste actualise et remplace le courrier précédent (référence Courrier_Pieces_A_Obtenir_IM2S_2026-05-27).</w:t>
      </w:r>
    </w:p>
    <w:p>
      <w:pPr>
        <w:spacing w:after="60" w:before="60" w:line="300"/>
      </w:pPr>
      <w:r>
        <w:rPr>
          <w:rFonts w:ascii="Arial" w:cs="Arial" w:eastAsia="Arial" w:hAnsi="Arial"/>
          <w:color w:val="222222"/>
          <w:sz w:val="22"/>
          <w:szCs w:val="22"/>
        </w:rPr>
        <w:t xml:space="preserve">Les pièces sont classées en trois niveaux de priorité, correspondant à un échelonnement raisonnable de production. Cette structuration permet de concentrer les efforts sur les éléments les plus critiques pour l’opposabilité immédiate du DUERP, sans surcharger l’entreprise par un volume documentaire excessif d’un coup.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Synthèse rapide</w:t>
            </w:r>
          </w:p>
          <w:p>
            <w:r>
              <w:rPr>
                <w:rFonts w:ascii="Arial" w:cs="Arial" w:eastAsia="Arial" w:hAnsi="Arial"/>
                <w:color w:val="222222"/>
                <w:sz w:val="22"/>
                <w:szCs w:val="22"/>
              </w:rPr>
              <w:t xml:space="preserve">P1 (15 jours) : 4 thématiques, ~12 pièces — habilitations, vérifications, assurances, effectif.
P2 (15-45 jours) : 4 thématiques, ~20 pièces — médecine du travail, L\u2019Enaxie, formations, registres.
P3 (45-90 jours) : 6 thématiques, ~25 pièces — chantiers, véhicules, documentation, marque employeur, clarifications.</w:t>
            </w:r>
          </w:p>
        </w:tc>
      </w:tr>
    </w:tbl>
    <w:p>
      <w:pPr>
        <w:shd w:fill="F4E4E6" w:color="auto" w:val="clear"/>
        <w:spacing w:after="60" w:before="360"/>
      </w:pPr>
      <w:r>
        <w:rPr>
          <w:rFonts w:ascii="Arial" w:cs="Arial" w:eastAsia="Arial" w:hAnsi="Arial"/>
          <w:b/>
          <w:bCs/>
          <w:color w:val="C62828"/>
          <w:sz w:val="28"/>
          <w:szCs w:val="28"/>
        </w:rPr>
        <w:t xml:space="preserve">I. P1 — URGENCE IMMÉDIATE (&lt; 15 jours)</w:t>
      </w:r>
    </w:p>
    <w:p>
      <w:pPr>
        <w:spacing w:after="60" w:before="60" w:line="300"/>
      </w:pPr>
      <w:r>
        <w:rPr>
          <w:rFonts w:ascii="Arial" w:cs="Arial" w:eastAsia="Arial" w:hAnsi="Arial"/>
          <w:i/>
          <w:iCs/>
          <w:color w:val="5A5B5C"/>
          <w:sz w:val="22"/>
          <w:szCs w:val="22"/>
        </w:rPr>
        <w:t xml:space="preserve">Pièces bloquantes pour l’opposabilité du DUERP. À transmettre dans les 15 jours suivants la remise de la présente édition.</w:t>
      </w:r>
    </w:p>
    <w:p>
      <w:pPr>
        <w:pStyle w:val="Heading3"/>
        <w:keepNext/>
        <w:spacing w:after="100" w:before="200"/>
      </w:pPr>
      <w:r>
        <w:rPr>
          <w:rFonts w:ascii="Arial" w:cs="Arial" w:eastAsia="Arial" w:hAnsi="Arial"/>
          <w:b/>
          <w:bCs/>
          <w:color w:val="5A5B5C"/>
          <w:sz w:val="24"/>
          <w:szCs w:val="24"/>
        </w:rPr>
        <w:t xml:space="preserve">Habilitations électriques (critique en raison des 3 salariés non habilités identifiés)</w:t>
      </w:r>
    </w:p>
    <w:p>
      <w:pPr>
        <w:pStyle w:val="ListParagraph"/>
        <w:numPr>
          <w:ilvl w:val="0"/>
          <w:numId w:val="2"/>
        </w:numPr>
        <w:spacing w:after="40" w:before="40" w:line="300"/>
      </w:pPr>
      <w:r>
        <w:rPr>
          <w:rFonts w:ascii="Arial" w:cs="Arial" w:eastAsia="Arial" w:hAnsi="Arial"/>
          <w:color w:val="222222"/>
          <w:sz w:val="22"/>
          <w:szCs w:val="22"/>
        </w:rPr>
        <w:t xml:space="preserve">Tableau nominatif complet des habilitations NF C 18-510 en cours : titulaire, type (B0, B1V, B2V, BR, BC, BE Essai, H0V...), date de délivrance, date de recyclage, organisme formateur.</w:t>
      </w:r>
    </w:p>
    <w:p>
      <w:pPr>
        <w:pStyle w:val="ListParagraph"/>
        <w:numPr>
          <w:ilvl w:val="0"/>
          <w:numId w:val="2"/>
        </w:numPr>
        <w:spacing w:after="40" w:before="40" w:line="300"/>
      </w:pPr>
      <w:r>
        <w:rPr>
          <w:rFonts w:ascii="Arial" w:cs="Arial" w:eastAsia="Arial" w:hAnsi="Arial"/>
          <w:color w:val="222222"/>
          <w:sz w:val="22"/>
          <w:szCs w:val="22"/>
        </w:rPr>
        <w:t xml:space="preserve">Avis médicaux d’aptitude associés aux habilitations.</w:t>
      </w:r>
    </w:p>
    <w:p>
      <w:pPr>
        <w:pStyle w:val="ListParagraph"/>
        <w:numPr>
          <w:ilvl w:val="0"/>
          <w:numId w:val="2"/>
        </w:numPr>
        <w:spacing w:after="40" w:before="40" w:line="300"/>
      </w:pPr>
      <w:r>
        <w:rPr>
          <w:rFonts w:ascii="Arial" w:cs="Arial" w:eastAsia="Arial" w:hAnsi="Arial"/>
          <w:color w:val="222222"/>
          <w:sz w:val="22"/>
          <w:szCs w:val="22"/>
        </w:rPr>
        <w:t xml:space="preserve">Décision formalisée concernant les 3 salariés non habilités (régularisation programmée ou interdiction formelle d’accès aux installations).</w:t>
      </w:r>
    </w:p>
    <w:p>
      <w:pPr>
        <w:pStyle w:val="Heading3"/>
        <w:keepNext/>
        <w:spacing w:after="100" w:before="200"/>
      </w:pPr>
      <w:r>
        <w:rPr>
          <w:rFonts w:ascii="Arial" w:cs="Arial" w:eastAsia="Arial" w:hAnsi="Arial"/>
          <w:b/>
          <w:bCs/>
          <w:color w:val="5A5B5C"/>
          <w:sz w:val="24"/>
          <w:szCs w:val="24"/>
        </w:rPr>
        <w:t xml:space="preserve">Vérifications réglementaires (priorité électricité et SSI)</w:t>
      </w:r>
    </w:p>
    <w:p>
      <w:pPr>
        <w:pStyle w:val="ListParagraph"/>
        <w:numPr>
          <w:ilvl w:val="0"/>
          <w:numId w:val="2"/>
        </w:numPr>
        <w:spacing w:after="40" w:before="40" w:line="300"/>
      </w:pPr>
      <w:r>
        <w:rPr>
          <w:rFonts w:ascii="Arial" w:cs="Arial" w:eastAsia="Arial" w:hAnsi="Arial"/>
          <w:color w:val="222222"/>
          <w:sz w:val="22"/>
          <w:szCs w:val="22"/>
        </w:rPr>
        <w:t xml:space="preserve">Rapport Q18 le plus récent (vérification des installations électriques par organisme agréé) — Décret 88-1056.</w:t>
      </w:r>
    </w:p>
    <w:p>
      <w:pPr>
        <w:pStyle w:val="ListParagraph"/>
        <w:numPr>
          <w:ilvl w:val="0"/>
          <w:numId w:val="2"/>
        </w:numPr>
        <w:spacing w:after="40" w:before="40" w:line="300"/>
      </w:pPr>
      <w:r>
        <w:rPr>
          <w:rFonts w:ascii="Arial" w:cs="Arial" w:eastAsia="Arial" w:hAnsi="Arial"/>
          <w:color w:val="222222"/>
          <w:sz w:val="22"/>
          <w:szCs w:val="22"/>
        </w:rPr>
        <w:t xml:space="preserve">Rapport Q19 le plus récent (vérification SSI par organisme agréé).</w:t>
      </w:r>
    </w:p>
    <w:p>
      <w:pPr>
        <w:pStyle w:val="ListParagraph"/>
        <w:numPr>
          <w:ilvl w:val="0"/>
          <w:numId w:val="2"/>
        </w:numPr>
        <w:spacing w:after="40" w:before="40" w:line="300"/>
      </w:pPr>
      <w:r>
        <w:rPr>
          <w:rFonts w:ascii="Arial" w:cs="Arial" w:eastAsia="Arial" w:hAnsi="Arial"/>
          <w:color w:val="222222"/>
          <w:sz w:val="22"/>
          <w:szCs w:val="22"/>
        </w:rPr>
        <w:t xml:space="preserve">Document justifiant la levée des observations Q18/Q19 le cas échéant (Art. R.4226-4).</w:t>
      </w:r>
    </w:p>
    <w:p>
      <w:pPr>
        <w:pStyle w:val="Heading3"/>
        <w:keepNext/>
        <w:spacing w:after="100" w:before="200"/>
      </w:pPr>
      <w:r>
        <w:rPr>
          <w:rFonts w:ascii="Arial" w:cs="Arial" w:eastAsia="Arial" w:hAnsi="Arial"/>
          <w:b/>
          <w:bCs/>
          <w:color w:val="5A5B5C"/>
          <w:sz w:val="24"/>
          <w:szCs w:val="24"/>
        </w:rPr>
        <w:t xml:space="preserve">Assurances en cours</w:t>
      </w:r>
    </w:p>
    <w:p>
      <w:pPr>
        <w:pStyle w:val="ListParagraph"/>
        <w:numPr>
          <w:ilvl w:val="0"/>
          <w:numId w:val="2"/>
        </w:numPr>
        <w:spacing w:after="40" w:before="40" w:line="300"/>
      </w:pPr>
      <w:r>
        <w:rPr>
          <w:rFonts w:ascii="Arial" w:cs="Arial" w:eastAsia="Arial" w:hAnsi="Arial"/>
          <w:color w:val="222222"/>
          <w:sz w:val="22"/>
          <w:szCs w:val="22"/>
        </w:rPr>
        <w:t xml:space="preserve">Attestation RC professionnelle en cours de validité.</w:t>
      </w:r>
    </w:p>
    <w:p>
      <w:pPr>
        <w:pStyle w:val="ListParagraph"/>
        <w:numPr>
          <w:ilvl w:val="0"/>
          <w:numId w:val="2"/>
        </w:numPr>
        <w:spacing w:after="40" w:before="40" w:line="300"/>
      </w:pPr>
      <w:r>
        <w:rPr>
          <w:rFonts w:ascii="Arial" w:cs="Arial" w:eastAsia="Arial" w:hAnsi="Arial"/>
          <w:color w:val="222222"/>
          <w:sz w:val="22"/>
          <w:szCs w:val="22"/>
        </w:rPr>
        <w:t xml:space="preserve">Attestation RC décennale en cours de validité (obligatoire dans le BTP).</w:t>
      </w:r>
    </w:p>
    <w:p>
      <w:pPr>
        <w:pStyle w:val="ListParagraph"/>
        <w:numPr>
          <w:ilvl w:val="0"/>
          <w:numId w:val="2"/>
        </w:numPr>
        <w:spacing w:after="40" w:before="40" w:line="300"/>
      </w:pPr>
      <w:r>
        <w:rPr>
          <w:rFonts w:ascii="Arial" w:cs="Arial" w:eastAsia="Arial" w:hAnsi="Arial"/>
          <w:color w:val="222222"/>
          <w:sz w:val="22"/>
          <w:szCs w:val="22"/>
        </w:rPr>
        <w:t xml:space="preserve">Notification du taux de cotisation AT/MP CARSAT Sud-Est pour 2026 (validation du taux mixte applicable au code risque 45.3AF).</w:t>
      </w:r>
    </w:p>
    <w:p>
      <w:pPr>
        <w:pStyle w:val="Heading3"/>
        <w:keepNext/>
        <w:spacing w:after="100" w:before="200"/>
      </w:pPr>
      <w:r>
        <w:rPr>
          <w:rFonts w:ascii="Arial" w:cs="Arial" w:eastAsia="Arial" w:hAnsi="Arial"/>
          <w:b/>
          <w:bCs/>
          <w:color w:val="5A5B5C"/>
          <w:sz w:val="24"/>
          <w:szCs w:val="24"/>
        </w:rPr>
        <w:t xml:space="preserve">Effectif et organisation à jour (mise à jour suite à la donnée verbale de 19-20 personnes)</w:t>
      </w:r>
    </w:p>
    <w:p>
      <w:pPr>
        <w:pStyle w:val="ListParagraph"/>
        <w:numPr>
          <w:ilvl w:val="0"/>
          <w:numId w:val="2"/>
        </w:numPr>
        <w:spacing w:after="40" w:before="40" w:line="300"/>
      </w:pPr>
      <w:r>
        <w:rPr>
          <w:rFonts w:ascii="Arial" w:cs="Arial" w:eastAsia="Arial" w:hAnsi="Arial"/>
          <w:color w:val="222222"/>
          <w:sz w:val="22"/>
          <w:szCs w:val="22"/>
        </w:rPr>
        <w:t xml:space="preserve">Liste nominative actualisée des 19 collaborateurs avec : poste, date d’embauche, IDCC, sexe, âge, ETP.</w:t>
      </w:r>
    </w:p>
    <w:p>
      <w:pPr>
        <w:pStyle w:val="ListParagraph"/>
        <w:numPr>
          <w:ilvl w:val="0"/>
          <w:numId w:val="2"/>
        </w:numPr>
        <w:spacing w:after="40" w:before="40" w:line="300"/>
      </w:pPr>
      <w:r>
        <w:rPr>
          <w:rFonts w:ascii="Arial" w:cs="Arial" w:eastAsia="Arial" w:hAnsi="Arial"/>
          <w:color w:val="222222"/>
          <w:sz w:val="22"/>
          <w:szCs w:val="22"/>
        </w:rPr>
        <w:t xml:space="preserve">Organigramme à jour reflétant la réorganisation post-26/03/2026 (1 chargé d’exploitation + 1 RSO + 3 équipes terrain selon les 3 grands métiers).</w:t>
      </w:r>
    </w:p>
    <w:p>
      <w:pPr>
        <w:pStyle w:val="ListParagraph"/>
        <w:numPr>
          <w:ilvl w:val="0"/>
          <w:numId w:val="2"/>
        </w:numPr>
        <w:spacing w:after="40" w:before="40" w:line="300"/>
      </w:pPr>
      <w:r>
        <w:rPr>
          <w:rFonts w:ascii="Arial" w:cs="Arial" w:eastAsia="Arial" w:hAnsi="Arial"/>
          <w:color w:val="222222"/>
          <w:sz w:val="22"/>
          <w:szCs w:val="22"/>
        </w:rPr>
        <w:t xml:space="preserve">Confirmation écrite de l’effectif moyen 2025 en ETP (pour vérifier que IDCC 1597 reste applicable).</w:t>
      </w:r>
    </w:p>
    <w:p>
      <w:r>
        <w:br w:type="page"/>
      </w:r>
    </w:p>
    <w:p>
      <w:pPr>
        <w:shd w:fill="FFE0B2" w:color="auto" w:val="clear"/>
        <w:spacing w:after="60" w:before="360"/>
      </w:pPr>
      <w:r>
        <w:rPr>
          <w:rFonts w:ascii="Arial" w:cs="Arial" w:eastAsia="Arial" w:hAnsi="Arial"/>
          <w:b/>
          <w:bCs/>
          <w:color w:val="E65100"/>
          <w:sz w:val="28"/>
          <w:szCs w:val="28"/>
        </w:rPr>
        <w:t xml:space="preserve">II. P2 — URGENCE FORTE (15 à 45 jours)</w:t>
      </w:r>
    </w:p>
    <w:p>
      <w:pPr>
        <w:spacing w:after="60" w:before="60" w:line="300"/>
      </w:pPr>
      <w:r>
        <w:rPr>
          <w:rFonts w:ascii="Arial" w:cs="Arial" w:eastAsia="Arial" w:hAnsi="Arial"/>
          <w:i/>
          <w:iCs/>
          <w:color w:val="5A5B5C"/>
          <w:sz w:val="22"/>
          <w:szCs w:val="22"/>
        </w:rPr>
        <w:t xml:space="preserve">Pièces de renforcement de l’opposabilité, à transmettre dans les 6 semaines suivant la remise du DUERP.</w:t>
      </w:r>
    </w:p>
    <w:p>
      <w:pPr>
        <w:pStyle w:val="Heading3"/>
        <w:keepNext/>
        <w:spacing w:after="100" w:before="200"/>
      </w:pPr>
      <w:r>
        <w:rPr>
          <w:rFonts w:ascii="Arial" w:cs="Arial" w:eastAsia="Arial" w:hAnsi="Arial"/>
          <w:b/>
          <w:bCs/>
          <w:color w:val="5A5B5C"/>
          <w:sz w:val="24"/>
          <w:szCs w:val="24"/>
        </w:rPr>
        <w:t xml:space="preserve">Médecine du travail et suivi médical</w:t>
      </w:r>
    </w:p>
    <w:p>
      <w:pPr>
        <w:pStyle w:val="ListParagraph"/>
        <w:numPr>
          <w:ilvl w:val="0"/>
          <w:numId w:val="2"/>
        </w:numPr>
        <w:spacing w:after="40" w:before="40" w:line="300"/>
      </w:pPr>
      <w:r>
        <w:rPr>
          <w:rFonts w:ascii="Arial" w:cs="Arial" w:eastAsia="Arial" w:hAnsi="Arial"/>
          <w:color w:val="222222"/>
          <w:sz w:val="22"/>
          <w:szCs w:val="22"/>
        </w:rPr>
        <w:t xml:space="preserve">Nom et coordonnées du service de santé au travail référent (à confirmer : APST BTP 06).</w:t>
      </w:r>
    </w:p>
    <w:p>
      <w:pPr>
        <w:pStyle w:val="ListParagraph"/>
        <w:numPr>
          <w:ilvl w:val="0"/>
          <w:numId w:val="2"/>
        </w:numPr>
        <w:spacing w:after="40" w:before="40" w:line="300"/>
      </w:pPr>
      <w:r>
        <w:rPr>
          <w:rFonts w:ascii="Arial" w:cs="Arial" w:eastAsia="Arial" w:hAnsi="Arial"/>
          <w:color w:val="222222"/>
          <w:sz w:val="22"/>
          <w:szCs w:val="22"/>
        </w:rPr>
        <w:t xml:space="preserve">Coordonnées de Mme SAMBRONI (fonction et adresse de correspondance).</w:t>
      </w:r>
    </w:p>
    <w:p>
      <w:pPr>
        <w:pStyle w:val="ListParagraph"/>
        <w:numPr>
          <w:ilvl w:val="0"/>
          <w:numId w:val="2"/>
        </w:numPr>
        <w:spacing w:after="40" w:before="40" w:line="300"/>
      </w:pPr>
      <w:r>
        <w:rPr>
          <w:rFonts w:ascii="Arial" w:cs="Arial" w:eastAsia="Arial" w:hAnsi="Arial"/>
          <w:color w:val="222222"/>
          <w:sz w:val="22"/>
          <w:szCs w:val="22"/>
        </w:rPr>
        <w:t xml:space="preserve">Fiche d’entreprise du médecin du travail (Art. R.4624-46) si elle existe.</w:t>
      </w:r>
    </w:p>
    <w:p>
      <w:pPr>
        <w:pStyle w:val="ListParagraph"/>
        <w:numPr>
          <w:ilvl w:val="0"/>
          <w:numId w:val="2"/>
        </w:numPr>
        <w:spacing w:after="40" w:before="40" w:line="300"/>
      </w:pPr>
      <w:r>
        <w:rPr>
          <w:rFonts w:ascii="Arial" w:cs="Arial" w:eastAsia="Arial" w:hAnsi="Arial"/>
          <w:color w:val="222222"/>
          <w:sz w:val="22"/>
          <w:szCs w:val="22"/>
        </w:rPr>
        <w:t xml:space="preserve">Synthèse des dernières visites médicales par salarié : dernière date, suivi individuel renforcé (SIR) le cas échéant.</w:t>
      </w:r>
    </w:p>
    <w:p>
      <w:pPr>
        <w:pStyle w:val="ListParagraph"/>
        <w:numPr>
          <w:ilvl w:val="0"/>
          <w:numId w:val="2"/>
        </w:numPr>
        <w:spacing w:after="40" w:before="40" w:line="300"/>
      </w:pPr>
      <w:r>
        <w:rPr>
          <w:rFonts w:ascii="Arial" w:cs="Arial" w:eastAsia="Arial" w:hAnsi="Arial"/>
          <w:color w:val="222222"/>
          <w:sz w:val="22"/>
          <w:szCs w:val="22"/>
        </w:rPr>
        <w:t xml:space="preserve">Trace écrite de la visite APST BTP mentionnée en réunion (questions sur le port des EPI, validation du système de tablette).</w:t>
      </w:r>
    </w:p>
    <w:p>
      <w:pPr>
        <w:pStyle w:val="Heading3"/>
        <w:keepNext/>
        <w:spacing w:after="100" w:before="200"/>
      </w:pPr>
      <w:r>
        <w:rPr>
          <w:rFonts w:ascii="Arial" w:cs="Arial" w:eastAsia="Arial" w:hAnsi="Arial"/>
          <w:b/>
          <w:bCs/>
          <w:color w:val="5A5B5C"/>
          <w:sz w:val="24"/>
          <w:szCs w:val="24"/>
        </w:rPr>
        <w:t xml:space="preserve">Outils internes IM2S (« L’Enaxie »)</w:t>
      </w:r>
    </w:p>
    <w:p>
      <w:pPr>
        <w:pStyle w:val="ListParagraph"/>
        <w:numPr>
          <w:ilvl w:val="0"/>
          <w:numId w:val="2"/>
        </w:numPr>
        <w:spacing w:after="40" w:before="40" w:line="300"/>
      </w:pPr>
      <w:r>
        <w:rPr>
          <w:rFonts w:ascii="Arial" w:cs="Arial" w:eastAsia="Arial" w:hAnsi="Arial"/>
          <w:color w:val="222222"/>
          <w:sz w:val="22"/>
          <w:szCs w:val="22"/>
        </w:rPr>
        <w:t xml:space="preserve">Capture d’écran du module « consignes avant intervention » de la tablette L’Enaxie.</w:t>
      </w:r>
    </w:p>
    <w:p>
      <w:pPr>
        <w:pStyle w:val="ListParagraph"/>
        <w:numPr>
          <w:ilvl w:val="0"/>
          <w:numId w:val="2"/>
        </w:numPr>
        <w:spacing w:after="40" w:before="40" w:line="300"/>
      </w:pPr>
      <w:r>
        <w:rPr>
          <w:rFonts w:ascii="Arial" w:cs="Arial" w:eastAsia="Arial" w:hAnsi="Arial"/>
          <w:color w:val="222222"/>
          <w:sz w:val="22"/>
          <w:szCs w:val="22"/>
        </w:rPr>
        <w:t xml:space="preserve">Capture d’écran du module « consignes pendant intervention ».</w:t>
      </w:r>
    </w:p>
    <w:p>
      <w:pPr>
        <w:pStyle w:val="ListParagraph"/>
        <w:numPr>
          <w:ilvl w:val="0"/>
          <w:numId w:val="2"/>
        </w:numPr>
        <w:spacing w:after="40" w:before="40" w:line="300"/>
      </w:pPr>
      <w:r>
        <w:rPr>
          <w:rFonts w:ascii="Arial" w:cs="Arial" w:eastAsia="Arial" w:hAnsi="Arial"/>
          <w:color w:val="222222"/>
          <w:sz w:val="22"/>
          <w:szCs w:val="22"/>
        </w:rPr>
        <w:t xml:space="preserve">Capture d’écran du module « consignes fin d’intervention ».</w:t>
      </w:r>
    </w:p>
    <w:p>
      <w:pPr>
        <w:pStyle w:val="ListParagraph"/>
        <w:numPr>
          <w:ilvl w:val="0"/>
          <w:numId w:val="2"/>
        </w:numPr>
        <w:spacing w:after="40" w:before="40" w:line="300"/>
      </w:pPr>
      <w:r>
        <w:rPr>
          <w:rFonts w:ascii="Arial" w:cs="Arial" w:eastAsia="Arial" w:hAnsi="Arial"/>
          <w:color w:val="222222"/>
          <w:sz w:val="22"/>
          <w:szCs w:val="22"/>
        </w:rPr>
        <w:t xml:space="preserve">Volumétrie : nombre d’interventions documentées / mois, nombre de techniciens utilisateurs.</w:t>
      </w:r>
    </w:p>
    <w:p>
      <w:pPr>
        <w:pStyle w:val="ListParagraph"/>
        <w:numPr>
          <w:ilvl w:val="0"/>
          <w:numId w:val="2"/>
        </w:numPr>
        <w:spacing w:after="40" w:before="40" w:line="300"/>
      </w:pPr>
      <w:r>
        <w:rPr>
          <w:rFonts w:ascii="Arial" w:cs="Arial" w:eastAsia="Arial" w:hAnsi="Arial"/>
          <w:color w:val="222222"/>
          <w:sz w:val="22"/>
          <w:szCs w:val="22"/>
        </w:rPr>
        <w:t xml:space="preserve">Lien Google Drive (en lecture seule) du dossier des notices d’extincteurs (solution adoptée pour la non-conformité véhicules).</w:t>
      </w:r>
    </w:p>
    <w:p>
      <w:pPr>
        <w:pStyle w:val="Heading3"/>
        <w:keepNext/>
        <w:spacing w:after="100" w:before="200"/>
      </w:pPr>
      <w:r>
        <w:rPr>
          <w:rFonts w:ascii="Arial" w:cs="Arial" w:eastAsia="Arial" w:hAnsi="Arial"/>
          <w:b/>
          <w:bCs/>
          <w:color w:val="5A5B5C"/>
          <w:sz w:val="24"/>
          <w:szCs w:val="24"/>
        </w:rPr>
        <w:t xml:space="preserve">Formations et certifications</w:t>
      </w:r>
    </w:p>
    <w:p>
      <w:pPr>
        <w:pStyle w:val="ListParagraph"/>
        <w:numPr>
          <w:ilvl w:val="0"/>
          <w:numId w:val="2"/>
        </w:numPr>
        <w:spacing w:after="40" w:before="40" w:line="300"/>
      </w:pPr>
      <w:r>
        <w:rPr>
          <w:rFonts w:ascii="Arial" w:cs="Arial" w:eastAsia="Arial" w:hAnsi="Arial"/>
          <w:color w:val="222222"/>
          <w:sz w:val="22"/>
          <w:szCs w:val="22"/>
        </w:rPr>
        <w:t xml:space="preserve">CACES R.486 nacelles PEMP : liste nominative, catégorie A et/ou B, dates de validité.</w:t>
      </w:r>
    </w:p>
    <w:p>
      <w:pPr>
        <w:pStyle w:val="ListParagraph"/>
        <w:numPr>
          <w:ilvl w:val="0"/>
          <w:numId w:val="2"/>
        </w:numPr>
        <w:spacing w:after="40" w:before="40" w:line="300"/>
      </w:pPr>
      <w:r>
        <w:rPr>
          <w:rFonts w:ascii="Arial" w:cs="Arial" w:eastAsia="Arial" w:hAnsi="Arial"/>
          <w:color w:val="222222"/>
          <w:sz w:val="22"/>
          <w:szCs w:val="22"/>
        </w:rPr>
        <w:t xml:space="preserve">Autres CACES si applicables (R.489 chariots, R.482 engins).</w:t>
      </w:r>
    </w:p>
    <w:p>
      <w:pPr>
        <w:pStyle w:val="ListParagraph"/>
        <w:numPr>
          <w:ilvl w:val="0"/>
          <w:numId w:val="2"/>
        </w:numPr>
        <w:spacing w:after="40" w:before="40" w:line="300"/>
      </w:pPr>
      <w:r>
        <w:rPr>
          <w:rFonts w:ascii="Arial" w:cs="Arial" w:eastAsia="Arial" w:hAnsi="Arial"/>
          <w:color w:val="222222"/>
          <w:sz w:val="22"/>
          <w:szCs w:val="22"/>
        </w:rPr>
        <w:t xml:space="preserve">Liste des salariés titulaires d’une formation SST en cours de validité (CR 19/01 indique zéro — à confirmer).</w:t>
      </w:r>
    </w:p>
    <w:p>
      <w:pPr>
        <w:pStyle w:val="ListParagraph"/>
        <w:numPr>
          <w:ilvl w:val="0"/>
          <w:numId w:val="2"/>
        </w:numPr>
        <w:spacing w:after="40" w:before="40" w:line="300"/>
      </w:pPr>
      <w:r>
        <w:rPr>
          <w:rFonts w:ascii="Arial" w:cs="Arial" w:eastAsia="Arial" w:hAnsi="Arial"/>
          <w:color w:val="222222"/>
          <w:sz w:val="22"/>
          <w:szCs w:val="22"/>
        </w:rPr>
        <w:t xml:space="preserve">Dates des dernières formations EPI individuelles (CR 19/01 indique 2015 pour tous).</w:t>
      </w:r>
    </w:p>
    <w:p>
      <w:pPr>
        <w:pStyle w:val="ListParagraph"/>
        <w:numPr>
          <w:ilvl w:val="0"/>
          <w:numId w:val="2"/>
        </w:numPr>
        <w:spacing w:after="40" w:before="40" w:line="300"/>
      </w:pPr>
      <w:r>
        <w:rPr>
          <w:rFonts w:ascii="Arial" w:cs="Arial" w:eastAsia="Arial" w:hAnsi="Arial"/>
          <w:color w:val="222222"/>
          <w:sz w:val="22"/>
          <w:szCs w:val="22"/>
        </w:rPr>
        <w:t xml:space="preserve">Cartes BTP (R.8291-1) : liste nominative + dates de validité.</w:t>
      </w:r>
    </w:p>
    <w:p>
      <w:pPr>
        <w:pStyle w:val="ListParagraph"/>
        <w:numPr>
          <w:ilvl w:val="0"/>
          <w:numId w:val="2"/>
        </w:numPr>
        <w:spacing w:after="40" w:before="40" w:line="300"/>
      </w:pPr>
      <w:r>
        <w:rPr>
          <w:rFonts w:ascii="Arial" w:cs="Arial" w:eastAsia="Arial" w:hAnsi="Arial"/>
          <w:color w:val="222222"/>
          <w:sz w:val="22"/>
          <w:szCs w:val="22"/>
        </w:rPr>
        <w:t xml:space="preserve">Formations Amiante sous-section 4 (R.4412-117) si effectuées.</w:t>
      </w:r>
    </w:p>
    <w:p>
      <w:pPr>
        <w:pStyle w:val="ListParagraph"/>
        <w:numPr>
          <w:ilvl w:val="0"/>
          <w:numId w:val="2"/>
        </w:numPr>
        <w:spacing w:after="40" w:before="40" w:line="300"/>
      </w:pPr>
      <w:r>
        <w:rPr>
          <w:rFonts w:ascii="Arial" w:cs="Arial" w:eastAsia="Arial" w:hAnsi="Arial"/>
          <w:color w:val="222222"/>
          <w:sz w:val="22"/>
          <w:szCs w:val="22"/>
        </w:rPr>
        <w:t xml:space="preserve">Formations Gestes &amp; postures / PRAP (le CR 19/01 indique qu’aucune n’a été faite).</w:t>
      </w:r>
    </w:p>
    <w:p>
      <w:pPr>
        <w:pStyle w:val="Heading3"/>
        <w:keepNext/>
        <w:spacing w:after="100" w:before="200"/>
      </w:pPr>
      <w:r>
        <w:rPr>
          <w:rFonts w:ascii="Arial" w:cs="Arial" w:eastAsia="Arial" w:hAnsi="Arial"/>
          <w:b/>
          <w:bCs/>
          <w:color w:val="5A5B5C"/>
          <w:sz w:val="24"/>
          <w:szCs w:val="24"/>
        </w:rPr>
        <w:t xml:space="preserve">Registres et procédures</w:t>
      </w:r>
    </w:p>
    <w:p>
      <w:pPr>
        <w:pStyle w:val="ListParagraph"/>
        <w:numPr>
          <w:ilvl w:val="0"/>
          <w:numId w:val="2"/>
        </w:numPr>
        <w:spacing w:after="40" w:before="40" w:line="300"/>
      </w:pPr>
      <w:r>
        <w:rPr>
          <w:rFonts w:ascii="Arial" w:cs="Arial" w:eastAsia="Arial" w:hAnsi="Arial"/>
          <w:color w:val="222222"/>
          <w:sz w:val="22"/>
          <w:szCs w:val="22"/>
        </w:rPr>
        <w:t xml:space="preserve">Registre AT/MP des 5 dernières années (anonymisé acceptable).</w:t>
      </w:r>
    </w:p>
    <w:p>
      <w:pPr>
        <w:pStyle w:val="ListParagraph"/>
        <w:numPr>
          <w:ilvl w:val="0"/>
          <w:numId w:val="2"/>
        </w:numPr>
        <w:spacing w:after="40" w:before="40" w:line="300"/>
      </w:pPr>
      <w:r>
        <w:rPr>
          <w:rFonts w:ascii="Arial" w:cs="Arial" w:eastAsia="Arial" w:hAnsi="Arial"/>
          <w:color w:val="222222"/>
          <w:sz w:val="22"/>
          <w:szCs w:val="22"/>
        </w:rPr>
        <w:t xml:space="preserve">Registre des accidents bénins le cas échéant (sous autorisation préalable CARSAT — Art. L.441-4 CSS).</w:t>
      </w:r>
    </w:p>
    <w:p>
      <w:pPr>
        <w:pStyle w:val="ListParagraph"/>
        <w:numPr>
          <w:ilvl w:val="0"/>
          <w:numId w:val="2"/>
        </w:numPr>
        <w:spacing w:after="40" w:before="40" w:line="300"/>
      </w:pPr>
      <w:r>
        <w:rPr>
          <w:rFonts w:ascii="Arial" w:cs="Arial" w:eastAsia="Arial" w:hAnsi="Arial"/>
          <w:color w:val="222222"/>
          <w:sz w:val="22"/>
          <w:szCs w:val="22"/>
        </w:rPr>
        <w:t xml:space="preserve">Trace de l’accident du travail récent (trappe ascenseur, ~10 jours d’arrêt) — DAT (Déclaration d’Accident du Travail) et fiche REX si déjà rédigée.</w:t>
      </w:r>
    </w:p>
    <w:p>
      <w:pPr>
        <w:pStyle w:val="ListParagraph"/>
        <w:numPr>
          <w:ilvl w:val="0"/>
          <w:numId w:val="2"/>
        </w:numPr>
        <w:spacing w:after="40" w:before="40" w:line="300"/>
      </w:pPr>
      <w:r>
        <w:rPr>
          <w:rFonts w:ascii="Arial" w:cs="Arial" w:eastAsia="Arial" w:hAnsi="Arial"/>
          <w:color w:val="222222"/>
          <w:sz w:val="22"/>
          <w:szCs w:val="22"/>
        </w:rPr>
        <w:t xml:space="preserve">Procédure de revue véhicules hebdomadaire (formalisée suite à la revue récente où les EPI manquants ont été identifiés).</w:t>
      </w:r>
    </w:p>
    <w:p>
      <w:r>
        <w:br w:type="page"/>
      </w:r>
    </w:p>
    <w:p>
      <w:pPr>
        <w:shd w:fill="C8E6C9" w:color="auto" w:val="clear"/>
        <w:spacing w:after="60" w:before="360"/>
      </w:pPr>
      <w:r>
        <w:rPr>
          <w:rFonts w:ascii="Arial" w:cs="Arial" w:eastAsia="Arial" w:hAnsi="Arial"/>
          <w:b/>
          <w:bCs/>
          <w:color w:val="2E7D32"/>
          <w:sz w:val="28"/>
          <w:szCs w:val="28"/>
        </w:rPr>
        <w:t xml:space="preserve">III. P3 — URGENCE MODÉRÉE (45 à 90 jours)</w:t>
      </w:r>
    </w:p>
    <w:p>
      <w:pPr>
        <w:spacing w:after="60" w:before="60" w:line="300"/>
      </w:pPr>
      <w:r>
        <w:rPr>
          <w:rFonts w:ascii="Arial" w:cs="Arial" w:eastAsia="Arial" w:hAnsi="Arial"/>
          <w:i/>
          <w:iCs/>
          <w:color w:val="5A5B5C"/>
          <w:sz w:val="22"/>
          <w:szCs w:val="22"/>
        </w:rPr>
        <w:t xml:space="preserve">Pièces complémentaires utiles pour la phase d’audit Excel sectoriel et la mise à jour annuelle. À transmettre dans les 3 mois.</w:t>
      </w:r>
    </w:p>
    <w:p>
      <w:pPr>
        <w:pStyle w:val="Heading3"/>
        <w:keepNext/>
        <w:spacing w:after="100" w:before="200"/>
      </w:pPr>
      <w:r>
        <w:rPr>
          <w:rFonts w:ascii="Arial" w:cs="Arial" w:eastAsia="Arial" w:hAnsi="Arial"/>
          <w:b/>
          <w:bCs/>
          <w:color w:val="5A5B5C"/>
          <w:sz w:val="24"/>
          <w:szCs w:val="24"/>
        </w:rPr>
        <w:t xml:space="preserve">Activité opérationnelle</w:t>
      </w:r>
    </w:p>
    <w:p>
      <w:pPr>
        <w:pStyle w:val="ListParagraph"/>
        <w:numPr>
          <w:ilvl w:val="0"/>
          <w:numId w:val="2"/>
        </w:numPr>
        <w:spacing w:after="40" w:before="40" w:line="300"/>
      </w:pPr>
      <w:r>
        <w:rPr>
          <w:rFonts w:ascii="Arial" w:cs="Arial" w:eastAsia="Arial" w:hAnsi="Arial"/>
          <w:color w:val="222222"/>
          <w:sz w:val="22"/>
          <w:szCs w:val="22"/>
        </w:rPr>
        <w:t xml:space="preserve">Liste des chantiers en cours et typologie (ERP catégorie / industrie / habitat / tertiaire / ancienneté du bâti — point critique amiante pour &lt; 1997).</w:t>
      </w:r>
    </w:p>
    <w:p>
      <w:pPr>
        <w:pStyle w:val="ListParagraph"/>
        <w:numPr>
          <w:ilvl w:val="0"/>
          <w:numId w:val="2"/>
        </w:numPr>
        <w:spacing w:after="40" w:before="40" w:line="300"/>
      </w:pPr>
      <w:r>
        <w:rPr>
          <w:rFonts w:ascii="Arial" w:cs="Arial" w:eastAsia="Arial" w:hAnsi="Arial"/>
          <w:color w:val="222222"/>
          <w:sz w:val="22"/>
          <w:szCs w:val="22"/>
        </w:rPr>
        <w:t xml:space="preserve">Liste des principaux clients récurrents (utile pour structurer les plans de prévention).</w:t>
      </w:r>
    </w:p>
    <w:p>
      <w:pPr>
        <w:pStyle w:val="ListParagraph"/>
        <w:numPr>
          <w:ilvl w:val="0"/>
          <w:numId w:val="2"/>
        </w:numPr>
        <w:spacing w:after="40" w:before="40" w:line="300"/>
      </w:pPr>
      <w:r>
        <w:rPr>
          <w:rFonts w:ascii="Arial" w:cs="Arial" w:eastAsia="Arial" w:hAnsi="Arial"/>
          <w:color w:val="222222"/>
          <w:sz w:val="22"/>
          <w:szCs w:val="22"/>
        </w:rPr>
        <w:t xml:space="preserve">Sociétés sous-traitantes (pose et entretien) avec leurs RC et attestations sécurité.</w:t>
      </w:r>
    </w:p>
    <w:p>
      <w:pPr>
        <w:pStyle w:val="ListParagraph"/>
        <w:numPr>
          <w:ilvl w:val="0"/>
          <w:numId w:val="2"/>
        </w:numPr>
        <w:spacing w:after="40" w:before="40" w:line="300"/>
      </w:pPr>
      <w:r>
        <w:rPr>
          <w:rFonts w:ascii="Arial" w:cs="Arial" w:eastAsia="Arial" w:hAnsi="Arial"/>
          <w:color w:val="222222"/>
          <w:sz w:val="22"/>
          <w:szCs w:val="22"/>
        </w:rPr>
        <w:t xml:space="preserve">Exemplaire récent d’un PPSPS ou d’un plan de prévention signé IM2S → client.</w:t>
      </w:r>
    </w:p>
    <w:p>
      <w:pPr>
        <w:pStyle w:val="ListParagraph"/>
        <w:numPr>
          <w:ilvl w:val="0"/>
          <w:numId w:val="2"/>
        </w:numPr>
        <w:spacing w:after="40" w:before="40" w:line="300"/>
      </w:pPr>
      <w:r>
        <w:rPr>
          <w:rFonts w:ascii="Arial" w:cs="Arial" w:eastAsia="Arial" w:hAnsi="Arial"/>
          <w:color w:val="222222"/>
          <w:sz w:val="22"/>
          <w:szCs w:val="22"/>
        </w:rPr>
        <w:t xml:space="preserve">Référence et retour d’expérience du chantier SÉRIGRAPHIE MODERNE (charbon actif inflammé à deux reprises — capitalisation REX évoquée en réunion).</w:t>
      </w:r>
    </w:p>
    <w:p>
      <w:pPr>
        <w:pStyle w:val="Heading3"/>
        <w:keepNext/>
        <w:spacing w:after="100" w:before="200"/>
      </w:pPr>
      <w:r>
        <w:rPr>
          <w:rFonts w:ascii="Arial" w:cs="Arial" w:eastAsia="Arial" w:hAnsi="Arial"/>
          <w:b/>
          <w:bCs/>
          <w:color w:val="5A5B5C"/>
          <w:sz w:val="24"/>
          <w:szCs w:val="24"/>
        </w:rPr>
        <w:t xml:space="preserve">Parc véhicules et matériel</w:t>
      </w:r>
    </w:p>
    <w:p>
      <w:pPr>
        <w:pStyle w:val="ListParagraph"/>
        <w:numPr>
          <w:ilvl w:val="0"/>
          <w:numId w:val="2"/>
        </w:numPr>
        <w:spacing w:after="40" w:before="40" w:line="300"/>
      </w:pPr>
      <w:r>
        <w:rPr>
          <w:rFonts w:ascii="Arial" w:cs="Arial" w:eastAsia="Arial" w:hAnsi="Arial"/>
          <w:color w:val="222222"/>
          <w:sz w:val="22"/>
          <w:szCs w:val="22"/>
        </w:rPr>
        <w:t xml:space="preserve">Liste du parc véhicules : marque, modèle, immatriculation, date de mise en circulation, conducteur principal.</w:t>
      </w:r>
    </w:p>
    <w:p>
      <w:pPr>
        <w:pStyle w:val="ListParagraph"/>
        <w:numPr>
          <w:ilvl w:val="0"/>
          <w:numId w:val="2"/>
        </w:numPr>
        <w:spacing w:after="40" w:before="40" w:line="300"/>
      </w:pPr>
      <w:r>
        <w:rPr>
          <w:rFonts w:ascii="Arial" w:cs="Arial" w:eastAsia="Arial" w:hAnsi="Arial"/>
          <w:color w:val="222222"/>
          <w:sz w:val="22"/>
          <w:szCs w:val="22"/>
        </w:rPr>
        <w:t xml:space="preserve">Carnets d’entretien des véhicules (dernières pages — confirmation tenue à jour).</w:t>
      </w:r>
    </w:p>
    <w:p>
      <w:pPr>
        <w:pStyle w:val="ListParagraph"/>
        <w:numPr>
          <w:ilvl w:val="0"/>
          <w:numId w:val="2"/>
        </w:numPr>
        <w:spacing w:after="40" w:before="40" w:line="300"/>
      </w:pPr>
      <w:r>
        <w:rPr>
          <w:rFonts w:ascii="Arial" w:cs="Arial" w:eastAsia="Arial" w:hAnsi="Arial"/>
          <w:color w:val="222222"/>
          <w:sz w:val="22"/>
          <w:szCs w:val="22"/>
        </w:rPr>
        <w:t xml:space="preserve">Inventaire chimique exhaustif (auto-éval Risqapp confirme l’inventaire — collecte des FDS associées).</w:t>
      </w:r>
    </w:p>
    <w:p>
      <w:pPr>
        <w:pStyle w:val="ListParagraph"/>
        <w:numPr>
          <w:ilvl w:val="0"/>
          <w:numId w:val="2"/>
        </w:numPr>
        <w:spacing w:after="40" w:before="40" w:line="300"/>
      </w:pPr>
      <w:r>
        <w:rPr>
          <w:rFonts w:ascii="Arial" w:cs="Arial" w:eastAsia="Arial" w:hAnsi="Arial"/>
          <w:color w:val="222222"/>
          <w:sz w:val="22"/>
          <w:szCs w:val="22"/>
        </w:rPr>
        <w:t xml:space="preserve">Liste du matériel de levage / élingage / équipements de travail sous VGP.</w:t>
      </w:r>
    </w:p>
    <w:p>
      <w:pPr>
        <w:pStyle w:val="Heading3"/>
        <w:keepNext/>
        <w:spacing w:after="100" w:before="200"/>
      </w:pPr>
      <w:r>
        <w:rPr>
          <w:rFonts w:ascii="Arial" w:cs="Arial" w:eastAsia="Arial" w:hAnsi="Arial"/>
          <w:b/>
          <w:bCs/>
          <w:color w:val="5A5B5C"/>
          <w:sz w:val="24"/>
          <w:szCs w:val="24"/>
        </w:rPr>
        <w:t xml:space="preserve">Documentation interne</w:t>
      </w:r>
    </w:p>
    <w:p>
      <w:pPr>
        <w:pStyle w:val="ListParagraph"/>
        <w:numPr>
          <w:ilvl w:val="0"/>
          <w:numId w:val="2"/>
        </w:numPr>
        <w:spacing w:after="40" w:before="40" w:line="300"/>
      </w:pPr>
      <w:r>
        <w:rPr>
          <w:rFonts w:ascii="Arial" w:cs="Arial" w:eastAsia="Arial" w:hAnsi="Arial"/>
          <w:color w:val="222222"/>
          <w:sz w:val="22"/>
          <w:szCs w:val="22"/>
        </w:rPr>
        <w:t xml:space="preserve">Convention collective effectivement appliquée : exemplaire signé ou bulletin de paie modèle.</w:t>
      </w:r>
    </w:p>
    <w:p>
      <w:pPr>
        <w:pStyle w:val="ListParagraph"/>
        <w:numPr>
          <w:ilvl w:val="0"/>
          <w:numId w:val="2"/>
        </w:numPr>
        <w:spacing w:after="40" w:before="40" w:line="300"/>
      </w:pPr>
      <w:r>
        <w:rPr>
          <w:rFonts w:ascii="Arial" w:cs="Arial" w:eastAsia="Arial" w:hAnsi="Arial"/>
          <w:color w:val="222222"/>
          <w:sz w:val="22"/>
          <w:szCs w:val="22"/>
        </w:rPr>
        <w:t xml:space="preserve">Règlement intérieur en vigueur.</w:t>
      </w:r>
    </w:p>
    <w:p>
      <w:pPr>
        <w:pStyle w:val="ListParagraph"/>
        <w:numPr>
          <w:ilvl w:val="0"/>
          <w:numId w:val="2"/>
        </w:numPr>
        <w:spacing w:after="40" w:before="40" w:line="300"/>
      </w:pPr>
      <w:r>
        <w:rPr>
          <w:rFonts w:ascii="Arial" w:cs="Arial" w:eastAsia="Arial" w:hAnsi="Arial"/>
          <w:color w:val="222222"/>
          <w:sz w:val="22"/>
          <w:szCs w:val="22"/>
        </w:rPr>
        <w:t xml:space="preserve">Charte EPI signée par chaque salarié (existence confirmée — collecte des signatures).</w:t>
      </w:r>
    </w:p>
    <w:p>
      <w:pPr>
        <w:pStyle w:val="ListParagraph"/>
        <w:numPr>
          <w:ilvl w:val="0"/>
          <w:numId w:val="2"/>
        </w:numPr>
        <w:spacing w:after="40" w:before="40" w:line="300"/>
      </w:pPr>
      <w:r>
        <w:rPr>
          <w:rFonts w:ascii="Arial" w:cs="Arial" w:eastAsia="Arial" w:hAnsi="Arial"/>
          <w:color w:val="222222"/>
          <w:sz w:val="22"/>
          <w:szCs w:val="22"/>
        </w:rPr>
        <w:t xml:space="preserve">Photos des affichages obligatoires en place au siège (cf. consignes de sécurité IMG_2080 à compléter).</w:t>
      </w:r>
    </w:p>
    <w:p>
      <w:pPr>
        <w:pStyle w:val="ListParagraph"/>
        <w:numPr>
          <w:ilvl w:val="0"/>
          <w:numId w:val="2"/>
        </w:numPr>
        <w:spacing w:after="40" w:before="40" w:line="300"/>
      </w:pPr>
      <w:r>
        <w:rPr>
          <w:rFonts w:ascii="Arial" w:cs="Arial" w:eastAsia="Arial" w:hAnsi="Arial"/>
          <w:color w:val="222222"/>
          <w:sz w:val="22"/>
          <w:szCs w:val="22"/>
        </w:rPr>
        <w:t xml:space="preserve">Cahier de doléances — extraits anonymisés des 12 derniers mois pour alimenter le diagnostic RPS.</w:t>
      </w:r>
    </w:p>
    <w:p>
      <w:pPr>
        <w:pStyle w:val="ListParagraph"/>
        <w:numPr>
          <w:ilvl w:val="0"/>
          <w:numId w:val="2"/>
        </w:numPr>
        <w:spacing w:after="40" w:before="40" w:line="300"/>
      </w:pPr>
      <w:r>
        <w:rPr>
          <w:rFonts w:ascii="Arial" w:cs="Arial" w:eastAsia="Arial" w:hAnsi="Arial"/>
          <w:color w:val="222222"/>
          <w:sz w:val="22"/>
          <w:szCs w:val="22"/>
        </w:rPr>
        <w:t xml:space="preserve">Procédures internes formalisées (consignation électrique, AES, accueil sécurité chantier, permis de feu interne).</w:t>
      </w:r>
    </w:p>
    <w:p>
      <w:pPr>
        <w:pStyle w:val="Heading3"/>
        <w:keepNext/>
        <w:spacing w:after="100" w:before="200"/>
      </w:pPr>
      <w:r>
        <w:rPr>
          <w:rFonts w:ascii="Arial" w:cs="Arial" w:eastAsia="Arial" w:hAnsi="Arial"/>
          <w:b/>
          <w:bCs/>
          <w:color w:val="5A5B5C"/>
          <w:sz w:val="24"/>
          <w:szCs w:val="24"/>
        </w:rPr>
        <w:t xml:space="preserve">Communication interne et marque employeur</w:t>
      </w:r>
    </w:p>
    <w:p>
      <w:pPr>
        <w:pStyle w:val="ListParagraph"/>
        <w:numPr>
          <w:ilvl w:val="0"/>
          <w:numId w:val="2"/>
        </w:numPr>
        <w:spacing w:after="40" w:before="40" w:line="300"/>
      </w:pPr>
      <w:r>
        <w:rPr>
          <w:rFonts w:ascii="Arial" w:cs="Arial" w:eastAsia="Arial" w:hAnsi="Arial"/>
          <w:color w:val="222222"/>
          <w:sz w:val="22"/>
          <w:szCs w:val="22"/>
        </w:rPr>
        <w:t xml:space="preserve">Liste des épisodes du podcast « IM2S Morning » (utile pour valoriser la culture sécurité).</w:t>
      </w:r>
    </w:p>
    <w:p>
      <w:pPr>
        <w:pStyle w:val="ListParagraph"/>
        <w:numPr>
          <w:ilvl w:val="0"/>
          <w:numId w:val="2"/>
        </w:numPr>
        <w:spacing w:after="40" w:before="40" w:line="300"/>
      </w:pPr>
      <w:r>
        <w:rPr>
          <w:rFonts w:ascii="Arial" w:cs="Arial" w:eastAsia="Arial" w:hAnsi="Arial"/>
          <w:color w:val="222222"/>
          <w:sz w:val="22"/>
          <w:szCs w:val="22"/>
        </w:rPr>
        <w:t xml:space="preserve">Première version de la web série « Sentinelle Le Veilleur » dès sa sortie (avril 2026).</w:t>
      </w:r>
    </w:p>
    <w:p>
      <w:pPr>
        <w:pStyle w:val="Heading3"/>
        <w:keepNext/>
        <w:spacing w:after="100" w:before="200"/>
      </w:pPr>
      <w:r>
        <w:rPr>
          <w:rFonts w:ascii="Arial" w:cs="Arial" w:eastAsia="Arial" w:hAnsi="Arial"/>
          <w:b/>
          <w:bCs/>
          <w:color w:val="5A5B5C"/>
          <w:sz w:val="24"/>
          <w:szCs w:val="24"/>
        </w:rPr>
        <w:t xml:space="preserve">Vérifications réglementaires complémentaires</w:t>
      </w:r>
    </w:p>
    <w:p>
      <w:pPr>
        <w:pStyle w:val="ListParagraph"/>
        <w:numPr>
          <w:ilvl w:val="0"/>
          <w:numId w:val="2"/>
        </w:numPr>
        <w:spacing w:after="40" w:before="40" w:line="300"/>
      </w:pPr>
      <w:r>
        <w:rPr>
          <w:rFonts w:ascii="Arial" w:cs="Arial" w:eastAsia="Arial" w:hAnsi="Arial"/>
          <w:color w:val="222222"/>
          <w:sz w:val="22"/>
          <w:szCs w:val="22"/>
        </w:rPr>
        <w:t xml:space="preserve">Dernières vérifications périodiques des EPI antichute (Art. R.4323-99).</w:t>
      </w:r>
    </w:p>
    <w:p>
      <w:pPr>
        <w:pStyle w:val="ListParagraph"/>
        <w:numPr>
          <w:ilvl w:val="0"/>
          <w:numId w:val="2"/>
        </w:numPr>
        <w:spacing w:after="40" w:before="40" w:line="300"/>
      </w:pPr>
      <w:r>
        <w:rPr>
          <w:rFonts w:ascii="Arial" w:cs="Arial" w:eastAsia="Arial" w:hAnsi="Arial"/>
          <w:color w:val="222222"/>
          <w:sz w:val="22"/>
          <w:szCs w:val="22"/>
        </w:rPr>
        <w:t xml:space="preserve">VGP des PEMP et engins de levage si applicable (Arrêté du 01/03/2004).</w:t>
      </w:r>
    </w:p>
    <w:p>
      <w:pPr>
        <w:pStyle w:val="ListParagraph"/>
        <w:numPr>
          <w:ilvl w:val="0"/>
          <w:numId w:val="2"/>
        </w:numPr>
        <w:spacing w:after="40" w:before="40" w:line="300"/>
      </w:pPr>
      <w:r>
        <w:rPr>
          <w:rFonts w:ascii="Arial" w:cs="Arial" w:eastAsia="Arial" w:hAnsi="Arial"/>
          <w:color w:val="222222"/>
          <w:sz w:val="22"/>
          <w:szCs w:val="22"/>
        </w:rPr>
        <w:t xml:space="preserve">Rapport annuel du contrôle des installations de chauffage.</w:t>
      </w:r>
    </w:p>
    <w:p>
      <w:pPr>
        <w:pStyle w:val="Heading3"/>
        <w:keepNext/>
        <w:spacing w:after="100" w:before="200"/>
      </w:pPr>
      <w:r>
        <w:rPr>
          <w:rFonts w:ascii="Arial" w:cs="Arial" w:eastAsia="Arial" w:hAnsi="Arial"/>
          <w:b/>
          <w:bCs/>
          <w:color w:val="5A5B5C"/>
          <w:sz w:val="24"/>
          <w:szCs w:val="24"/>
        </w:rPr>
        <w:t xml:space="preserve">Pièces à clarifier</w:t>
      </w:r>
    </w:p>
    <w:p>
      <w:pPr>
        <w:pStyle w:val="ListParagraph"/>
        <w:numPr>
          <w:ilvl w:val="0"/>
          <w:numId w:val="2"/>
        </w:numPr>
        <w:spacing w:after="40" w:before="40" w:line="300"/>
      </w:pPr>
      <w:r>
        <w:rPr>
          <w:rFonts w:ascii="Arial" w:cs="Arial" w:eastAsia="Arial" w:hAnsi="Arial"/>
          <w:color w:val="222222"/>
          <w:sz w:val="22"/>
          <w:szCs w:val="22"/>
        </w:rPr>
        <w:t xml:space="preserve">Devis « Protocole transactionnel de désenfumage » — version OCR ou PDF natif lisible.</w:t>
      </w:r>
    </w:p>
    <w:p>
      <w:pPr>
        <w:pStyle w:val="ListParagraph"/>
        <w:numPr>
          <w:ilvl w:val="0"/>
          <w:numId w:val="2"/>
        </w:numPr>
        <w:spacing w:after="40" w:before="40" w:line="300"/>
      </w:pPr>
      <w:r>
        <w:rPr>
          <w:rFonts w:ascii="Arial" w:cs="Arial" w:eastAsia="Arial" w:hAnsi="Arial"/>
          <w:color w:val="222222"/>
          <w:sz w:val="22"/>
          <w:szCs w:val="22"/>
        </w:rPr>
        <w:t xml:space="preserve">Anomalie « animalerie » signalée dans le diagnostic Risqapp : erreur de saisie ou intervention récurrente en clinique vétérinaire / laboratoire à clarifier.</w:t>
      </w:r>
    </w:p>
    <w:p>
      <w:pPr>
        <w:pStyle w:val="ListParagraph"/>
        <w:numPr>
          <w:ilvl w:val="0"/>
          <w:numId w:val="2"/>
        </w:numPr>
        <w:spacing w:after="40" w:before="40" w:line="300"/>
      </w:pPr>
      <w:r>
        <w:rPr>
          <w:rFonts w:ascii="Arial" w:cs="Arial" w:eastAsia="Arial" w:hAnsi="Arial"/>
          <w:color w:val="222222"/>
          <w:sz w:val="22"/>
          <w:szCs w:val="22"/>
        </w:rPr>
        <w:t xml:space="preserve">Confirmation du SCI propriétaire des locaux (« SCI LA FRISETIANE » identifiée par le rapport documentaire) — clarification du lien capitalistique.</w:t>
      </w:r>
    </w:p>
    <w:p>
      <w:pPr>
        <w:pStyle w:val="ListParagraph"/>
        <w:numPr>
          <w:ilvl w:val="0"/>
          <w:numId w:val="2"/>
        </w:numPr>
        <w:spacing w:after="40" w:before="40" w:line="300"/>
      </w:pPr>
      <w:r>
        <w:rPr>
          <w:rFonts w:ascii="Arial" w:cs="Arial" w:eastAsia="Arial" w:hAnsi="Arial"/>
          <w:color w:val="222222"/>
          <w:sz w:val="22"/>
          <w:szCs w:val="22"/>
        </w:rPr>
        <w:t xml:space="preserve">RIB IM2S au nom d’IM2S (et non au nom de RISKATTITUDE comme transmis initialement — à corriger).</w:t>
      </w:r>
    </w:p>
    <w:p>
      <w:pPr>
        <w:pStyle w:val="Heading2"/>
        <w:keepNext/>
        <w:spacing w:after="140" w:before="280"/>
      </w:pPr>
      <w:r>
        <w:rPr>
          <w:rFonts w:ascii="Arial" w:cs="Arial" w:eastAsia="Arial" w:hAnsi="Arial"/>
          <w:b/>
          <w:bCs/>
          <w:color w:val="1A1A1A"/>
          <w:sz w:val="28"/>
          <w:szCs w:val="28"/>
        </w:rPr>
        <w:t xml:space="preserve">IV. Récapitulatif chronologique des échéances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attendue</w:t>
            </w:r>
          </w:p>
        </w:tc>
        <w:tc>
          <w:tcPr>
            <w:tcW w:type="dxa" w:w="2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J+15 jours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Transmission des pièces P1 (habilitations, vérifications, assurances, effectif)</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M.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J+30 jours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Production du DUERP v2.1 intégrant les pièces P1 reçues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LENAXIS / SECURE</w:t>
            </w:r>
          </w:p>
        </w:tc>
      </w:tr>
      <w:tr>
        <w:tc>
          <w:tcPr>
            <w:tcW w:type="dxa" w:w="20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J+45 jours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Transmission des pièces P2 (médecine du travail, L’Enaxie, formations, registres)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M.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J+60 jours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Démarrage du plan d’action priorisé (actions IMMÉDIAT et 30 jours)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Gérant + référents</w:t>
            </w:r>
          </w:p>
        </w:tc>
      </w:tr>
      <w:tr>
        <w:tc>
          <w:tcPr>
            <w:tcW w:type="dxa" w:w="2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J+90 jours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Transmission des pièces P3 (chantiers, véhicules, documentation complète)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M. KNOLL</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J+120 jours</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Production du DUERP v2.2 final + livraison audit Excel sectoriel finalisé</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LENAXIS / SECURE</w:t>
            </w:r>
          </w:p>
        </w:tc>
      </w:tr>
    </w:tbl>
    <w:p>
      <w:pPr>
        <w:pStyle w:val="Heading2"/>
        <w:keepNext/>
        <w:spacing w:after="140" w:before="280"/>
      </w:pPr>
      <w:r>
        <w:rPr>
          <w:rFonts w:ascii="Arial" w:cs="Arial" w:eastAsia="Arial" w:hAnsi="Arial"/>
          <w:b/>
          <w:bCs/>
          <w:color w:val="1A1A1A"/>
          <w:sz w:val="28"/>
          <w:szCs w:val="28"/>
        </w:rPr>
        <w:t xml:space="preserve">V. Modalités pratiques de transmission</w:t>
      </w:r>
    </w:p>
    <w:p>
      <w:pPr>
        <w:pStyle w:val="ListParagraph"/>
        <w:numPr>
          <w:ilvl w:val="0"/>
          <w:numId w:val="2"/>
        </w:numPr>
        <w:spacing w:after="40" w:before="40" w:line="300"/>
      </w:pPr>
      <w:r>
        <w:rPr>
          <w:rFonts w:ascii="Arial" w:cs="Arial" w:eastAsia="Arial" w:hAnsi="Arial"/>
          <w:color w:val="222222"/>
          <w:sz w:val="22"/>
          <w:szCs w:val="22"/>
        </w:rPr>
        <w:t xml:space="preserve">E-mail : david.museur@lenaxis-secure.fr (jusqu’à 25 Mo par envoi).</w:t>
      </w:r>
    </w:p>
    <w:p>
      <w:pPr>
        <w:pStyle w:val="ListParagraph"/>
        <w:numPr>
          <w:ilvl w:val="0"/>
          <w:numId w:val="2"/>
        </w:numPr>
        <w:spacing w:after="40" w:before="40" w:line="300"/>
      </w:pPr>
      <w:r>
        <w:rPr>
          <w:rFonts w:ascii="Arial" w:cs="Arial" w:eastAsia="Arial" w:hAnsi="Arial"/>
          <w:color w:val="222222"/>
          <w:sz w:val="22"/>
          <w:szCs w:val="22"/>
        </w:rPr>
        <w:t xml:space="preserve">Pour les pièces volumineuses ou multiples : WeTransfer ou lien Google Drive / OneDrive partagé.</w:t>
      </w:r>
    </w:p>
    <w:p>
      <w:pPr>
        <w:pStyle w:val="ListParagraph"/>
        <w:numPr>
          <w:ilvl w:val="0"/>
          <w:numId w:val="2"/>
        </w:numPr>
        <w:spacing w:after="40" w:before="40" w:line="300"/>
      </w:pPr>
      <w:r>
        <w:rPr>
          <w:rFonts w:ascii="Arial" w:cs="Arial" w:eastAsia="Arial" w:hAnsi="Arial"/>
          <w:color w:val="222222"/>
          <w:sz w:val="22"/>
          <w:szCs w:val="22"/>
        </w:rPr>
        <w:t xml:space="preserve">Formats acceptés : PDF natifs ou scannés (lisibles), Word, Excel.</w:t>
      </w:r>
    </w:p>
    <w:p>
      <w:pPr>
        <w:pStyle w:val="ListParagraph"/>
        <w:numPr>
          <w:ilvl w:val="0"/>
          <w:numId w:val="2"/>
        </w:numPr>
        <w:spacing w:after="40" w:before="40" w:line="300"/>
      </w:pPr>
      <w:r>
        <w:rPr>
          <w:rFonts w:ascii="Arial" w:cs="Arial" w:eastAsia="Arial" w:hAnsi="Arial"/>
          <w:color w:val="222222"/>
          <w:sz w:val="22"/>
          <w:szCs w:val="22"/>
        </w:rPr>
        <w:t xml:space="preserve">Données personnelles des salariés peuvent être anonymisées (initiales + matricule).</w:t>
      </w:r>
    </w:p>
    <w:p>
      <w:pPr>
        <w:spacing w:after="60" w:before="240" w:line="300"/>
      </w:pPr>
      <w:r>
        <w:rPr>
          <w:rFonts w:ascii="Arial" w:cs="Arial" w:eastAsia="Arial" w:hAnsi="Arial"/>
          <w:color w:val="222222"/>
          <w:sz w:val="22"/>
          <w:szCs w:val="22"/>
        </w:rPr>
        <w:t xml:space="preserve">Restant à votre disposition pour toute précision et pour discuter de la priorisation des actions à programmer (notamment formations SST, PRAP et amiante SS4), je vous prie d’agréer, Monsieur le Gérant, l’expression de mes salutations distinguées.</w:t>
      </w:r>
    </w:p>
    <w:p>
      <w:pPr>
        <w:spacing w:after="60" w:before="360" w:line="300"/>
        <w:jc w:val="right"/>
      </w:pPr>
      <w:r>
        <w:rPr>
          <w:rFonts w:ascii="Arial" w:cs="Arial" w:eastAsia="Arial" w:hAnsi="Arial"/>
          <w:b/>
          <w:bCs/>
          <w:color w:val="222222"/>
          <w:sz w:val="24"/>
          <w:szCs w:val="24"/>
        </w:rPr>
        <w:t xml:space="preserve">David MUSEUR</w:t>
      </w:r>
    </w:p>
    <w:p>
      <w:pPr>
        <w:spacing w:after="60" w:before="60" w:line="300"/>
        <w:jc w:val="right"/>
      </w:pPr>
      <w:r>
        <w:rPr>
          <w:rFonts w:ascii="Arial" w:cs="Arial" w:eastAsia="Arial" w:hAnsi="Arial"/>
          <w:i/>
          <w:iCs/>
          <w:color w:val="5A5B5C"/>
          <w:sz w:val="20"/>
          <w:szCs w:val="20"/>
        </w:rPr>
        <w:t xml:space="preserve">Consultant senior HSE — LENAXIS / SECURE</w:t>
      </w:r>
    </w:p>
    <w:p>
      <w:pPr>
        <w:spacing w:after="60" w:before="60" w:line="300"/>
        <w:jc w:val="right"/>
      </w:pPr>
      <w:r>
        <w:rPr>
          <w:rFonts w:ascii="Arial" w:cs="Arial" w:eastAsia="Arial" w:hAnsi="Arial"/>
          <w:color w:val="5A5B5C"/>
          <w:sz w:val="18"/>
          <w:szCs w:val="18"/>
        </w:rPr>
        <w:t xml:space="preserve">david.museur@lenaxis-secure.fr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A5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Pièces à obtenir IM2S — v2 (par degré d’urgence)</dc:title>
  <dc:creator>LENAXIS / SECURE — David MUSEUR</dc:creator>
  <cp:lastModifiedBy>Un-named</cp:lastModifiedBy>
  <cp:revision>1</cp:revision>
  <dcterms:created xsi:type="dcterms:W3CDTF">2026-05-27T16:21:11.369Z</dcterms:created>
  <dcterms:modified xsi:type="dcterms:W3CDTF">2026-05-27T16:21:11.369Z</dcterms:modified>
</cp:coreProperties>
</file>

<file path=docProps/custom.xml><?xml version="1.0" encoding="utf-8"?>
<Properties xmlns="http://schemas.openxmlformats.org/officeDocument/2006/custom-properties" xmlns:vt="http://schemas.openxmlformats.org/officeDocument/2006/docPropsVTypes"/>
</file>