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drawing>
          <wp:inline distT="0" distB="0" distL="0" distR="0">
            <wp:extent cx="1333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04825"/>
                    </a:xfrm>
                    <a:prstGeom prst="rect">
                      <a:avLst/>
                    </a:prstGeom>
                  </pic:spPr>
                </pic:pic>
              </a:graphicData>
            </a:graphic>
          </wp:inline>
        </w:drawing>
      </w:r>
    </w:p>
    <w:p>
      <w:pPr>
        <w:spacing w:after="60"/>
        <w:jc w:val="center"/>
      </w:pPr>
      <w:r>
        <w:rPr>
          <w:rFonts w:ascii="Arial" w:cs="Arial" w:eastAsia="Arial" w:hAnsi="Arial"/>
          <w:b/>
          <w:bCs/>
          <w:color w:val="A00D1A"/>
          <w:sz w:val="22"/>
          <w:szCs w:val="22"/>
        </w:rPr>
        <w:t xml:space="preserve">LENAXIS / SECURE</w:t>
      </w:r>
    </w:p>
    <w:p>
      <w:pPr>
        <w:spacing w:after="360"/>
        <w:jc w:val="center"/>
      </w:pPr>
      <w:r>
        <w:rPr>
          <w:rFonts w:ascii="Arial" w:cs="Arial" w:eastAsia="Arial" w:hAnsi="Arial"/>
          <w:i/>
          <w:iCs/>
          <w:color w:val="5A5B5C"/>
          <w:sz w:val="18"/>
          <w:szCs w:val="18"/>
        </w:rPr>
        <w:t xml:space="preserve">Consultant : David MUSEUR — Cabinet HSE et conformité</w:t>
      </w:r>
    </w:p>
    <w:p>
      <w:pPr>
        <w:spacing w:after="60" w:before="240" w:line="300"/>
      </w:pPr>
      <w:r>
        <w:rPr>
          <w:rFonts w:ascii="Arial" w:cs="Arial" w:eastAsia="Arial" w:hAnsi="Arial"/>
          <w:color w:val="222222"/>
          <w:sz w:val="24"/>
          <w:szCs w:val="24"/>
        </w:rPr>
        <w:t xml:space="default">À l’attention de M. Stéphane KNOLL</w:t>
      </w:r>
    </w:p>
    <w:p>
      <w:pPr>
        <w:spacing w:after="60" w:before="60" w:line="300"/>
      </w:pPr>
      <w:r>
        <w:rPr>
          <w:rFonts w:ascii="Arial" w:cs="Arial" w:eastAsia="Arial" w:hAnsi="Arial"/>
          <w:color w:val="222222"/>
          <w:sz w:val="22"/>
          <w:szCs w:val="22"/>
        </w:rPr>
        <w:t xml:space="preserve">Gérant et associé unique d’IM2S PROTECTION INCENDIE</w:t>
      </w:r>
    </w:p>
    <w:p>
      <w:pPr>
        <w:spacing w:after="60" w:before="60" w:line="300"/>
      </w:pPr>
      <w:r>
        <w:rPr>
          <w:rFonts w:ascii="Arial" w:cs="Arial" w:eastAsia="Arial" w:hAnsi="Arial"/>
          <w:color w:val="5A5B5C"/>
          <w:sz w:val="20"/>
          <w:szCs w:val="20"/>
        </w:rPr>
        <w:t xml:space="preserve">Astrae Center, 235 Allée Hector Pintus, 06610 LA GAUDE</w:t>
      </w:r>
    </w:p>
    <w:p>
      <w:pPr>
        <w:spacing w:after="60" w:before="240" w:line="300"/>
        <w:jc w:val="right"/>
      </w:pPr>
      <w:r>
        <w:rPr>
          <w:rFonts w:ascii="Arial" w:cs="Arial" w:eastAsia="Arial" w:hAnsi="Arial"/>
          <w:i/>
          <w:iCs/>
          <w:color w:val="222222"/>
          <w:sz w:val="22"/>
          <w:szCs w:val="22"/>
        </w:rPr>
        <w:t xml:space="preserve">La Gaude, le 27 mai 2026</w:t>
      </w:r>
    </w:p>
    <w:p>
      <w:pPr>
        <w:spacing w:after="60" w:before="360" w:line="300"/>
      </w:pPr>
      <w:r>
        <w:rPr>
          <w:rFonts w:ascii="Arial" w:cs="Arial" w:eastAsia="Arial" w:hAnsi="Arial"/>
          <w:color w:val="222222"/>
          <w:sz w:val="22"/>
          <w:szCs w:val="22"/>
        </w:rPr>
        <w:t xml:space="default">Objet : Évolution du Document Unique — Comparatif détaillé entre l’édition 2016 et l’édition 2026 v2.0</w:t>
      </w:r>
    </w:p>
    <w:p>
      <w:pPr>
        <w:spacing w:after="60" w:before="240" w:line="300"/>
      </w:pPr>
      <w:r>
        <w:rPr>
          <w:rFonts w:ascii="Arial" w:cs="Arial" w:eastAsia="Arial" w:hAnsi="Arial"/>
          <w:color w:val="222222"/>
          <w:sz w:val="22"/>
          <w:szCs w:val="22"/>
        </w:rPr>
        <w:t xml:space="preserve">Monsieur le Gérant,</w:t>
      </w:r>
    </w:p>
    <w:p>
      <w:pPr>
        <w:spacing w:after="60" w:before="60" w:line="300"/>
      </w:pPr>
      <w:r>
        <w:rPr>
          <w:rFonts w:ascii="Arial" w:cs="Arial" w:eastAsia="Arial" w:hAnsi="Arial"/>
          <w:color w:val="222222"/>
          <w:sz w:val="22"/>
          <w:szCs w:val="22"/>
        </w:rPr>
        <w:t xml:space="preserve">À l’occasion de la remise de l’édition 2026 v2.0 du DUERP, et pour vous accompagner dans sa lecture ainsi que dans sa présentation à vos partenaires (médecine du travail APST BTP 06, Mme SAMBRONI, assureur, CARSAT), je vous propose ci-après un comparatif structuré entre l’ancien Document Unique daté du 1er février 2016 (rédigé par Riskattitude, noté 14,46/20) et la présente édition refondue.</w:t>
      </w:r>
    </w:p>
    <w:p>
      <w:pPr>
        <w:spacing w:after="60" w:before="60" w:line="300"/>
      </w:pPr>
      <w:r>
        <w:rPr>
          <w:rFonts w:ascii="Arial" w:cs="Arial" w:eastAsia="Arial" w:hAnsi="Arial"/>
          <w:color w:val="222222"/>
          <w:sz w:val="22"/>
          <w:szCs w:val="22"/>
        </w:rPr>
        <w:t xml:space="preserve">Ce document a vocation à expliciter la profondeur de l’évolution du dispositif de prévention chez IM2S, à mettre en valeur les points conformes consolidés, et à présenter avec transparence les axes restant à renforcer dans les prochains mois.</w:t>
      </w:r>
    </w:p>
    <w:p>
      <w:pPr>
        <w:pStyle w:val="Heading2"/>
        <w:keepNext/>
        <w:spacing w:after="140" w:before="280"/>
      </w:pPr>
      <w:r>
        <w:rPr>
          <w:rFonts w:ascii="Arial" w:cs="Arial" w:eastAsia="Arial" w:hAnsi="Arial"/>
          <w:b/>
          <w:bCs/>
          <w:color w:val="1A1A1A"/>
          <w:sz w:val="28"/>
          <w:szCs w:val="28"/>
        </w:rPr>
        <w:t xml:space="preserve">1. Synthèse exécutive — un saut qualitatif structurant</w:t>
      </w:r>
    </w:p>
    <w:p>
      <w:pPr>
        <w:spacing w:after="60" w:before="60" w:line="300"/>
      </w:pPr>
      <w:r>
        <w:rPr>
          <w:rFonts w:ascii="Arial" w:cs="Arial" w:eastAsia="Arial" w:hAnsi="Arial"/>
          <w:color w:val="222222"/>
          <w:sz w:val="22"/>
          <w:szCs w:val="22"/>
        </w:rPr>
        <w:t xml:space="preserve">Le DUERP 2026 v2.0 ne constitue pas une simple mise à jour de l’édition 2016. Il s’agit d’une refonte complète, intégrant les obligations réglementaires nouvelles (loi n°2021-1018 du 2 août 2021 portant conservation 40 ans, dépôt dématérialisé, traçabilité élargie) et la maturité opérationnelle acquise par IM2S sur la décennie écoulée (passage de 10 à 19 collaborateurs, structuration de l’organisation en 3 grands métiers, déploiement de l’outil tablette « L’Enaxie » pour la sécurité opérationnelle).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Lecture rapide</w:t>
            </w:r>
          </w:p>
          <w:p>
            <w:r>
              <w:rPr>
                <w:rFonts w:ascii="Arial" w:cs="Arial" w:eastAsia="Arial" w:hAnsi="Arial"/>
                <w:color w:val="222222"/>
                <w:sz w:val="22"/>
                <w:szCs w:val="22"/>
              </w:rPr>
              <w:t xml:space="preserve">Édition 2016 : 1 document de 44 pages, noté 14,46/20 par méthode Riskattitude — 2 unités de travail, recensement par familles, plan d\u2019action peu détaillé.
Édition 2026 v2.0 : 1 document structuré en 10 parties (~100 pages), 6 unités de travail, 25 fiches de risques (FR-01 à FR-25), plan d\u2019action priorisé en 21 actions avec échéances, 6 attestations détachables, annexe historique consolidée 2011-2026, intégration des photos de visite du 26/03/2026 comme pièces probantes.</w:t>
            </w:r>
          </w:p>
        </w:tc>
      </w:tr>
    </w:tbl>
    <w:p>
      <w:pPr>
        <w:pStyle w:val="Heading2"/>
        <w:keepNext/>
        <w:spacing w:after="140" w:before="280"/>
      </w:pPr>
      <w:r>
        <w:rPr>
          <w:rFonts w:ascii="Arial" w:cs="Arial" w:eastAsia="Arial" w:hAnsi="Arial"/>
          <w:b/>
          <w:bCs/>
          <w:color w:val="1A1A1A"/>
          <w:sz w:val="28"/>
          <w:szCs w:val="28"/>
        </w:rPr>
        <w:t xml:space="preserve">2. Comparatif détaillé point par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Ancien DUE — 01/02/2016</w:t>
            </w:r>
          </w:p>
        </w:tc>
        <w:tc>
          <w:tcPr>
            <w:tcW w:type="dxa" w:w="3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DUERP Édition 2026 v2.0</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Cadre juridique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Référence générale à l’obligation de mise à jour annuelle.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Conformité explicite aux articles L.4121-1 à L.4121-3-1 du Code du travail. Obligation de conservation 40 ans (loi du 02/08/2021) intégrée. Consultation des travailleurs formalisée.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Unités de Travail (UT)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 UT seulement : Administratif/Comptabilité, Techniciens.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6 UT distinctes : UT1 Admin/Compta/Commercial, UT2 Atelier/Magasin/Préparation, UT3 Techniciens d’installation SSI, UT4 Techniciens de maintenance SSI, UT5 Conducteurs/Logistique, UT6 Encadrement de chantier.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documenté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Donnée générale sans ETP précis.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Effectif moyen 2022 = 14 ETP (source : comptes sociaux). Effectif courant 2026 confirmé en réunion = 19 personnes (dont 2 femmes), en augmentation.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Recensement des risques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Liste par grandes familles sans hiérarchisation claire.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25 fiches de risque structurées (FR-01 à FR-25), 11 familles. Cotation Gravité × Fréquence × Maîtrise. Top 10 priorisé.</w:t>
            </w:r>
          </w:p>
        </w:tc>
      </w:tr>
      <w:tr>
        <w:tc>
          <w:tcPr>
            <w:tcW w:type="dxa" w:w="2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Travail en hauteur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Identifié mais peu détaillé. Pas de fiche dédiée.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 FR-01 (toitures et exutoires) + Fiche FR-02 (échelles/escabeaux) dédiées. Confirmation en réunion : 100 % des techniciens (env. 8 personnes) sont concernés. Réduction documentée des travaux nacelle, recentrage sur maintenance.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Risque électrique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Mention générique du risque.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fiches (FR-04 électrisation BT, FR-05 salariés non habilités, FR-06 arc électrique). État précis : 6 personnes sur 9 habilitées NF C 18-510 (régularisation des 3 autres en plan d’action).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Risques psychosociaux</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Non traité.</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Famille F9 dédiée : 3 fiches (FR-19 charge mentale/astreintes, FR-20 travail isolé, FR-21 climat positif). Approche managériale empirique du gérant documentée comme atout (méthode « météo » en début de réunion, cartographie individuelle).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Risque amiante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Non identifié.</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Famille F7 dédiée. Fiche FR-16 spécifique. Exigence DTA systématique sur bâti &lt; 1997, formation SS4 à programmer pour tous techniciens.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Plan d’action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Peu détaillé. Pas de tableau d’actions ni de suivi.</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21 actions priorisées (IMMÉDIAT / 30j / 3 mois / 6 mois / 12 mois). Pour chaque action : code, responsable, échéance, coût estimé, risques liés.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Consultation des salariés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Indications générales.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Modalités précises : causeries sécurité régulières, cahier de doléances en place, entretien annuel, charte EPI signée par chaque entrant, tablette interactive avec check-list de sécurité à chaque intervention (validée par la médecine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Sources et traçabilité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Évaluation Riskattitude 2016 seule.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Sources consolidées : DU Riskattitude 2015 (matrice G/F), DU 2016 (44 p.), CR entretien 19/01/2026, diagnostic Risqapp/SecureMetrix 19/05/2026 (52 p.), réunion 26/03/2026, rapport documentaire IA tierce, comptes sociaux, Pappers, BODACC, devis chantier.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Pièces probantes photographiques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Absentes.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24 photographies analysées photo par photo (note de synthèse séparée). Intégration des photos positives dans les fiches de risque (plan d’évacuation NFX 08-070, TGBT Schneider PrismaSeT, etc.).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Attestations détachables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Absentes.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6 attestations détachables intégrées : remise EPI, habilitations, CACES, accueil sécurité, carte BTP, SST.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Annexe historique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Aucune.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Chronologie consolidée 2011 → 2026. Matrice 2015 G × F intégralement reproduite (13 p.). Comparatif des notes 2016 vs 2026.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Outils internes documentés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Non mentionnés.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Tablette « L’Enaxie » avec check-list embarquée (validée APST BTP). Solution Google Drive pour notices extincteurs (résolution non-conformité). Revue véhicules hebdomadaire (bonne pratique récente).</w:t>
            </w:r>
          </w:p>
        </w:tc>
      </w:tr>
    </w:tbl>
    <w:p>
      <w:pPr>
        <w:pStyle w:val="Heading2"/>
        <w:keepNext/>
        <w:spacing w:after="140" w:before="280"/>
      </w:pPr>
      <w:r>
        <w:rPr>
          <w:rFonts w:ascii="Arial" w:cs="Arial" w:eastAsia="Arial" w:hAnsi="Arial"/>
          <w:b/>
          <w:bCs/>
          <w:color w:val="1A1A1A"/>
          <w:sz w:val="28"/>
          <w:szCs w:val="28"/>
        </w:rPr>
        <w:t xml:space="preserve">3. Points forts consolidés depuis 2016</w:t>
      </w:r>
    </w:p>
    <w:p>
      <w:pPr>
        <w:spacing w:after="60" w:before="60" w:line="300"/>
      </w:pPr>
      <w:r>
        <w:rPr>
          <w:rFonts w:ascii="Arial" w:cs="Arial" w:eastAsia="Arial" w:hAnsi="Arial"/>
          <w:color w:val="222222"/>
          <w:sz w:val="22"/>
          <w:szCs w:val="22"/>
        </w:rPr>
        <w:t xml:space="preserve">L’évolution sur la décennie 2016-2026 démontre une maturité accrue du dispositif IM2S, qui se traduit notamment par :</w:t>
      </w:r>
    </w:p>
    <w:p>
      <w:pPr>
        <w:pStyle w:val="ListParagraph"/>
        <w:numPr>
          <w:ilvl w:val="0"/>
          <w:numId w:val="2"/>
        </w:numPr>
        <w:spacing w:after="40" w:before="40" w:line="300"/>
      </w:pPr>
      <w:r>
        <w:rPr>
          <w:rFonts w:ascii="Arial" w:cs="Arial" w:eastAsia="Arial" w:hAnsi="Arial"/>
          <w:b/>
          <w:bCs/>
          <w:sz w:val="22"/>
          <w:szCs w:val="22"/>
        </w:rPr>
        <w:t xml:space="preserve">Stabilité de la démarche</w:t>
      </w:r>
      <w:r>
        <w:rPr>
          <w:rFonts w:ascii="Arial" w:cs="Arial" w:eastAsia="Arial" w:hAnsi="Arial"/>
          <w:sz w:val="22"/>
          <w:szCs w:val="22"/>
        </w:rPr>
        <w:t xml:space="preserve"> — continuité de l’accompagnement HSE par le même consultant depuis 2011, ce qui assure la cohérence historique du DUERP.</w:t>
      </w:r>
    </w:p>
    <w:p>
      <w:pPr>
        <w:pStyle w:val="ListParagraph"/>
        <w:numPr>
          <w:ilvl w:val="0"/>
          <w:numId w:val="2"/>
        </w:numPr>
        <w:spacing w:after="40" w:before="40" w:line="300"/>
      </w:pPr>
      <w:r>
        <w:rPr>
          <w:rFonts w:ascii="Arial" w:cs="Arial" w:eastAsia="Arial" w:hAnsi="Arial"/>
          <w:b/>
          <w:bCs/>
          <w:sz w:val="22"/>
          <w:szCs w:val="22"/>
        </w:rPr>
        <w:t xml:space="preserve">Croissance maîtrisée</w:t>
      </w:r>
      <w:r>
        <w:rPr>
          <w:rFonts w:ascii="Arial" w:cs="Arial" w:eastAsia="Arial" w:hAnsi="Arial"/>
          <w:sz w:val="22"/>
          <w:szCs w:val="22"/>
        </w:rPr>
        <w:t xml:space="preserve"> — passage de ~10 à 19 collaborateurs sans crise sociale ni accident grave (1 accident bénin déclaré sur la période — trappe ascenseur, 10 jours d’arrêt).</w:t>
      </w:r>
    </w:p>
    <w:p>
      <w:pPr>
        <w:pStyle w:val="ListParagraph"/>
        <w:numPr>
          <w:ilvl w:val="0"/>
          <w:numId w:val="2"/>
        </w:numPr>
        <w:spacing w:after="40" w:before="40" w:line="300"/>
      </w:pPr>
      <w:r>
        <w:rPr>
          <w:rFonts w:ascii="Arial" w:cs="Arial" w:eastAsia="Arial" w:hAnsi="Arial"/>
          <w:b/>
          <w:bCs/>
          <w:sz w:val="22"/>
          <w:szCs w:val="22"/>
        </w:rPr>
        <w:t xml:space="preserve">Innovation organisationnelle</w:t>
      </w:r>
      <w:r>
        <w:rPr>
          <w:rFonts w:ascii="Arial" w:cs="Arial" w:eastAsia="Arial" w:hAnsi="Arial"/>
          <w:sz w:val="22"/>
          <w:szCs w:val="22"/>
        </w:rPr>
        <w:t xml:space="preserve"> — déploiement de la tablette « L’Enaxie » comme outil structurant de sécurité opérationnelle (check-list à chaque intervention, validation par la médecine du travail).</w:t>
      </w:r>
    </w:p>
    <w:p>
      <w:pPr>
        <w:pStyle w:val="ListParagraph"/>
        <w:numPr>
          <w:ilvl w:val="0"/>
          <w:numId w:val="2"/>
        </w:numPr>
        <w:spacing w:after="40" w:before="40" w:line="300"/>
      </w:pPr>
      <w:r>
        <w:rPr>
          <w:rFonts w:ascii="Arial" w:cs="Arial" w:eastAsia="Arial" w:hAnsi="Arial"/>
          <w:b/>
          <w:bCs/>
          <w:sz w:val="22"/>
          <w:szCs w:val="22"/>
        </w:rPr>
        <w:t xml:space="preserve">Investissement matériel</w:t>
      </w:r>
      <w:r>
        <w:rPr>
          <w:rFonts w:ascii="Arial" w:cs="Arial" w:eastAsia="Arial" w:hAnsi="Arial"/>
          <w:sz w:val="22"/>
          <w:szCs w:val="22"/>
        </w:rPr>
        <w:t xml:space="preserve"> — installation électrique exemplaire (TGBT Schneider PrismaSeT), équipements professionnels (échelles HYMER, casques MSA), plan d’évacuation conforme NFX 08-070.</w:t>
      </w:r>
    </w:p>
    <w:p>
      <w:pPr>
        <w:pStyle w:val="ListParagraph"/>
        <w:numPr>
          <w:ilvl w:val="0"/>
          <w:numId w:val="2"/>
        </w:numPr>
        <w:spacing w:after="40" w:before="40" w:line="300"/>
      </w:pPr>
      <w:r>
        <w:rPr>
          <w:rFonts w:ascii="Arial" w:cs="Arial" w:eastAsia="Arial" w:hAnsi="Arial"/>
          <w:b/>
          <w:bCs/>
          <w:sz w:val="22"/>
          <w:szCs w:val="22"/>
        </w:rPr>
        <w:t xml:space="preserve">Marque employeur</w:t>
      </w:r>
      <w:r>
        <w:rPr>
          <w:rFonts w:ascii="Arial" w:cs="Arial" w:eastAsia="Arial" w:hAnsi="Arial"/>
          <w:sz w:val="22"/>
          <w:szCs w:val="22"/>
        </w:rPr>
        <w:t xml:space="preserve"> — note 5/5 GoWork, podcast interne « IM2S Morning » + web série « Sentinelle Le Veilleur » (diffusion dans 33 pays), cahier de doléances ouvert, charte EPI signée par les nouveaux entrants.</w:t>
      </w:r>
    </w:p>
    <w:p>
      <w:pPr>
        <w:pStyle w:val="ListParagraph"/>
        <w:numPr>
          <w:ilvl w:val="0"/>
          <w:numId w:val="2"/>
        </w:numPr>
        <w:spacing w:after="40" w:before="40" w:line="300"/>
      </w:pPr>
      <w:r>
        <w:rPr>
          <w:rFonts w:ascii="Arial" w:cs="Arial" w:eastAsia="Arial" w:hAnsi="Arial"/>
          <w:b/>
          <w:bCs/>
          <w:sz w:val="22"/>
          <w:szCs w:val="22"/>
        </w:rPr>
        <w:t xml:space="preserve">Solidité financière</w:t>
      </w:r>
      <w:r>
        <w:rPr>
          <w:rFonts w:ascii="Arial" w:cs="Arial" w:eastAsia="Arial" w:hAnsi="Arial"/>
          <w:sz w:val="22"/>
          <w:szCs w:val="22"/>
        </w:rPr>
        <w:t xml:space="preserve"> — CA 2022 = 1,65 M€, bénéfice net 159 k€, report à nouveau 647 k€. Capacité d’autofinancement de toutes les actions de prévention.</w:t>
      </w:r>
    </w:p>
    <w:p>
      <w:pPr>
        <w:pStyle w:val="ListParagraph"/>
        <w:numPr>
          <w:ilvl w:val="0"/>
          <w:numId w:val="2"/>
        </w:numPr>
        <w:spacing w:after="40" w:before="40" w:line="300"/>
      </w:pPr>
      <w:r>
        <w:rPr>
          <w:rFonts w:ascii="Arial" w:cs="Arial" w:eastAsia="Arial" w:hAnsi="Arial"/>
          <w:b/>
          <w:bCs/>
          <w:sz w:val="22"/>
          <w:szCs w:val="22"/>
        </w:rPr>
        <w:t xml:space="preserve">Pratiques opérationnelles régulières</w:t>
      </w:r>
      <w:r>
        <w:rPr>
          <w:rFonts w:ascii="Arial" w:cs="Arial" w:eastAsia="Arial" w:hAnsi="Arial"/>
          <w:sz w:val="22"/>
          <w:szCs w:val="22"/>
        </w:rPr>
        <w:t xml:space="preserve"> — causeries sécurité, contrôles sur chantier, vérifications électriques, contrôles extincteurs, exercices d’évacuation, revue véhicules hebdomadaire.</w:t>
      </w:r>
    </w:p>
    <w:p>
      <w:pPr>
        <w:pStyle w:val="Heading2"/>
        <w:keepNext/>
        <w:spacing w:after="140" w:before="280"/>
      </w:pPr>
      <w:r>
        <w:rPr>
          <w:rFonts w:ascii="Arial" w:cs="Arial" w:eastAsia="Arial" w:hAnsi="Arial"/>
          <w:b/>
          <w:bCs/>
          <w:color w:val="1A1A1A"/>
          <w:sz w:val="28"/>
          <w:szCs w:val="28"/>
        </w:rPr>
        <w:t xml:space="preserve">4. Axes restant à renforcer (transparence)</w:t>
      </w:r>
    </w:p>
    <w:p>
      <w:pPr>
        <w:spacing w:after="60" w:before="60" w:line="300"/>
      </w:pPr>
      <w:r>
        <w:rPr>
          <w:rFonts w:ascii="Arial" w:cs="Arial" w:eastAsia="Arial" w:hAnsi="Arial"/>
          <w:color w:val="222222"/>
          <w:sz w:val="22"/>
          <w:szCs w:val="22"/>
        </w:rPr>
        <w:t xml:space="preserve">Conformément à l’analyse documentaire, plusieurs axes sont identifiés comme à compléter ou à formaliser pour porter le DUERP à son niveau d’opposabilité maximale. Le plan d’action de l’édition 2026 v2.0 traite chacun de ces points avec une échéance définie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rPr>
          <w:tblHeader/>
        </w:trPr>
        <w:tc>
          <w:tcPr>
            <w:tcW w:type="dxa" w:w="4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Axe à renforcer</w:t>
            </w:r>
          </w:p>
        </w:tc>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 plan d’action</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Régularisation des habilitations électriques des 3 salariés non habilités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30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A.03</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générale annuelle des EPI antichute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30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A.04</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Programmation formation SST (2 personnes minimum)</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60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A.05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Programmation formation PRAP gestes &amp; postures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60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A.06</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Renouvellement de la formation port des EPI (dernière en 2015)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60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A.09</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Formalisation du modèle de plan de prévention client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60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A.07</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SS4 amiante (Art. R.4412-117) pour tous techniciens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90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A.10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Évaluation formelle des RPS (formalisation de la pratique empirique)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180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A.11</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 d’entreprise à demander au médecin du travail (Art. R.4624-46)</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90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A.12</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Désignation et affichage du référent harcèlement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90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A.13</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Inventaire chimique formalisé et FDS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90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A.06 (CR)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Analyse REX de l’accident trappe ascenseur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60 jours</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A.12 (CR)</w:t>
            </w:r>
          </w:p>
        </w:tc>
      </w:tr>
    </w:tbl>
    <w:p>
      <w:pPr>
        <w:pStyle w:val="Heading2"/>
        <w:keepNext/>
        <w:spacing w:after="140" w:before="280"/>
      </w:pPr>
      <w:r>
        <w:rPr>
          <w:rFonts w:ascii="Arial" w:cs="Arial" w:eastAsia="Arial" w:hAnsi="Arial"/>
          <w:b/>
          <w:bCs/>
          <w:color w:val="1A1A1A"/>
          <w:sz w:val="28"/>
          <w:szCs w:val="28"/>
        </w:rPr>
        <w:t xml:space="preserve">5. Éléments de langage pour vos échanges avec les partenaires</w:t>
      </w:r>
    </w:p>
    <w:p>
      <w:pPr>
        <w:spacing w:after="60" w:before="60" w:line="300"/>
      </w:pPr>
      <w:r>
        <w:rPr>
          <w:rFonts w:ascii="Arial" w:cs="Arial" w:eastAsia="Arial" w:hAnsi="Arial"/>
          <w:color w:val="222222"/>
          <w:sz w:val="22"/>
          <w:szCs w:val="22"/>
        </w:rPr>
        <w:t xml:space="preserve">Pour vos échanges avec l’APST BTP 06, Mme SAMBRONI, votre assureur ou la CARSAT, voici quelques éléments de langage utiles pour présenter l’évolution du DUERP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Positionnement recommandé</w:t>
            </w:r>
          </w:p>
          <w:p>
            <w:r>
              <w:rPr>
                <w:rFonts w:ascii="Arial" w:cs="Arial" w:eastAsia="Arial" w:hAnsi="Arial"/>
                <w:color w:val="222222"/>
                <w:sz w:val="22"/>
                <w:szCs w:val="22"/>
              </w:rPr>
              <w:t xml:space="preserve">« Le DUERP 2026 v2.0 est le fruit d\u2019une démarche d\u2019amélioration continue engagée depuis plus de 15 ans. Il intègre l\u2019ensemble des évolutions réglementaires récentes (loi du 02/08/2021), s\u2019appuie sur les bonnes pratiques opérationnelles éprouvées par IM2S (tablette L\u2019Enaxie, revue véhicules, causeries, exercices d\u2019évacuation) et formalise les axes d\u2019amélioration restants dans un plan d\u2019action chiffré et daté.
La démarche est cosignée par un consultant externe (LENAXIS / SECURE), ce qui renforce son opposabilité. Le service de santé au travail est appelé à être partie prenante, notamment pour la production de la fiche d\u2019entreprise et le suivi des actions formation. »</w:t>
            </w:r>
          </w:p>
        </w:tc>
      </w:tr>
    </w:tbl>
    <w:p>
      <w:pPr>
        <w:pStyle w:val="Heading2"/>
        <w:keepNext/>
        <w:spacing w:after="140" w:before="280"/>
      </w:pPr>
      <w:r>
        <w:rPr>
          <w:rFonts w:ascii="Arial" w:cs="Arial" w:eastAsia="Arial" w:hAnsi="Arial"/>
          <w:b/>
          <w:bCs/>
          <w:color w:val="1A1A1A"/>
          <w:sz w:val="28"/>
          <w:szCs w:val="28"/>
        </w:rPr>
        <w:t xml:space="preserve">6. Documents associés à la présente édition</w:t>
      </w:r>
    </w:p>
    <w:p>
      <w:pPr>
        <w:pStyle w:val="ListParagraph"/>
        <w:numPr>
          <w:ilvl w:val="0"/>
          <w:numId w:val="2"/>
        </w:numPr>
        <w:spacing w:after="40" w:before="40" w:line="300"/>
      </w:pPr>
      <w:r>
        <w:rPr>
          <w:rFonts w:ascii="Arial" w:cs="Arial" w:eastAsia="Arial" w:hAnsi="Arial"/>
          <w:b/>
          <w:bCs/>
          <w:sz w:val="22"/>
          <w:szCs w:val="22"/>
        </w:rPr>
        <w:t xml:space="preserve">DUERP IM2S Édition 2026 v2.0</w:t>
      </w:r>
      <w:r>
        <w:rPr>
          <w:rFonts w:ascii="Arial" w:cs="Arial" w:eastAsia="Arial" w:hAnsi="Arial"/>
          <w:sz w:val="22"/>
          <w:szCs w:val="22"/>
        </w:rPr>
        <w:t xml:space="preserve"> — document principal (~100 pages, charte IM2S).</w:t>
      </w:r>
    </w:p>
    <w:p>
      <w:pPr>
        <w:pStyle w:val="ListParagraph"/>
        <w:numPr>
          <w:ilvl w:val="0"/>
          <w:numId w:val="2"/>
        </w:numPr>
        <w:spacing w:after="40" w:before="40" w:line="300"/>
      </w:pPr>
      <w:r>
        <w:rPr>
          <w:rFonts w:ascii="Arial" w:cs="Arial" w:eastAsia="Arial" w:hAnsi="Arial"/>
          <w:b/>
          <w:bCs/>
          <w:sz w:val="22"/>
          <w:szCs w:val="22"/>
        </w:rPr>
        <w:t xml:space="preserve">Compte rendu de la réunion du 26/03/2026 </w:t>
      </w:r>
      <w:r>
        <w:rPr>
          <w:rFonts w:ascii="Arial" w:cs="Arial" w:eastAsia="Arial" w:hAnsi="Arial"/>
          <w:sz w:val="22"/>
          <w:szCs w:val="22"/>
        </w:rPr>
        <w:t xml:space="preserve">— version v2 avec préconisations classées par degré de dangerosité.</w:t>
      </w:r>
    </w:p>
    <w:p>
      <w:pPr>
        <w:pStyle w:val="ListParagraph"/>
        <w:numPr>
          <w:ilvl w:val="0"/>
          <w:numId w:val="2"/>
        </w:numPr>
        <w:spacing w:after="40" w:before="40" w:line="300"/>
      </w:pPr>
      <w:r>
        <w:rPr>
          <w:rFonts w:ascii="Arial" w:cs="Arial" w:eastAsia="Arial" w:hAnsi="Arial"/>
          <w:b/>
          <w:bCs/>
          <w:sz w:val="22"/>
          <w:szCs w:val="22"/>
        </w:rPr>
        <w:t xml:space="preserve">Note de synthèse photographique </w:t>
      </w:r>
      <w:r>
        <w:rPr>
          <w:rFonts w:ascii="Arial" w:cs="Arial" w:eastAsia="Arial" w:hAnsi="Arial"/>
          <w:sz w:val="22"/>
          <w:szCs w:val="22"/>
        </w:rPr>
        <w:t xml:space="preserve">— analyse photo par photo des 24 prises de vue.</w:t>
      </w:r>
    </w:p>
    <w:p>
      <w:pPr>
        <w:pStyle w:val="ListParagraph"/>
        <w:numPr>
          <w:ilvl w:val="0"/>
          <w:numId w:val="2"/>
        </w:numPr>
        <w:spacing w:after="40" w:before="40" w:line="300"/>
      </w:pPr>
      <w:r>
        <w:rPr>
          <w:rFonts w:ascii="Arial" w:cs="Arial" w:eastAsia="Arial" w:hAnsi="Arial"/>
          <w:b/>
          <w:bCs/>
          <w:sz w:val="22"/>
          <w:szCs w:val="22"/>
        </w:rPr>
        <w:t xml:space="preserve">Courrier des pièces à obtenir </w:t>
      </w:r>
      <w:r>
        <w:rPr>
          <w:rFonts w:ascii="Arial" w:cs="Arial" w:eastAsia="Arial" w:hAnsi="Arial"/>
          <w:sz w:val="22"/>
          <w:szCs w:val="22"/>
        </w:rPr>
        <w:t xml:space="preserve">— version classée par degré d’urgence (P1 immédiat, P2 30 j, P3 90 j).</w:t>
      </w:r>
    </w:p>
    <w:p>
      <w:pPr>
        <w:pStyle w:val="ListParagraph"/>
        <w:numPr>
          <w:ilvl w:val="0"/>
          <w:numId w:val="2"/>
        </w:numPr>
        <w:spacing w:after="40" w:before="40" w:line="300"/>
      </w:pPr>
      <w:r>
        <w:rPr>
          <w:rFonts w:ascii="Arial" w:cs="Arial" w:eastAsia="Arial" w:hAnsi="Arial"/>
          <w:b/>
          <w:bCs/>
          <w:sz w:val="22"/>
          <w:szCs w:val="22"/>
        </w:rPr>
        <w:t xml:space="preserve">Audit Excel sectoriel BTP-SSI </w:t>
      </w:r>
      <w:r>
        <w:rPr>
          <w:rFonts w:ascii="Arial" w:cs="Arial" w:eastAsia="Arial" w:hAnsi="Arial"/>
          <w:sz w:val="22"/>
          <w:szCs w:val="22"/>
        </w:rPr>
        <w:t xml:space="preserve">— 397 critères, 11 catégories, à instruire sur l’année.</w:t>
      </w:r>
    </w:p>
    <w:p>
      <w:pPr>
        <w:pStyle w:val="ListParagraph"/>
        <w:numPr>
          <w:ilvl w:val="0"/>
          <w:numId w:val="2"/>
        </w:numPr>
        <w:spacing w:after="40" w:before="40" w:line="300"/>
      </w:pPr>
      <w:r>
        <w:rPr>
          <w:rFonts w:ascii="Arial" w:cs="Arial" w:eastAsia="Arial" w:hAnsi="Arial"/>
          <w:b/>
          <w:bCs/>
          <w:sz w:val="22"/>
          <w:szCs w:val="22"/>
        </w:rPr>
        <w:t xml:space="preserve">Plateforme HSE web </w:t>
      </w:r>
      <w:r>
        <w:rPr>
          <w:rFonts w:ascii="Arial" w:cs="Arial" w:eastAsia="Arial" w:hAnsi="Arial"/>
          <w:sz w:val="22"/>
          <w:szCs w:val="22"/>
        </w:rPr>
        <w:t xml:space="preserve">— site statique déployable sur Vercel, accès à la bibliothèque documentaire complète.</w:t>
      </w:r>
    </w:p>
    <w:p>
      <w:pPr>
        <w:pStyle w:val="ListParagraph"/>
        <w:numPr>
          <w:ilvl w:val="0"/>
          <w:numId w:val="2"/>
        </w:numPr>
        <w:spacing w:after="40" w:before="40" w:line="300"/>
      </w:pPr>
      <w:r>
        <w:rPr>
          <w:rFonts w:ascii="Arial" w:cs="Arial" w:eastAsia="Arial" w:hAnsi="Arial"/>
          <w:b/>
          <w:bCs/>
          <w:sz w:val="22"/>
          <w:szCs w:val="22"/>
        </w:rPr>
        <w:t xml:space="preserve">Version externe protégée du DUERP </w:t>
      </w:r>
      <w:r>
        <w:rPr>
          <w:rFonts w:ascii="Arial" w:cs="Arial" w:eastAsia="Arial" w:hAnsi="Arial"/>
          <w:sz w:val="22"/>
          <w:szCs w:val="22"/>
        </w:rPr>
        <w:t xml:space="preserve">— pour transmission à l’APST BTP 06 et à Mme SAMBRONI.</w:t>
      </w:r>
    </w:p>
    <w:p>
      <w:pPr>
        <w:pStyle w:val="Heading2"/>
        <w:keepNext/>
        <w:spacing w:after="140" w:before="280"/>
      </w:pPr>
      <w:r>
        <w:rPr>
          <w:rFonts w:ascii="Arial" w:cs="Arial" w:eastAsia="Arial" w:hAnsi="Arial"/>
          <w:b/>
          <w:bCs/>
          <w:color w:val="1A1A1A"/>
          <w:sz w:val="28"/>
          <w:szCs w:val="28"/>
        </w:rPr>
        <w:t xml:space="preserve">7. Conclusion</w:t>
      </w:r>
    </w:p>
    <w:p>
      <w:pPr>
        <w:spacing w:after="60" w:before="60" w:line="300"/>
      </w:pPr>
      <w:r>
        <w:rPr>
          <w:rFonts w:ascii="Arial" w:cs="Arial" w:eastAsia="Arial" w:hAnsi="Arial"/>
          <w:color w:val="222222"/>
          <w:sz w:val="22"/>
          <w:szCs w:val="22"/>
        </w:rPr>
        <w:t xml:space="preserve">L’évolution entre l’ancien Document Unique 2016 et l’édition 2026 v2.0 traduit le passage d’un document de conformité minimale à un véritable outil opérationnel de pilotage de la prévention. Cette transformation s’est appuyée sur l’engagement continu d’IM2S Protection Incendie, la maturité acquise sur le terrain (notamment via la tablette L’Enaxie et les bonnes pratiques quotidiennes), et l’adaptation aux obligations réglementaires nouvelles.</w:t>
      </w:r>
    </w:p>
    <w:p>
      <w:pPr>
        <w:spacing w:after="60" w:before="60" w:line="300"/>
      </w:pPr>
      <w:r>
        <w:rPr>
          <w:rFonts w:ascii="Arial" w:cs="Arial" w:eastAsia="Arial" w:hAnsi="Arial"/>
          <w:color w:val="222222"/>
          <w:sz w:val="22"/>
          <w:szCs w:val="22"/>
        </w:rPr>
        <w:t xml:space="preserve">L’édition 2026 v2.0 n’est pas un document figé : elle est conçue pour vivre, être consultée régulièrement, et être enrichie au fil des chantiers et des retours d’expérience. Le plan d’action en 21 points constitue la feuille de route des 12 prochains mois, avec une révision annuelle déjà programmée pour mai 2027.</w:t>
      </w:r>
    </w:p>
    <w:p>
      <w:pPr>
        <w:spacing w:after="60" w:before="240" w:line="300"/>
      </w:pPr>
      <w:r>
        <w:rPr>
          <w:rFonts w:ascii="Arial" w:cs="Arial" w:eastAsia="Arial" w:hAnsi="Arial"/>
          <w:color w:val="222222"/>
          <w:sz w:val="22"/>
          <w:szCs w:val="22"/>
        </w:rPr>
        <w:t xml:space="preserve">Je reste à votre disposition pour toute précision et vous prie d’agréer, Monsieur le Gérant, l’expression de mes salutations distinguées.</w:t>
      </w:r>
    </w:p>
    <w:p>
      <w:pPr>
        <w:spacing w:after="60" w:before="360" w:line="300"/>
        <w:jc w:val="right"/>
      </w:pPr>
      <w:r>
        <w:rPr>
          <w:rFonts w:ascii="Arial" w:cs="Arial" w:eastAsia="Arial" w:hAnsi="Arial"/>
          <w:b/>
          <w:bCs/>
          <w:color w:val="222222"/>
          <w:sz w:val="24"/>
          <w:szCs w:val="24"/>
        </w:rPr>
        <w:t xml:space="preserve">David MUSEUR</w:t>
      </w:r>
    </w:p>
    <w:p>
      <w:pPr>
        <w:spacing w:after="60" w:before="60" w:line="300"/>
        <w:jc w:val="right"/>
      </w:pPr>
      <w:r>
        <w:rPr>
          <w:rFonts w:ascii="Arial" w:cs="Arial" w:eastAsia="Arial" w:hAnsi="Arial"/>
          <w:i/>
          <w:iCs/>
          <w:color w:val="5A5B5C"/>
          <w:sz w:val="20"/>
          <w:szCs w:val="20"/>
        </w:rPr>
        <w:t xml:space="preserve">Consultant senior HSE — LENAXIS / SECURE</w:t>
      </w:r>
    </w:p>
    <w:p>
      <w:pPr>
        <w:spacing w:after="60" w:before="60" w:line="300"/>
        <w:jc w:val="right"/>
      </w:pPr>
      <w:r>
        <w:rPr>
          <w:rFonts w:ascii="Arial" w:cs="Arial" w:eastAsia="Arial" w:hAnsi="Arial"/>
          <w:color w:val="5A5B5C"/>
          <w:sz w:val="18"/>
          <w:szCs w:val="18"/>
        </w:rPr>
        <w:t xml:space="preserve">david.museur@lenaxis-secure.fr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A00D1A"/>
      <w:sz w:val="32"/>
      <w:szCs w:val="32"/>
    </w:rPr>
  </w:style>
  <w:style w:type="paragraph" w:styleId="Heading2">
    <w:name w:val="Heading 2"/>
    <w:basedOn w:val="Normal"/>
    <w:next w:val="Normal"/>
    <w:qFormat/>
    <w:pPr>
      <w:pBdr>
        <w:bottom w:val="single" w:color="A00D1A" w:sz="12" w:space="4"/>
      </w:pBd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A00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 explicatif évolution DUE 2016 → DUERP 2026 v2.0</dc:title>
  <dc:creator>LENAXIS / SECURE — David MUSEUR</dc:creator>
  <cp:lastModifiedBy>Un-named</cp:lastModifiedBy>
  <cp:revision>1</cp:revision>
  <dcterms:created xsi:type="dcterms:W3CDTF">2026-05-27T16:19:26.609Z</dcterms:created>
  <dcterms:modified xsi:type="dcterms:W3CDTF">2026-05-27T16:19:26.609Z</dcterms:modified>
</cp:coreProperties>
</file>

<file path=docProps/custom.xml><?xml version="1.0" encoding="utf-8"?>
<Properties xmlns="http://schemas.openxmlformats.org/officeDocument/2006/custom-properties" xmlns:vt="http://schemas.openxmlformats.org/officeDocument/2006/docPropsVTypes"/>
</file>