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Equipe de Sistemas — Sustentação &amp; Operações</w:t>
      </w:r>
    </w:p>
    <w:p>
      <w:pPr>
        <w:jc w:val="center"/>
      </w:pPr>
      <w:r>
        <w:rPr>
          <w:sz w:val="22"/>
        </w:rPr>
        <w:t>Relatório Mensal · Entidade Sistemas (14) e sub-entidades</w:t>
      </w:r>
    </w:p>
    <w:p>
      <w:pPr>
        <w:jc w:val="center"/>
      </w:pPr>
      <w:r>
        <w:rPr>
          <w:i/>
        </w:rPr>
        <w:t>Período de referência: 01 a 30 de Setembro de 2026</w:t>
      </w:r>
    </w:p>
    <w:p>
      <w:pPr>
        <w:jc w:val="center"/>
      </w:pPr>
      <w:r>
        <w:rPr>
          <w:color w:val="595959"/>
          <w:sz w:val="18"/>
        </w:rPr>
        <w:t>Redigido por David Vieira · Gerado em 30/09/2026 21:11</w:t>
      </w:r>
    </w:p>
    <w:p/>
    <w:p>
      <w:pPr>
        <w:pStyle w:val="Heading1"/>
      </w:pPr>
      <w:r>
        <w:rPr>
          <w:color w:val="1F3864"/>
          <w:sz w:val="32"/>
        </w:rPr>
        <w:t>Escopo do Período</w:t>
      </w:r>
    </w:p>
    <w:p>
      <w:r>
        <w:rPr>
          <w:b w:val="0"/>
          <w:i w:val="0"/>
          <w:sz w:val="21"/>
        </w:rPr>
        <w:t>Este relatório considera todo chamado RELEVANTE para 01 a 30 de Setembro de 2026:</w:t>
      </w:r>
    </w:p>
    <w:p>
      <w:pPr>
        <w:pStyle w:val="ListBullet"/>
      </w:pPr>
      <w:r>
        <w:rPr>
          <w:sz w:val="21"/>
        </w:rPr>
        <w:t>Chamados ABERTOS no período;</w:t>
      </w:r>
    </w:p>
    <w:p>
      <w:pPr>
        <w:pStyle w:val="ListBullet"/>
      </w:pPr>
      <w:r>
        <w:rPr>
          <w:sz w:val="21"/>
        </w:rPr>
        <w:t>Chamados RESOLVIDOS/FECHADOS no período, mesmo que abertos em meses anteriores;</w:t>
      </w:r>
    </w:p>
    <w:p>
      <w:pPr>
        <w:pStyle w:val="ListBullet"/>
      </w:pPr>
      <w:r>
        <w:rPr>
          <w:sz w:val="21"/>
        </w:rPr>
        <w:t>Chamados ainda ABERTOS hoje (backlog ativo, incluindo projetos em andamento).</w:t>
      </w:r>
    </w:p>
    <w:p>
      <w:r>
        <w:rPr>
          <w:i/>
          <w:color w:val="595959"/>
          <w:sz w:val="19"/>
        </w:rPr>
        <w:t>O painel abaixo é apresentado em FLUXO (Backlog inicial → Novos → Entregues → Backlog final), que reflete o que a equipe efetivamente trabalhou no mês — não apenas o que foi aberto nele.</w:t>
      </w:r>
    </w:p>
    <w:p>
      <w:pPr>
        <w:pStyle w:val="Heading1"/>
      </w:pPr>
      <w:r>
        <w:rPr>
          <w:color w:val="1F3864"/>
          <w:sz w:val="32"/>
        </w:rPr>
        <w:t>Visão Histórica</w:t>
      </w:r>
    </w:p>
    <w:p>
      <w:r>
        <w:rPr>
          <w:b w:val="0"/>
          <w:i w:val="0"/>
          <w:sz w:val="21"/>
        </w:rPr>
        <w:t>Período atual: 2026-09 — 186 novos, 180 entregues, backlog final de 26.</w:t>
      </w:r>
    </w:p>
    <w:p>
      <w:r>
        <w:rPr>
          <w:i/>
          <w:color w:val="595959"/>
          <w:sz w:val="19"/>
        </w:rPr>
        <w:t>Sem período anterior para comparação.</w:t>
      </w:r>
    </w:p>
    <w:p>
      <w:pPr>
        <w:pStyle w:val="Heading1"/>
      </w:pPr>
      <w:r>
        <w:rPr>
          <w:color w:val="1F3864"/>
          <w:sz w:val="32"/>
        </w:rPr>
        <w:t>1. Painel Geral — Fluxo do Período</w:t>
      </w:r>
    </w:p>
    <w:p>
      <w:r>
        <w:rPr>
          <w:b w:val="0"/>
          <w:i w:val="0"/>
          <w:sz w:val="21"/>
        </w:rPr>
        <w:t>Leitura: **Backlog inicial** é o que estava em aberto no dia 01; **Novos** são os abertos no mês; **Carga total** é o que a equipe precisava endereçar; **Entregues** são os resolvidos/fechados no mês; **Backlog final** é o que permanece em aberto.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948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232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Sustentação</w:t>
            </w:r>
          </w:p>
        </w:tc>
        <w:tc>
          <w:tcPr>
            <w:tcW w:type="dxa" w:w="232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Projetos</w:t>
            </w:r>
          </w:p>
        </w:tc>
        <w:tc>
          <w:tcPr>
            <w:tcW w:type="dxa" w:w="175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Backlog inicial (est.)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20</w:t>
            </w:r>
          </w:p>
        </w:tc>
      </w:tr>
      <w:tr>
        <w:tc>
          <w:tcPr>
            <w:tcW w:type="dxa" w:w="294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Novos no período</w:t>
            </w:r>
          </w:p>
        </w:tc>
        <w:tc>
          <w:tcPr>
            <w:tcW w:type="dxa" w:w="232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184</w:t>
            </w:r>
          </w:p>
        </w:tc>
        <w:tc>
          <w:tcPr>
            <w:tcW w:type="dxa" w:w="232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75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186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Carga total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192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206</w:t>
            </w:r>
          </w:p>
        </w:tc>
      </w:tr>
      <w:tr>
        <w:tc>
          <w:tcPr>
            <w:tcW w:type="dxa" w:w="294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Entregues no período</w:t>
            </w:r>
          </w:p>
        </w:tc>
        <w:tc>
          <w:tcPr>
            <w:tcW w:type="dxa" w:w="232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176</w:t>
            </w:r>
          </w:p>
        </w:tc>
        <w:tc>
          <w:tcPr>
            <w:tcW w:type="dxa" w:w="232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75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180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Backlog final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26</w:t>
            </w:r>
          </w:p>
        </w:tc>
      </w:tr>
      <w:tr>
        <w:tc>
          <w:tcPr>
            <w:tcW w:type="dxa" w:w="294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Taxa de resolução</w:t>
            </w:r>
          </w:p>
        </w:tc>
        <w:tc>
          <w:tcPr>
            <w:tcW w:type="dxa" w:w="232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91.7%</w:t>
            </w:r>
          </w:p>
        </w:tc>
        <w:tc>
          <w:tcPr>
            <w:tcW w:type="dxa" w:w="232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28.6%</w:t>
            </w:r>
          </w:p>
        </w:tc>
        <w:tc>
          <w:tcPr>
            <w:tcW w:type="dxa" w:w="175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87.4%</w:t>
            </w:r>
          </w:p>
        </w:tc>
      </w:tr>
      <w:tr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TMR (entregues)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43.8 h</w:t>
            </w:r>
          </w:p>
        </w:tc>
        <w:tc>
          <w:tcPr>
            <w:tcW w:type="dxa" w:w="23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820.8 h</w:t>
            </w:r>
          </w:p>
        </w:tc>
        <w:tc>
          <w:tcPr>
            <w:tcW w:type="dxa" w:w="175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61.0 h</w:t>
            </w:r>
          </w:p>
        </w:tc>
      </w:tr>
      <w:tr>
        <w:tc>
          <w:tcPr>
            <w:tcW w:type="dxa" w:w="294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Natureza (base relevante)</w:t>
            </w:r>
          </w:p>
        </w:tc>
        <w:tc>
          <w:tcPr>
            <w:tcW w:type="dxa" w:w="232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83.3% Req / 16.7% Inc</w:t>
            </w:r>
          </w:p>
        </w:tc>
        <w:tc>
          <w:tcPr>
            <w:tcW w:type="dxa" w:w="232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64.3% Req / 35.7% Inc</w:t>
            </w:r>
          </w:p>
        </w:tc>
        <w:tc>
          <w:tcPr>
            <w:tcW w:type="dxa" w:w="175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82.0% Req / 18.0% Inc</w:t>
            </w:r>
          </w:p>
        </w:tc>
      </w:tr>
    </w:tbl>
    <w:p>
      <w:r>
        <w:rPr>
          <w:i/>
          <w:color w:val="595959"/>
          <w:sz w:val="19"/>
        </w:rPr>
        <w:t>O backlog inicial é estimado pelo fluxo (Backlog final − Novos + Entregues). Sem snapshot do estado do GLPI em 01, é a melhor aproximação disponível.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240000" cy="34968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onut_naturez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49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595959"/>
          <w:sz w:val="19"/>
        </w:rPr>
        <w:t>Natureza da Demanda — base relevante do período.</w:t>
      </w:r>
    </w:p>
    <w:p>
      <w:pPr>
        <w:pStyle w:val="Heading1"/>
      </w:pPr>
      <w:r>
        <w:rPr>
          <w:color w:val="1F3864"/>
          <w:sz w:val="32"/>
        </w:rPr>
        <w:t>2. Distribuição por Categoria (base relevante)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DCE6F1"/>
            <w:vAlign w:val="center"/>
          </w:tcPr>
          <w:p>
            <w:pPr>
              <w:jc w:val="left"/>
            </w:pPr>
            <w:r/>
            <w:r>
              <w:rPr>
                <w:b/>
                <w:color w:val="1F3864"/>
                <w:sz w:val="22"/>
              </w:rPr>
              <w:t>FRENTE SUSTENTAÇÃO — 192 chamados relevantes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288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Qtd.</w:t>
            </w:r>
          </w:p>
        </w:tc>
        <w:tc>
          <w:tcPr>
            <w:tcW w:type="dxa" w:w="124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Qtd.</w:t>
            </w:r>
          </w:p>
        </w:tc>
        <w:tc>
          <w:tcPr>
            <w:tcW w:type="dxa" w:w="198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Tempo Total (h) dos entregues</w:t>
            </w:r>
          </w:p>
        </w:tc>
        <w:tc>
          <w:tcPr>
            <w:tcW w:type="dxa" w:w="141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Tempo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AGHU-X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28.1%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2118.8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27.5%</w:t>
            </w:r>
          </w:p>
        </w:tc>
      </w:tr>
      <w:tr>
        <w:tc>
          <w:tcPr>
            <w:tcW w:type="dxa" w:w="328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Intranet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44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22.9%</w:t>
            </w:r>
          </w:p>
        </w:tc>
        <w:tc>
          <w:tcPr>
            <w:tcW w:type="dxa" w:w="198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945.4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12.3%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Sem categoria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11.5%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328.4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4.3%</w:t>
            </w:r>
          </w:p>
        </w:tc>
      </w:tr>
      <w:tr>
        <w:tc>
          <w:tcPr>
            <w:tcW w:type="dxa" w:w="328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Publicação em Sites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6.8%</w:t>
            </w:r>
          </w:p>
        </w:tc>
        <w:tc>
          <w:tcPr>
            <w:tcW w:type="dxa" w:w="198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314.1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4.1%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AGHU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5.7%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1145.3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14.9%</w:t>
            </w:r>
          </w:p>
        </w:tc>
      </w:tr>
      <w:tr>
        <w:tc>
          <w:tcPr>
            <w:tcW w:type="dxa" w:w="328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API Exames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3.1%</w:t>
            </w:r>
          </w:p>
        </w:tc>
        <w:tc>
          <w:tcPr>
            <w:tcW w:type="dxa" w:w="198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392.4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5.1%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CNES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3.1%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64.0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0.8%</w:t>
            </w:r>
          </w:p>
        </w:tc>
      </w:tr>
      <w:tr>
        <w:tc>
          <w:tcPr>
            <w:tcW w:type="dxa" w:w="328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SCNES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2.6%</w:t>
            </w:r>
          </w:p>
        </w:tc>
        <w:tc>
          <w:tcPr>
            <w:tcW w:type="dxa" w:w="198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116.1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1.5%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Publicação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2.6%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233.4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3.0%</w:t>
            </w:r>
          </w:p>
        </w:tc>
      </w:tr>
      <w:tr>
        <w:tc>
          <w:tcPr>
            <w:tcW w:type="dxa" w:w="328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Desenvolvimento de aplicações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1.6%</w:t>
            </w:r>
          </w:p>
        </w:tc>
        <w:tc>
          <w:tcPr>
            <w:tcW w:type="dxa" w:w="198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94.8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1.2%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Outros (16 categorias)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11.5%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1952.2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25.4%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fill="FBE5D6"/>
            <w:vAlign w:val="center"/>
          </w:tcPr>
          <w:p>
            <w:pPr>
              <w:jc w:val="left"/>
            </w:pPr>
            <w:r/>
            <w:r>
              <w:rPr>
                <w:b/>
                <w:color w:val="C55A11"/>
                <w:sz w:val="22"/>
              </w:rPr>
              <w:t>FRENTE PROJETOS — 14 chamados relevantes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3288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Qtd.</w:t>
            </w:r>
          </w:p>
        </w:tc>
        <w:tc>
          <w:tcPr>
            <w:tcW w:type="dxa" w:w="124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Qtd.</w:t>
            </w:r>
          </w:p>
        </w:tc>
        <w:tc>
          <w:tcPr>
            <w:tcW w:type="dxa" w:w="198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Tempo Total (h) dos entregues</w:t>
            </w:r>
          </w:p>
        </w:tc>
        <w:tc>
          <w:tcPr>
            <w:tcW w:type="dxa" w:w="141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Tempo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Sistemas de Informação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28.6%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3193.7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97.3%</w:t>
            </w:r>
          </w:p>
        </w:tc>
      </w:tr>
      <w:tr>
        <w:tc>
          <w:tcPr>
            <w:tcW w:type="dxa" w:w="328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AGHU-X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21.4%</w:t>
            </w:r>
          </w:p>
        </w:tc>
        <w:tc>
          <w:tcPr>
            <w:tcW w:type="dxa" w:w="198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Sem categoria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21.4%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</w:tr>
      <w:tr>
        <w:tc>
          <w:tcPr>
            <w:tcW w:type="dxa" w:w="328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AGHU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14.3%</w:t>
            </w:r>
          </w:p>
        </w:tc>
        <w:tc>
          <w:tcPr>
            <w:tcW w:type="dxa" w:w="198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</w:tr>
      <w:tr>
        <w:tc>
          <w:tcPr>
            <w:tcW w:type="dxa" w:w="328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CNES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7.1%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</w:tr>
      <w:tr>
        <w:tc>
          <w:tcPr>
            <w:tcW w:type="dxa" w:w="3288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Impressão de Etiquetas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7.1%</w:t>
            </w:r>
          </w:p>
        </w:tc>
        <w:tc>
          <w:tcPr>
            <w:tcW w:type="dxa" w:w="198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89.4</w:t>
            </w:r>
          </w:p>
        </w:tc>
        <w:tc>
          <w:tcPr>
            <w:tcW w:type="dxa" w:w="141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2.7%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7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arras_categoria_sustentac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7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3864"/>
          <w:sz w:val="32"/>
        </w:rPr>
        <w:t>3. Frente Projetos — Detalhamento Completo</w:t>
      </w:r>
    </w:p>
    <w:p>
      <w:r>
        <w:rPr>
          <w:b w:val="0"/>
          <w:i/>
          <w:sz w:val="21"/>
        </w:rPr>
        <w:t>Lista todos os chamados de Projetos relevantes para o período: novos no mês, entregues no mês (mesmo se abertos antes) e ainda em andamento. Projetos longos permanecem visíveis enquanto ativos.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rPr>
          <w:tblHeader w:val="true"/>
        </w:trPr>
        <w:tc>
          <w:tcPr>
            <w:tcW w:type="dxa" w:w="680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835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Título</w:t>
            </w:r>
          </w:p>
        </w:tc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Origem</w:t>
            </w:r>
          </w:p>
        </w:tc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96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Abertura</w:t>
            </w:r>
          </w:p>
        </w:tc>
        <w:tc>
          <w:tcPr>
            <w:tcW w:type="dxa" w:w="96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Solução</w:t>
            </w:r>
          </w:p>
        </w:tc>
        <w:tc>
          <w:tcPr>
            <w:tcW w:type="dxa" w:w="73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Idade</w:t>
            </w:r>
          </w:p>
        </w:tc>
        <w:tc>
          <w:tcPr>
            <w:tcW w:type="dxa" w:w="107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Horas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88230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Atualização do AGHUX – Exibição de Nome Social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Em andamento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Planejado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03/08/26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58d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1403.1 (corrido)</w:t>
            </w:r>
          </w:p>
        </w:tc>
      </w:tr>
      <w:tr>
        <w:tc>
          <w:tcPr>
            <w:tcW w:type="dxa" w:w="68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88762</w:t>
            </w:r>
          </w:p>
        </w:tc>
        <w:tc>
          <w:tcPr>
            <w:tcW w:type="dxa" w:w="283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HMMG - FALHA DE ENVIO DE DADOS AO POOL DO PACIENTE - JULIMAR FERNANDE…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Em andamento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06/08/26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55d</w:t>
            </w:r>
          </w:p>
        </w:tc>
        <w:tc>
          <w:tcPr>
            <w:tcW w:type="dxa" w:w="107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1329.0 (corrido)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90096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Implementação de filtro de medicamentos fora do período de tratamento…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Em andamento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Processando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06/08/26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55d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1326.2 (corrido)</w:t>
            </w:r>
          </w:p>
        </w:tc>
      </w:tr>
      <w:tr>
        <w:tc>
          <w:tcPr>
            <w:tcW w:type="dxa" w:w="68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89063</w:t>
            </w:r>
          </w:p>
        </w:tc>
        <w:tc>
          <w:tcPr>
            <w:tcW w:type="dxa" w:w="283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HMMG - COMPLETUDE DE DADOS EM SOLICITAÇÃO DE EXAMES - JULIMAR FERNAND…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Em andamento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10/08/26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51d</w:t>
            </w:r>
          </w:p>
        </w:tc>
        <w:tc>
          <w:tcPr>
            <w:tcW w:type="dxa" w:w="107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1235.5 (corrido)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89251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HMMG - HMMG - FALHA DE VISUALIZAÇÃO DE DADOS AO POOL DO PACIENTE - JU…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Em andamento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11/08/26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50d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1210.5 (corrido)</w:t>
            </w:r>
          </w:p>
        </w:tc>
      </w:tr>
      <w:tr>
        <w:tc>
          <w:tcPr>
            <w:tcW w:type="dxa" w:w="68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89670</w:t>
            </w:r>
          </w:p>
        </w:tc>
        <w:tc>
          <w:tcPr>
            <w:tcW w:type="dxa" w:w="283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[Sistemas] Outro — Atualizacao na FA do termo sus para cns e cns para…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Em andamento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14/08/26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47d</w:t>
            </w:r>
          </w:p>
        </w:tc>
        <w:tc>
          <w:tcPr>
            <w:tcW w:type="dxa" w:w="107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1131.1 (corrido)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90378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Correções para o relatório de CID da Central de Relatórios - CCIH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Em andamento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Processando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20/08/26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41d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989.7 (corrido)</w:t>
            </w:r>
          </w:p>
        </w:tc>
      </w:tr>
      <w:tr>
        <w:tc>
          <w:tcPr>
            <w:tcW w:type="dxa" w:w="68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91217</w:t>
            </w:r>
          </w:p>
        </w:tc>
        <w:tc>
          <w:tcPr>
            <w:tcW w:type="dxa" w:w="283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AGHU X /  - Avaliar a mudança da situação padrão de pendência de exam…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Em andamento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28/08/26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33d</w:t>
            </w:r>
          </w:p>
        </w:tc>
        <w:tc>
          <w:tcPr>
            <w:tcW w:type="dxa" w:w="107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803.0 (corrido)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91279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SCNES /  - Verificação da possibilidade de eliminar a dependência do…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Em andamento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28/08/26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33d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799.5 (corrido)</w:t>
            </w:r>
          </w:p>
        </w:tc>
      </w:tr>
      <w:tr>
        <w:tc>
          <w:tcPr>
            <w:tcW w:type="dxa" w:w="68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88494</w:t>
            </w:r>
          </w:p>
        </w:tc>
        <w:tc>
          <w:tcPr>
            <w:tcW w:type="dxa" w:w="283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Criação de página de login - RMG Dashboard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Entregue no mês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Fechado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04/08/26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14/09/26</w:t>
            </w:r>
          </w:p>
        </w:tc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57d</w:t>
            </w:r>
          </w:p>
        </w:tc>
        <w:tc>
          <w:tcPr>
            <w:tcW w:type="dxa" w:w="107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985.2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88508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[Sistemas] Outro — Atualizar o Planka com código do Bruno  https://gi…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Entregue no mês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Solucionado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04/08/26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24/09/26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57d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1225.1</w:t>
            </w:r>
          </w:p>
        </w:tc>
      </w:tr>
      <w:tr>
        <w:tc>
          <w:tcPr>
            <w:tcW w:type="dxa" w:w="68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88512</w:t>
            </w:r>
          </w:p>
        </w:tc>
        <w:tc>
          <w:tcPr>
            <w:tcW w:type="dxa" w:w="283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[Sistemas] Outro — Fazer um pdf editável com o dado do prontuário pre…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Entregue no mês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Solucionado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04/08/26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14/09/26</w:t>
            </w:r>
          </w:p>
        </w:tc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57d</w:t>
            </w:r>
          </w:p>
        </w:tc>
        <w:tc>
          <w:tcPr>
            <w:tcW w:type="dxa" w:w="107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983.4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93838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Etiqueta de exames Oncologia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Fechado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21/09/26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25/09/26</w:t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9d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68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91814</w:t>
            </w:r>
          </w:p>
        </w:tc>
        <w:tc>
          <w:tcPr>
            <w:tcW w:type="dxa" w:w="283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AGHU X /  - Alteração do responsável pela grade PS Clínica Médica no…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Novo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02/09/26</w:t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29d</w:t>
            </w:r>
          </w:p>
        </w:tc>
        <w:tc>
          <w:tcPr>
            <w:tcW w:type="dxa" w:w="107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685.2 (corrido)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TOTAL CONCLUÍDO</w:t>
            </w:r>
          </w:p>
        </w:tc>
        <w:tc>
          <w:tcPr>
            <w:tcW w:type="dxa" w:w="107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3.193.7</w:t>
            </w:r>
          </w:p>
        </w:tc>
      </w:tr>
      <w:tr>
        <w:tc>
          <w:tcPr>
            <w:tcW w:type="dxa" w:w="680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2835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96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</w:r>
          </w:p>
        </w:tc>
        <w:tc>
          <w:tcPr>
            <w:tcW w:type="dxa" w:w="73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TOTAL EM ABERTO (corrido)</w:t>
            </w:r>
          </w:p>
        </w:tc>
        <w:tc>
          <w:tcPr>
            <w:tcW w:type="dxa" w:w="107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10.912.8</w:t>
            </w:r>
          </w:p>
        </w:tc>
      </w:tr>
    </w:tbl>
    <w:p>
      <w:pPr>
        <w:pStyle w:val="Heading1"/>
      </w:pPr>
      <w:r>
        <w:rPr>
          <w:color w:val="1F3864"/>
          <w:sz w:val="32"/>
        </w:rPr>
        <w:t>4. SLA por Prioridade — Frente Sustentação</w:t>
      </w:r>
    </w:p>
    <w:p>
      <w:r>
        <w:rPr>
          <w:b w:val="0"/>
          <w:i/>
          <w:sz w:val="21"/>
        </w:rPr>
        <w:t>Considera apenas chamados ENTREGUES no período (resolvidos/fechados no mês), independente de quando foram abertos.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81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124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Entregues</w:t>
            </w:r>
          </w:p>
        </w:tc>
        <w:tc>
          <w:tcPr>
            <w:tcW w:type="dxa" w:w="147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Tempo Médio</w:t>
            </w:r>
          </w:p>
        </w:tc>
        <w:tc>
          <w:tcPr>
            <w:tcW w:type="dxa" w:w="181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Faixa (mín–máx)</w:t>
            </w:r>
          </w:p>
        </w:tc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Meta SLA</w:t>
            </w:r>
          </w:p>
        </w:tc>
        <w:tc>
          <w:tcPr>
            <w:tcW w:type="dxa" w:w="1587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% Dentro do SLA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Muito Alta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26.4 h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26.4 h – 26.4 h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8.0 h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0.0%</w:t>
            </w:r>
          </w:p>
        </w:tc>
      </w:tr>
      <w:tr>
        <w:tc>
          <w:tcPr>
            <w:tcW w:type="dxa" w:w="181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Alta</w:t>
            </w:r>
          </w:p>
        </w:tc>
        <w:tc>
          <w:tcPr>
            <w:tcW w:type="dxa" w:w="124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47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46.7 h</w:t>
            </w:r>
          </w:p>
        </w:tc>
        <w:tc>
          <w:tcPr>
            <w:tcW w:type="dxa" w:w="181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 h – 151.3 h</w:t>
            </w:r>
          </w:p>
        </w:tc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24.0 h</w:t>
            </w:r>
          </w:p>
        </w:tc>
        <w:tc>
          <w:tcPr>
            <w:tcW w:type="dxa" w:w="1587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40.0%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Média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170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43.8 h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 h – 670.5 h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48.0 h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78.2%</w:t>
            </w:r>
          </w:p>
        </w:tc>
      </w:tr>
    </w:tbl>
    <w:p>
      <w:r>
        <w:rPr>
          <w:i/>
          <w:color w:val="595959"/>
          <w:sz w:val="19"/>
        </w:rPr>
        <w:t>Meta SLA configurada em CONFIG['sla_alvo_horas'].</w:t>
      </w:r>
    </w:p>
    <w:p>
      <w:r>
        <w:rPr>
          <w:i/>
          <w:color w:val="595959"/>
          <w:sz w:val="19"/>
        </w:rPr>
        <w:t>Outlier crítico (Q3 + 3·IQR = 160.0 h): chamado 89291 (AGHU), 670.5 h — considere tratá-lo à parte.</w:t>
      </w:r>
    </w:p>
    <w:p>
      <w:pPr>
        <w:pStyle w:val="Heading1"/>
      </w:pPr>
      <w:r>
        <w:rPr>
          <w:color w:val="1F3864"/>
          <w:sz w:val="32"/>
        </w:rPr>
        <w:t>5. Capacidade da Equipe — Frente Sustentação</w:t>
      </w:r>
    </w:p>
    <w:p>
      <w:r>
        <w:rPr>
          <w:b w:val="0"/>
          <w:i/>
          <w:sz w:val="21"/>
        </w:rPr>
        <w:t>Premissas: 6 analistas; 8h/dia; 20 dias úteis/mês; desconto de 11 dias úteis de férias/ausências.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1134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Sigla</w:t>
            </w:r>
          </w:p>
        </w:tc>
        <w:tc>
          <w:tcPr>
            <w:tcW w:type="dxa" w:w="5386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Descrição / Fórmula</w:t>
            </w:r>
          </w:p>
        </w:tc>
        <w:tc>
          <w:tcPr>
            <w:tcW w:type="dxa" w:w="1701"/>
            <w:vAlign w:val="center"/>
            <w:shd w:val="clear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HMM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Horas totais projetadas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960 h</w:t>
            </w:r>
          </w:p>
        </w:tc>
      </w:tr>
      <w:tr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HE</w:t>
            </w:r>
          </w:p>
        </w:tc>
        <w:tc>
          <w:tcPr>
            <w:tcW w:type="dxa" w:w="5386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Horas efetivas (descontando ausências)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872 h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HPC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Tempo registrado nos ENTREGUES do mês (Sustentação)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7705.0 h</w:t>
            </w:r>
          </w:p>
        </w:tc>
      </w:tr>
      <w:tr>
        <w:tc>
          <w:tcPr>
            <w:tcW w:type="dxa" w:w="1134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HHA</w:t>
            </w:r>
          </w:p>
        </w:tc>
        <w:tc>
          <w:tcPr>
            <w:tcW w:type="dxa" w:w="5386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Horas úteis alocadas (HPC ÷ horas/dia)</w:t>
            </w:r>
          </w:p>
        </w:tc>
        <w:tc>
          <w:tcPr>
            <w:tcW w:type="dxa" w:w="1701"/>
            <w:vAlign w:val="center"/>
            <w:shd w:val="clear" w:fill="F2F2F2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963.1 h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AD%</w:t>
            </w:r>
          </w:p>
        </w:tc>
        <w:tc>
          <w:tcPr>
            <w:tcW w:type="dxa" w:w="538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Aderência (HHA ÷ HE)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110.4%</w:t>
            </w:r>
          </w:p>
        </w:tc>
      </w:tr>
    </w:tbl>
    <w:p>
      <w:r>
        <w:rPr>
          <w:i/>
          <w:color w:val="595959"/>
          <w:sz w:val="19"/>
        </w:rPr>
        <w:t>Limitação conhecida: sem log de atividade do GLPI, todo o tempo de um chamado herdado é atribuído ao mês de solução. O HPC fica superestimado em meses com muitas entregas de chamados antigos.</w:t>
      </w:r>
    </w:p>
    <w:p>
      <w:pPr>
        <w:pStyle w:val="Heading1"/>
      </w:pPr>
      <w:r>
        <w:rPr>
          <w:color w:val="1F3864"/>
          <w:sz w:val="32"/>
        </w:rPr>
        <w:t>6. Série Histórica Gerencial</w:t>
      </w:r>
    </w:p>
    <w:p>
      <w:r>
        <w:rPr>
          <w:i/>
          <w:color w:val="595959"/>
          <w:sz w:val="19"/>
        </w:rPr>
        <w:t>A série histórica aparecerá quando houver ≥ 2 meses consolidados.</w:t>
      </w:r>
    </w:p>
    <w:p>
      <w:pPr>
        <w:pStyle w:val="Heading1"/>
      </w:pPr>
      <w:r>
        <w:rPr>
          <w:color w:val="1F3864"/>
          <w:sz w:val="32"/>
        </w:rPr>
        <w:t>7. Observações e Plano de Ação</w:t>
      </w:r>
    </w:p>
    <w:p>
      <w:r>
        <w:rPr>
          <w:b w:val="0"/>
          <w:i/>
          <w:sz w:val="21"/>
        </w:rPr>
        <w:t>Espaço para o autor completar com as ações do mês.</w:t>
      </w:r>
    </w:p>
    <w:p>
      <w:pPr>
        <w:pStyle w:val="ListBullet"/>
      </w:pPr>
      <w:r>
        <w:rPr>
          <w:sz w:val="21"/>
        </w:rPr>
        <w:t xml:space="preserve">Ação 1: </w:t>
      </w:r>
    </w:p>
    <w:p>
      <w:pPr>
        <w:pStyle w:val="ListBullet"/>
      </w:pPr>
      <w:r>
        <w:rPr>
          <w:sz w:val="21"/>
        </w:rPr>
        <w:t xml:space="preserve">Ação 2: </w:t>
      </w:r>
    </w:p>
    <w:p>
      <w:pPr>
        <w:pStyle w:val="ListBullet"/>
      </w:pPr>
      <w:r>
        <w:rPr>
          <w:sz w:val="21"/>
        </w:rPr>
        <w:t xml:space="preserve">Ação 3: 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