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40"/>
        </w:rPr>
        <w:t>Equipe de Sistemas — Sustentação &amp; Operações</w:t>
      </w:r>
    </w:p>
    <w:p>
      <w:pPr>
        <w:jc w:val="center"/>
      </w:pPr>
      <w:r>
        <w:rPr>
          <w:sz w:val="22"/>
        </w:rPr>
        <w:t>Relatório Mensal · Entidade Sistemas (14) e sub-entidades</w:t>
      </w:r>
    </w:p>
    <w:p>
      <w:pPr>
        <w:jc w:val="center"/>
      </w:pPr>
      <w:r>
        <w:rPr>
          <w:i/>
        </w:rPr>
        <w:t>Período: 01 a 30 de Setembro de 2026</w:t>
      </w:r>
    </w:p>
    <w:p>
      <w:pPr>
        <w:jc w:val="center"/>
      </w:pPr>
      <w:r>
        <w:rPr>
          <w:color w:val="595959"/>
          <w:sz w:val="18"/>
        </w:rPr>
        <w:t>Redigido por David Vieira · Gerado em 29/09/2026 12:50</w:t>
      </w:r>
    </w:p>
    <w:p/>
    <w:p>
      <w:pPr>
        <w:pStyle w:val="Heading1"/>
      </w:pPr>
      <w:r>
        <w:rPr>
          <w:color w:val="1F3864"/>
          <w:sz w:val="32"/>
        </w:rPr>
        <w:t>Visão Histórica</w:t>
      </w:r>
    </w:p>
    <w:p>
      <w:r>
        <w:rPr>
          <w:b w:val="0"/>
          <w:i w:val="0"/>
          <w:sz w:val="21"/>
        </w:rPr>
        <w:t>Período atual: 2026-09 — 180 chamados, 157 resolvidos, taxa de resolução de 87.2%.</w:t>
      </w:r>
    </w:p>
    <w:p>
      <w:r>
        <w:rPr>
          <w:i/>
          <w:color w:val="595959"/>
          <w:sz w:val="19"/>
        </w:rPr>
        <w:t>Sem período anterior para comparação.</w:t>
      </w:r>
    </w:p>
    <w:p>
      <w:r>
        <w:rPr>
          <w:i/>
          <w:color w:val="595959"/>
          <w:sz w:val="19"/>
        </w:rPr>
        <w:t>A projeção aparece quando há ≥ 3 meses de histórico.</w:t>
      </w:r>
    </w:p>
    <w:p>
      <w:pPr>
        <w:pStyle w:val="Heading1"/>
      </w:pPr>
      <w:r>
        <w:rPr>
          <w:color w:val="1F3864"/>
          <w:sz w:val="32"/>
        </w:rPr>
        <w:t>1. Painel Geral</w:t>
      </w:r>
    </w:p>
    <w:p>
      <w:r>
        <w:rPr>
          <w:b w:val="0"/>
          <w:i w:val="0"/>
          <w:sz w:val="21"/>
        </w:rPr>
        <w:t>No período, foram registrados 180 chamados.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3118"/>
            <w:vAlign w:val="center"/>
            <w:shd w:val="clear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Indicador</w:t>
            </w:r>
          </w:p>
        </w:tc>
        <w:tc>
          <w:tcPr>
            <w:tcW w:type="dxa" w:w="2268"/>
            <w:vAlign w:val="center"/>
            <w:shd w:val="clear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Sustentação</w:t>
            </w:r>
          </w:p>
        </w:tc>
        <w:tc>
          <w:tcPr>
            <w:tcW w:type="dxa" w:w="2268"/>
            <w:vAlign w:val="center"/>
            <w:shd w:val="clear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Projetos</w:t>
            </w:r>
          </w:p>
        </w:tc>
        <w:tc>
          <w:tcPr>
            <w:tcW w:type="dxa" w:w="1701"/>
            <w:vAlign w:val="center"/>
            <w:shd w:val="clear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Total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Total de Demandas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178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180</w:t>
            </w:r>
          </w:p>
        </w:tc>
      </w:tr>
      <w:tr>
        <w:tc>
          <w:tcPr>
            <w:tcW w:type="dxa" w:w="3118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Entregues</w:t>
            </w:r>
          </w:p>
        </w:tc>
        <w:tc>
          <w:tcPr>
            <w:tcW w:type="dxa" w:w="2268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156</w:t>
            </w:r>
          </w:p>
        </w:tc>
        <w:tc>
          <w:tcPr>
            <w:tcW w:type="dxa" w:w="2268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1701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157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Taxa de Resolução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87.6%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50.0%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87.2%</w:t>
            </w:r>
          </w:p>
        </w:tc>
      </w:tr>
      <w:tr>
        <w:tc>
          <w:tcPr>
            <w:tcW w:type="dxa" w:w="3118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TMR (concluídos)</w:t>
            </w:r>
          </w:p>
        </w:tc>
        <w:tc>
          <w:tcPr>
            <w:tcW w:type="dxa" w:w="2268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30.0 h</w:t>
            </w:r>
          </w:p>
        </w:tc>
        <w:tc>
          <w:tcPr>
            <w:tcW w:type="dxa" w:w="2268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89.4 h</w:t>
            </w:r>
          </w:p>
        </w:tc>
        <w:tc>
          <w:tcPr>
            <w:tcW w:type="dxa" w:w="1701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30.4 h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Natureza da Demanda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80.9% Req / 19.1% Inc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100.0% Req / 0.0% Inc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81.1% Req / 18.9% Inc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35010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donut_naturez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35010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595959"/>
          <w:sz w:val="19"/>
        </w:rPr>
        <w:t>Natureza da Demanda — visão combinada das duas frentes.</w:t>
      </w:r>
    </w:p>
    <w:p>
      <w:pPr>
        <w:pStyle w:val="Heading1"/>
      </w:pPr>
      <w:r>
        <w:rPr>
          <w:color w:val="1F3864"/>
          <w:sz w:val="32"/>
        </w:rPr>
        <w:t>2. Distribuição por Categoria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fill="DCE6F1"/>
            <w:vAlign w:val="center"/>
          </w:tcPr>
          <w:p>
            <w:pPr>
              <w:jc w:val="left"/>
            </w:pPr>
            <w:r/>
            <w:r>
              <w:rPr>
                <w:b/>
                <w:color w:val="1F3864"/>
                <w:sz w:val="22"/>
              </w:rPr>
              <w:t>FRENTE SUSTENTAÇÃO — 178 chamados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3402"/>
            <w:vAlign w:val="center"/>
            <w:shd w:val="clear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Categoria</w:t>
            </w:r>
          </w:p>
        </w:tc>
        <w:tc>
          <w:tcPr>
            <w:tcW w:type="dxa" w:w="1134"/>
            <w:vAlign w:val="center"/>
            <w:shd w:val="clear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Qtd.</w:t>
            </w:r>
          </w:p>
        </w:tc>
        <w:tc>
          <w:tcPr>
            <w:tcW w:type="dxa" w:w="1247"/>
            <w:vAlign w:val="center"/>
            <w:shd w:val="clear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% Qtd.</w:t>
            </w:r>
          </w:p>
        </w:tc>
        <w:tc>
          <w:tcPr>
            <w:tcW w:type="dxa" w:w="1871"/>
            <w:vAlign w:val="center"/>
            <w:shd w:val="clear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Tempo Total (h)</w:t>
            </w:r>
          </w:p>
        </w:tc>
        <w:tc>
          <w:tcPr>
            <w:tcW w:type="dxa" w:w="1417"/>
            <w:vAlign w:val="center"/>
            <w:shd w:val="clear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% Tempo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AGHU-X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49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27.5%</w:t>
            </w:r>
          </w:p>
        </w:tc>
        <w:tc>
          <w:tcPr>
            <w:tcW w:type="dxa" w:w="18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1429.6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30.6%</w:t>
            </w:r>
          </w:p>
        </w:tc>
      </w:tr>
      <w:tr>
        <w:tc>
          <w:tcPr>
            <w:tcW w:type="dxa" w:w="3402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Intranet</w:t>
            </w:r>
          </w:p>
        </w:tc>
        <w:tc>
          <w:tcPr>
            <w:tcW w:type="dxa" w:w="1134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37</w:t>
            </w:r>
          </w:p>
        </w:tc>
        <w:tc>
          <w:tcPr>
            <w:tcW w:type="dxa" w:w="1247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20.8%</w:t>
            </w:r>
          </w:p>
        </w:tc>
        <w:tc>
          <w:tcPr>
            <w:tcW w:type="dxa" w:w="1871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649.7</w:t>
            </w:r>
          </w:p>
        </w:tc>
        <w:tc>
          <w:tcPr>
            <w:tcW w:type="dxa" w:w="1417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13.9%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Sem categoria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27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15.2%</w:t>
            </w:r>
          </w:p>
        </w:tc>
        <w:tc>
          <w:tcPr>
            <w:tcW w:type="dxa" w:w="18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328.4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7.0%</w:t>
            </w:r>
          </w:p>
        </w:tc>
      </w:tr>
      <w:tr>
        <w:tc>
          <w:tcPr>
            <w:tcW w:type="dxa" w:w="3402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AGHU</w:t>
            </w:r>
          </w:p>
        </w:tc>
        <w:tc>
          <w:tcPr>
            <w:tcW w:type="dxa" w:w="1134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247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5.6%</w:t>
            </w:r>
          </w:p>
        </w:tc>
        <w:tc>
          <w:tcPr>
            <w:tcW w:type="dxa" w:w="1871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474.8</w:t>
            </w:r>
          </w:p>
        </w:tc>
        <w:tc>
          <w:tcPr>
            <w:tcW w:type="dxa" w:w="1417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10.2%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Publicação em Sites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5.6%</w:t>
            </w:r>
          </w:p>
        </w:tc>
        <w:tc>
          <w:tcPr>
            <w:tcW w:type="dxa" w:w="18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261.4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5.6%</w:t>
            </w:r>
          </w:p>
        </w:tc>
      </w:tr>
      <w:tr>
        <w:tc>
          <w:tcPr>
            <w:tcW w:type="dxa" w:w="3402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API Exames</w:t>
            </w:r>
          </w:p>
        </w:tc>
        <w:tc>
          <w:tcPr>
            <w:tcW w:type="dxa" w:w="1134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1247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3.4%</w:t>
            </w:r>
          </w:p>
        </w:tc>
        <w:tc>
          <w:tcPr>
            <w:tcW w:type="dxa" w:w="1871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248.0</w:t>
            </w:r>
          </w:p>
        </w:tc>
        <w:tc>
          <w:tcPr>
            <w:tcW w:type="dxa" w:w="1417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5.3%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Publicação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2.8%</w:t>
            </w:r>
          </w:p>
        </w:tc>
        <w:tc>
          <w:tcPr>
            <w:tcW w:type="dxa" w:w="18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233.4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5.0%</w:t>
            </w:r>
          </w:p>
        </w:tc>
      </w:tr>
      <w:tr>
        <w:tc>
          <w:tcPr>
            <w:tcW w:type="dxa" w:w="3402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SCNES</w:t>
            </w:r>
          </w:p>
        </w:tc>
        <w:tc>
          <w:tcPr>
            <w:tcW w:type="dxa" w:w="1134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1247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2.8%</w:t>
            </w:r>
          </w:p>
        </w:tc>
        <w:tc>
          <w:tcPr>
            <w:tcW w:type="dxa" w:w="1871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116.1</w:t>
            </w:r>
          </w:p>
        </w:tc>
        <w:tc>
          <w:tcPr>
            <w:tcW w:type="dxa" w:w="1417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2.5%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CNES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2.2%</w:t>
            </w:r>
          </w:p>
        </w:tc>
        <w:tc>
          <w:tcPr>
            <w:tcW w:type="dxa" w:w="18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22.7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0.5%</w:t>
            </w:r>
          </w:p>
        </w:tc>
      </w:tr>
      <w:tr>
        <w:tc>
          <w:tcPr>
            <w:tcW w:type="dxa" w:w="3402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Desenvolvimento de aplicações</w:t>
            </w:r>
          </w:p>
        </w:tc>
        <w:tc>
          <w:tcPr>
            <w:tcW w:type="dxa" w:w="1134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1247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1.7%</w:t>
            </w:r>
          </w:p>
        </w:tc>
        <w:tc>
          <w:tcPr>
            <w:tcW w:type="dxa" w:w="1871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94.8</w:t>
            </w:r>
          </w:p>
        </w:tc>
        <w:tc>
          <w:tcPr>
            <w:tcW w:type="dxa" w:w="1417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2.0%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Outros (15 categorias)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22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12.5%</w:t>
            </w:r>
          </w:p>
        </w:tc>
        <w:tc>
          <w:tcPr>
            <w:tcW w:type="dxa" w:w="18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818.1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17.5%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fill="FBE5D6"/>
            <w:vAlign w:val="center"/>
          </w:tcPr>
          <w:p>
            <w:pPr>
              <w:jc w:val="left"/>
            </w:pPr>
            <w:r/>
            <w:r>
              <w:rPr>
                <w:b/>
                <w:color w:val="C55A11"/>
                <w:sz w:val="22"/>
              </w:rPr>
              <w:t>FRENTE PROJETOS — 2 chamados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3402"/>
            <w:vAlign w:val="center"/>
            <w:shd w:val="clear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Categoria</w:t>
            </w:r>
          </w:p>
        </w:tc>
        <w:tc>
          <w:tcPr>
            <w:tcW w:type="dxa" w:w="1134"/>
            <w:vAlign w:val="center"/>
            <w:shd w:val="clear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Qtd.</w:t>
            </w:r>
          </w:p>
        </w:tc>
        <w:tc>
          <w:tcPr>
            <w:tcW w:type="dxa" w:w="1247"/>
            <w:vAlign w:val="center"/>
            <w:shd w:val="clear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% Qtd.</w:t>
            </w:r>
          </w:p>
        </w:tc>
        <w:tc>
          <w:tcPr>
            <w:tcW w:type="dxa" w:w="1871"/>
            <w:vAlign w:val="center"/>
            <w:shd w:val="clear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Tempo Total (h)</w:t>
            </w:r>
          </w:p>
        </w:tc>
        <w:tc>
          <w:tcPr>
            <w:tcW w:type="dxa" w:w="1417"/>
            <w:vAlign w:val="center"/>
            <w:shd w:val="clear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% Tempo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AGHU-X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50.0%</w:t>
            </w:r>
          </w:p>
        </w:tc>
        <w:tc>
          <w:tcPr>
            <w:tcW w:type="dxa" w:w="18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0.0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0.0%</w:t>
            </w:r>
          </w:p>
        </w:tc>
      </w:tr>
      <w:tr>
        <w:tc>
          <w:tcPr>
            <w:tcW w:type="dxa" w:w="3402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Impressão de Etiquetas</w:t>
            </w:r>
          </w:p>
        </w:tc>
        <w:tc>
          <w:tcPr>
            <w:tcW w:type="dxa" w:w="1134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1247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50.0%</w:t>
            </w:r>
          </w:p>
        </w:tc>
        <w:tc>
          <w:tcPr>
            <w:tcW w:type="dxa" w:w="1871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89.4</w:t>
            </w:r>
          </w:p>
        </w:tc>
        <w:tc>
          <w:tcPr>
            <w:tcW w:type="dxa" w:w="1417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100.0%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3675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barras_categoria_sustentaca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675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color w:val="1F3864"/>
          <w:sz w:val="32"/>
        </w:rPr>
        <w:t>3. Frente Projetos — Detalhamento Completo</w:t>
      </w:r>
    </w:p>
    <w:p>
      <w:r>
        <w:rPr>
          <w:b w:val="0"/>
          <w:i/>
          <w:sz w:val="21"/>
        </w:rPr>
        <w:t>Chamados fora da entidade Sistemas. Para os concluídos, "Horas" é tempo útil; para os abertos, é o tempo corrido desde a abertura até agora — não é tempo de trabalho efetivo.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 w:val="true"/>
        </w:trPr>
        <w:tc>
          <w:tcPr>
            <w:tcW w:type="dxa" w:w="737"/>
            <w:vAlign w:val="center"/>
            <w:shd w:val="clear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3685"/>
            <w:vAlign w:val="center"/>
            <w:shd w:val="clear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Título</w:t>
            </w:r>
          </w:p>
        </w:tc>
        <w:tc>
          <w:tcPr>
            <w:tcW w:type="dxa" w:w="1304"/>
            <w:vAlign w:val="center"/>
            <w:shd w:val="clear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1304"/>
            <w:vAlign w:val="center"/>
            <w:shd w:val="clear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Abertura</w:t>
            </w:r>
          </w:p>
        </w:tc>
        <w:tc>
          <w:tcPr>
            <w:tcW w:type="dxa" w:w="1304"/>
            <w:vAlign w:val="center"/>
            <w:shd w:val="clear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Solução</w:t>
            </w:r>
          </w:p>
        </w:tc>
        <w:tc>
          <w:tcPr>
            <w:tcW w:type="dxa" w:w="1134"/>
            <w:vAlign w:val="center"/>
            <w:shd w:val="clear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Horas</w:t>
            </w:r>
          </w:p>
        </w:tc>
      </w:tr>
      <w:tr>
        <w:tc>
          <w:tcPr>
            <w:tcW w:type="dxa" w:w="73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91814</w:t>
            </w:r>
          </w:p>
        </w:tc>
        <w:tc>
          <w:tcPr>
            <w:tcW w:type="dxa" w:w="368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AGHU X /  - Alteração do responsável pela grade PS Clínica Médica no…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Novo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02/09 07:59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652.8 (corrido)</w:t>
            </w:r>
          </w:p>
        </w:tc>
      </w:tr>
      <w:tr>
        <w:tc>
          <w:tcPr>
            <w:tcW w:type="dxa" w:w="737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93838</w:t>
            </w:r>
          </w:p>
        </w:tc>
        <w:tc>
          <w:tcPr>
            <w:tcW w:type="dxa" w:w="3685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Etiqueta de exames Oncologia</w:t>
            </w:r>
          </w:p>
        </w:tc>
        <w:tc>
          <w:tcPr>
            <w:tcW w:type="dxa" w:w="1304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Fechado</w:t>
            </w:r>
          </w:p>
        </w:tc>
        <w:tc>
          <w:tcPr>
            <w:tcW w:type="dxa" w:w="1304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21/09 15:03</w:t>
            </w:r>
          </w:p>
        </w:tc>
        <w:tc>
          <w:tcPr>
            <w:tcW w:type="dxa" w:w="1304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25/09 08:31</w:t>
            </w:r>
          </w:p>
        </w:tc>
        <w:tc>
          <w:tcPr>
            <w:tcW w:type="dxa" w:w="1134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89.5</w:t>
            </w:r>
          </w:p>
        </w:tc>
      </w:tr>
      <w:tr>
        <w:tc>
          <w:tcPr>
            <w:tcW w:type="dxa" w:w="73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368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TOTAL CONCLUÍDO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89.5</w:t>
            </w:r>
          </w:p>
        </w:tc>
      </w:tr>
      <w:tr>
        <w:tc>
          <w:tcPr>
            <w:tcW w:type="dxa" w:w="737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3685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1304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1304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1304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TOTAL EM ABERTO (corrido)</w:t>
            </w:r>
          </w:p>
        </w:tc>
        <w:tc>
          <w:tcPr>
            <w:tcW w:type="dxa" w:w="1134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652.8</w:t>
            </w:r>
          </w:p>
        </w:tc>
      </w:tr>
    </w:tbl>
    <w:p>
      <w:pPr>
        <w:pStyle w:val="Heading1"/>
      </w:pPr>
      <w:r>
        <w:rPr>
          <w:color w:val="1F3864"/>
          <w:sz w:val="32"/>
        </w:rPr>
        <w:t>4. SLA por Prioridade — Frente Sustentação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 w:val="true"/>
        </w:trPr>
        <w:tc>
          <w:tcPr>
            <w:tcW w:type="dxa" w:w="1814"/>
            <w:vAlign w:val="center"/>
            <w:shd w:val="clear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Prioridade</w:t>
            </w:r>
          </w:p>
        </w:tc>
        <w:tc>
          <w:tcPr>
            <w:tcW w:type="dxa" w:w="1247"/>
            <w:vAlign w:val="center"/>
            <w:shd w:val="clear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Resolvidos</w:t>
            </w:r>
          </w:p>
        </w:tc>
        <w:tc>
          <w:tcPr>
            <w:tcW w:type="dxa" w:w="1474"/>
            <w:vAlign w:val="center"/>
            <w:shd w:val="clear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Tempo Médio</w:t>
            </w:r>
          </w:p>
        </w:tc>
        <w:tc>
          <w:tcPr>
            <w:tcW w:type="dxa" w:w="1814"/>
            <w:vAlign w:val="center"/>
            <w:shd w:val="clear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Faixa (mín–máx)</w:t>
            </w:r>
          </w:p>
        </w:tc>
        <w:tc>
          <w:tcPr>
            <w:tcW w:type="dxa" w:w="1134"/>
            <w:vAlign w:val="center"/>
            <w:shd w:val="clear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Meta SLA</w:t>
            </w:r>
          </w:p>
        </w:tc>
        <w:tc>
          <w:tcPr>
            <w:tcW w:type="dxa" w:w="1587"/>
            <w:vAlign w:val="center"/>
            <w:shd w:val="clear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% Dentro do SLA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Muito Alta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147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26.4 h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26.4 h – 26.4 h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8.0 h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0.0%</w:t>
            </w:r>
          </w:p>
        </w:tc>
      </w:tr>
      <w:tr>
        <w:tc>
          <w:tcPr>
            <w:tcW w:type="dxa" w:w="1814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Alta</w:t>
            </w:r>
          </w:p>
        </w:tc>
        <w:tc>
          <w:tcPr>
            <w:tcW w:type="dxa" w:w="1247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1474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46.7 h</w:t>
            </w:r>
          </w:p>
        </w:tc>
        <w:tc>
          <w:tcPr>
            <w:tcW w:type="dxa" w:w="1814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0.1 h – 151.3 h</w:t>
            </w:r>
          </w:p>
        </w:tc>
        <w:tc>
          <w:tcPr>
            <w:tcW w:type="dxa" w:w="1134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24.0 h</w:t>
            </w:r>
          </w:p>
        </w:tc>
        <w:tc>
          <w:tcPr>
            <w:tcW w:type="dxa" w:w="1587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40.0%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Média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150</w:t>
            </w:r>
          </w:p>
        </w:tc>
        <w:tc>
          <w:tcPr>
            <w:tcW w:type="dxa" w:w="147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29.4 h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0.0 h – 335.5 h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48.0 h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80.0%</w:t>
            </w:r>
          </w:p>
        </w:tc>
      </w:tr>
    </w:tbl>
    <w:p>
      <w:r>
        <w:rPr>
          <w:i/>
          <w:color w:val="595959"/>
          <w:sz w:val="19"/>
        </w:rPr>
        <w:t>A coluna '% Dentro do SLA' compara o tempo útil do chamado com a meta configurada em CONFIG['sla_alvo_horas'].</w:t>
      </w:r>
    </w:p>
    <w:p>
      <w:r>
        <w:rPr>
          <w:i/>
          <w:color w:val="595959"/>
          <w:sz w:val="19"/>
        </w:rPr>
        <w:t>Outlier crítico (Q3 + 3·IQR = 102.2 h): chamado 93802 (Extração de dados AGHU), 335.5 h. Considere tratá-lo à parte em análises de SLA.</w:t>
      </w:r>
    </w:p>
    <w:p>
      <w:pPr>
        <w:pStyle w:val="Heading1"/>
      </w:pPr>
      <w:r>
        <w:rPr>
          <w:color w:val="1F3864"/>
          <w:sz w:val="32"/>
        </w:rPr>
        <w:t>5. Capacidade da Equipe — Frente Sustentação</w:t>
      </w:r>
    </w:p>
    <w:p>
      <w:r>
        <w:rPr>
          <w:b w:val="0"/>
          <w:i/>
          <w:sz w:val="21"/>
        </w:rPr>
        <w:t>Premissas: 6 analistas; 8h/dia; 20 dias úteis/mês; desconto de 11 dias úteis de férias/ausências.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134"/>
            <w:vAlign w:val="center"/>
            <w:shd w:val="clear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Sigla</w:t>
            </w:r>
          </w:p>
        </w:tc>
        <w:tc>
          <w:tcPr>
            <w:tcW w:type="dxa" w:w="5386"/>
            <w:vAlign w:val="center"/>
            <w:shd w:val="clear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Descrição / Fórmula</w:t>
            </w:r>
          </w:p>
        </w:tc>
        <w:tc>
          <w:tcPr>
            <w:tcW w:type="dxa" w:w="1701"/>
            <w:vAlign w:val="center"/>
            <w:shd w:val="clear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Valor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HMM</w:t>
            </w:r>
          </w:p>
        </w:tc>
        <w:tc>
          <w:tcPr>
            <w:tcW w:type="dxa" w:w="538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Horas totais projetadas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960 h</w:t>
            </w:r>
          </w:p>
        </w:tc>
      </w:tr>
      <w:tr>
        <w:tc>
          <w:tcPr>
            <w:tcW w:type="dxa" w:w="1134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HE</w:t>
            </w:r>
          </w:p>
        </w:tc>
        <w:tc>
          <w:tcPr>
            <w:tcW w:type="dxa" w:w="5386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Horas efetivas (descontando ausências)</w:t>
            </w:r>
          </w:p>
        </w:tc>
        <w:tc>
          <w:tcPr>
            <w:tcW w:type="dxa" w:w="1701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872 h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HPC</w:t>
            </w:r>
          </w:p>
        </w:tc>
        <w:tc>
          <w:tcPr>
            <w:tcW w:type="dxa" w:w="538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Tempo total registrado (Sustentação, concluídos)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4677.1 h</w:t>
            </w:r>
          </w:p>
        </w:tc>
      </w:tr>
      <w:tr>
        <w:tc>
          <w:tcPr>
            <w:tcW w:type="dxa" w:w="1134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HHA</w:t>
            </w:r>
          </w:p>
        </w:tc>
        <w:tc>
          <w:tcPr>
            <w:tcW w:type="dxa" w:w="5386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Horas úteis alocadas (HPC ÷ horas/dia)</w:t>
            </w:r>
          </w:p>
        </w:tc>
        <w:tc>
          <w:tcPr>
            <w:tcW w:type="dxa" w:w="1701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584.6 h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AD%</w:t>
            </w:r>
          </w:p>
        </w:tc>
        <w:tc>
          <w:tcPr>
            <w:tcW w:type="dxa" w:w="538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Aderência (HHA ÷ HE)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67.0%</w:t>
            </w:r>
          </w:p>
        </w:tc>
      </w:tr>
    </w:tbl>
    <w:p>
      <w:pPr>
        <w:pStyle w:val="Heading1"/>
      </w:pPr>
      <w:r>
        <w:rPr>
          <w:color w:val="1F3864"/>
          <w:sz w:val="32"/>
        </w:rPr>
        <w:t>6. Série Histórica Gerencial</w:t>
      </w:r>
    </w:p>
    <w:p>
      <w:r>
        <w:rPr>
          <w:i/>
          <w:color w:val="595959"/>
          <w:sz w:val="19"/>
        </w:rPr>
        <w:t>A série histórica aparecerá quando houver ≥ 2 meses consolidados.</w:t>
      </w:r>
    </w:p>
    <w:p>
      <w:pPr>
        <w:pStyle w:val="Heading1"/>
      </w:pPr>
      <w:r>
        <w:rPr>
          <w:color w:val="1F3864"/>
          <w:sz w:val="32"/>
        </w:rPr>
        <w:t>7. Observações e Plano de Ação</w:t>
      </w:r>
    </w:p>
    <w:p>
      <w:r>
        <w:rPr>
          <w:b w:val="0"/>
          <w:i/>
          <w:sz w:val="21"/>
        </w:rPr>
        <w:t>Espaço para o autor completar com as ações do mês:</w:t>
      </w:r>
    </w:p>
    <w:p>
      <w:pPr>
        <w:pStyle w:val="ListBullet"/>
      </w:pPr>
      <w:r>
        <w:rPr>
          <w:sz w:val="21"/>
        </w:rPr>
        <w:t xml:space="preserve">Ação 1: </w:t>
      </w:r>
    </w:p>
    <w:p>
      <w:pPr>
        <w:pStyle w:val="ListBullet"/>
      </w:pPr>
      <w:r>
        <w:rPr>
          <w:sz w:val="21"/>
        </w:rPr>
        <w:t xml:space="preserve">Ação 2: </w:t>
      </w:r>
    </w:p>
    <w:p>
      <w:pPr>
        <w:pStyle w:val="ListBullet"/>
      </w:pPr>
      <w:r>
        <w:rPr>
          <w:sz w:val="21"/>
        </w:rPr>
        <w:t xml:space="preserve">Ação 3: 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