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Equipe de Sistemas — Sustentação &amp; Operações</w:t>
      </w:r>
    </w:p>
    <w:p>
      <w:pPr>
        <w:jc w:val="center"/>
      </w:pPr>
      <w:r>
        <w:rPr>
          <w:sz w:val="22"/>
        </w:rPr>
        <w:t>Relatório Mensal · Entidade Sistemas (14) e sub-entidades</w:t>
      </w:r>
    </w:p>
    <w:p>
      <w:pPr>
        <w:jc w:val="center"/>
      </w:pPr>
      <w:r>
        <w:rPr>
          <w:i/>
        </w:rPr>
        <w:t>Período: 01 a 31 de Agosto de 2026</w:t>
      </w:r>
    </w:p>
    <w:p>
      <w:pPr>
        <w:jc w:val="center"/>
      </w:pPr>
      <w:r>
        <w:rPr>
          <w:color w:val="595959"/>
          <w:sz w:val="18"/>
        </w:rPr>
        <w:t>Redigido por David Vieira · Gerado automaticamente em 09/09/2026 20:44</w:t>
      </w:r>
    </w:p>
    <w:p/>
    <w:p>
      <w:pPr>
        <w:pStyle w:val="Heading1"/>
      </w:pPr>
      <w:r>
        <w:rPr>
          <w:color w:val="1F3864"/>
          <w:sz w:val="32"/>
        </w:rPr>
        <w:t>1. Painel Geral</w:t>
      </w:r>
    </w:p>
    <w:p>
      <w:r>
        <w:rPr>
          <w:b w:val="0"/>
          <w:i w:val="0"/>
          <w:sz w:val="21"/>
        </w:rPr>
        <w:t>No período, foram registrados 141 chamados. Consolidando as duas frentes: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11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de Demandas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141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Entregues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121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Taxa de Resolução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93.0%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85.8%</w:t>
            </w:r>
          </w:p>
        </w:tc>
      </w:tr>
      <w:tr>
        <w:tc>
          <w:tcPr>
            <w:tcW w:type="dxa" w:w="311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TMR (concluídos)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34.6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380.7 h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37.4 h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Natureza da Demanda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76.0% Req / 24.0% Inc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58.3% Req / 41.7% Inc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74.5% Req / 25.5% Inc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135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nut_natu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3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Natureza da Demanda — visão combinada das duas frentes.</w:t>
      </w:r>
    </w:p>
    <w:p>
      <w:pPr>
        <w:pStyle w:val="Heading1"/>
      </w:pPr>
      <w:r>
        <w:rPr>
          <w:color w:val="1F3864"/>
          <w:sz w:val="32"/>
        </w:rPr>
        <w:t>2. Distribuição por Categoria</w:t>
      </w:r>
    </w:p>
    <w:p>
      <w:pPr>
        <w:spacing w:before="120" w:after="200"/>
        <w:shd w:val="clear" w:fill="DCE6F1"/>
      </w:pPr>
      <w:r>
        <w:rPr>
          <w:b/>
          <w:color w:val="1F3864"/>
          <w:sz w:val="22"/>
        </w:rPr>
        <w:t>FRENTE SUSTENTAÇÃO — 129 chamados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31.8%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844.5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20.3%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Intranet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29.5%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1126.7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27.1%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site Institucional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11.6%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324.5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7.8%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Processo Seletivo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45.7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1.1%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5.4%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2.2%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3.9%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34.3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LIS x AGHU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152.7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ChatBot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596.6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14.4%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Etiquetas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667.9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16.1%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Mapa de Dietas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72.8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1.8%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Outros (6 categorias)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4.8%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193.3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4.5%</w:t>
            </w:r>
          </w:p>
        </w:tc>
      </w:tr>
    </w:tbl>
    <w:p/>
    <w:p>
      <w:pPr>
        <w:spacing w:before="120" w:after="200"/>
        <w:shd w:val="clear" w:fill="FBE5D6"/>
      </w:pPr>
      <w:r>
        <w:rPr>
          <w:b/>
          <w:color w:val="C55A11"/>
          <w:sz w:val="22"/>
        </w:rPr>
        <w:t>FRENTE PROJETOS — 12 chamados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402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87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41.7%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APAC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API-EXAMES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Central de Relatórios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IBC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380.7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Planka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RMG Dashboard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402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8.3%</w:t>
            </w:r>
          </w:p>
        </w:tc>
        <w:tc>
          <w:tcPr>
            <w:tcW w:type="dxa" w:w="187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7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rras_categoria_susten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3. Frente Projetos — Detalhamento Completo</w:t>
      </w:r>
    </w:p>
    <w:p>
      <w:r>
        <w:rPr>
          <w:b w:val="0"/>
          <w:i/>
          <w:sz w:val="21"/>
        </w:rPr>
        <w:t>Chamados fora da entidade Sistemas, com status, datas e horas decorridas. Para os que ainda estão em aberto, a coluna de horas é o acumulado desde a abertura até agora — não é tempo de trabalho efetivo, apenas tempo corrido.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3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130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88230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Atualização do AGHUX – Exibição de Nome Social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03/08 10:02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898.7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88282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Não Informado / API-IBC - Correção de dados retornados após cancelame…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03/08 12:50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19/08 09:34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380.7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88494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Criação de página de login - RMG Dashboard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 13:47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871.0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88508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Atualizar o Planka com código do Bruno https://git…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 15:10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869.6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88512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Fazer um pdf editável com o dado do prontuário pre…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 15:32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869.2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88762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 FALHA DE ENVIO DE DADOS AO POOL DO PACIENTE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 12:08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824.6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90096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Implementação de filtro de medicamentos fora do período de tratamento…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 15:00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821.7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89063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 COMPLETUDE DE DADOS EM SOLICITAÇÃO DE EXAMES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10/08 09:40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731.1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89251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 HMMG - FALHA DE VISUALIZAÇÃO DE DADOS AO POOL DO PACIENTE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11/08 10:40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706.1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90378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Correções para o relatório de CID da Central de Relatórios - CCIH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20/08 15:30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485.2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91217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- Avaliar a mudança da situação padrão de pendência de exame…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 10:11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298.6</w:t>
            </w:r>
          </w:p>
        </w:tc>
      </w:tr>
      <w:tr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91279</w:t>
            </w:r>
          </w:p>
        </w:tc>
        <w:tc>
          <w:tcPr>
            <w:tcW w:type="dxa" w:w="368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 / - Verificação da possibilidade de eliminar a dependência do b…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 13:40</w:t>
            </w:r>
          </w:p>
        </w:tc>
        <w:tc>
          <w:tcPr>
            <w:tcW w:type="dxa" w:w="130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295.1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ACUMULADO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8.051.5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4. SLA por Prioridade — Frente Sustentação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55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Resolvidos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type="dxa" w:w="226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Faixa (mín–máx)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Crítica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71.5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71.5 h – 71.5 h</w:t>
            </w:r>
          </w:p>
        </w:tc>
      </w:tr>
      <w:tr>
        <w:tc>
          <w:tcPr>
            <w:tcW w:type="dxa" w:w="255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Alta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7.8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 h – 20.9 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34.8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2.8 h – 124.3 h</w:t>
            </w:r>
          </w:p>
        </w:tc>
      </w:tr>
      <w:tr>
        <w:tc>
          <w:tcPr>
            <w:tcW w:type="dxa" w:w="255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107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29.1 h</w:t>
            </w:r>
          </w:p>
        </w:tc>
        <w:tc>
          <w:tcPr>
            <w:tcW w:type="dxa" w:w="226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 h – 328.8 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Baixa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244.7 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18.1 h – 667.9 h</w:t>
            </w:r>
          </w:p>
        </w:tc>
      </w:tr>
    </w:tbl>
    <w:p>
      <w:r>
        <w:rPr>
          <w:i/>
          <w:color w:val="595959"/>
          <w:sz w:val="19"/>
        </w:rPr>
        <w:t>Outlier identificado automaticamente (regra do IQR): chamado 88306 (Etiquetas), 667.9h — muito acima do restante da amostra. Considere excluí-lo de médias de SLA e tratá-lo à parte.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7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tter_sustent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5. Capacidade da Equipe — Frente Sustentação</w:t>
      </w:r>
    </w:p>
    <w:p>
      <w:r>
        <w:rPr>
          <w:b w:val="0"/>
          <w:i/>
          <w:sz w:val="21"/>
        </w:rPr>
        <w:t>Premissas: 6 analistas; jornada de 8h/dia; 20 dias úteis no mês; desconto de 11 dias úteis de férias/ausências no período.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386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totais projetadas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HE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efetivas (descontando ausências)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872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HPC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Tempo total decorrido registrado (Sustentação, concluídos)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4150.7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HHA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úteis alocadas (HPC ÷ horas/dia)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518.8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AD%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Aderência (HHA ÷ HE)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59.5%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103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izza_horas_fr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10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6. Padrão Recorrente Detectado — Censo/Pool de Pacientes (AGHU)</w:t>
      </w:r>
    </w:p>
    <w:p>
      <w:r>
        <w:rPr>
          <w:b w:val="0"/>
          <w:i w:val="0"/>
          <w:sz w:val="21"/>
        </w:rPr>
        <w:t>12 chamados no período mencionam os termos configurados (censo, leito, alta manti, pool d[eo] pacient, fora do censo) — 10 na frente Sustentação e 2 na frente Projetos.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97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nha_recorr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7. Observações e Plano de Ação</w:t>
      </w:r>
    </w:p>
    <w:p>
      <w:r>
        <w:rPr>
          <w:b w:val="0"/>
          <w:i/>
          <w:sz w:val="21"/>
        </w:rPr>
        <w:t>Espaço para o autor do relatório completar com as ações do mês (este bloco é só um roteiro — edite livremente após gerar o .docx):</w:t>
      </w:r>
    </w:p>
    <w:p>
      <w:pPr>
        <w:pStyle w:val="ListBullet"/>
      </w:pPr>
      <w:r>
        <w:rPr>
          <w:sz w:val="21"/>
        </w:rPr>
        <w:t xml:space="preserve">Ação 1: </w:t>
      </w:r>
    </w:p>
    <w:p>
      <w:pPr>
        <w:pStyle w:val="ListBullet"/>
      </w:pPr>
      <w:r>
        <w:rPr>
          <w:sz w:val="21"/>
        </w:rPr>
        <w:t xml:space="preserve">Ação 2: </w:t>
      </w:r>
    </w:p>
    <w:p>
      <w:pPr>
        <w:pStyle w:val="ListBullet"/>
      </w:pPr>
      <w:r>
        <w:rPr>
          <w:sz w:val="21"/>
        </w:rPr>
        <w:t xml:space="preserve">Ação 3: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