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864"/>
          <w:sz w:val="40"/>
        </w:rPr>
        <w:t>Equipe de Sistemas — Sustentação &amp; Operações</w:t>
      </w:r>
    </w:p>
    <w:p>
      <w:pPr>
        <w:jc w:val="center"/>
      </w:pPr>
      <w:r>
        <w:rPr>
          <w:sz w:val="22"/>
        </w:rPr>
        <w:t>Relatório Mensal · Entidade Sistemas (14) e sub-entidades</w:t>
      </w:r>
    </w:p>
    <w:p>
      <w:pPr>
        <w:jc w:val="center"/>
      </w:pPr>
      <w:r>
        <w:rPr>
          <w:i/>
        </w:rPr>
        <w:t>Período: 01 a 31 de Agosto de 2026</w:t>
      </w:r>
    </w:p>
    <w:p>
      <w:pPr>
        <w:jc w:val="center"/>
      </w:pPr>
      <w:r>
        <w:rPr>
          <w:color w:val="595959"/>
          <w:sz w:val="18"/>
        </w:rPr>
        <w:t>Redigido por David Vieira · Gerado automaticamente em 16/09/2026 22:31</w:t>
      </w:r>
    </w:p>
    <w:p/>
    <w:p>
      <w:pPr>
        <w:pStyle w:val="Heading1"/>
      </w:pPr>
      <w:r>
        <w:rPr>
          <w:color w:val="1F3864"/>
          <w:sz w:val="32"/>
        </w:rPr>
        <w:t>Visão Histórica</w:t>
      </w:r>
    </w:p>
    <w:p>
      <w:r>
        <w:rPr>
          <w:b w:val="0"/>
          <w:i w:val="0"/>
          <w:sz w:val="21"/>
        </w:rPr>
        <w:t>Período atual: 2026-08 — 12 chamados, 9 resolvidos e taxa de resolução de 75.0%.</w:t>
      </w:r>
    </w:p>
    <w:p>
      <w:r>
        <w:rPr>
          <w:i/>
          <w:color w:val="595959"/>
          <w:sz w:val="19"/>
        </w:rPr>
        <w:t>Ainda não há outro período histórico disponível para comparação.</w:t>
      </w:r>
    </w:p>
    <w:p>
      <w:r>
        <w:rPr>
          <w:i/>
          <w:color w:val="595959"/>
          <w:sz w:val="19"/>
        </w:rPr>
        <w:t>A tendência será exibida quando houver pelo menos três meses históricos.</w:t>
      </w:r>
    </w:p>
    <w:p>
      <w:r>
        <w:rPr>
          <w:i/>
          <w:color w:val="595959"/>
          <w:sz w:val="19"/>
        </w:rPr>
        <w:t>A projeção será exibida quando houver pelo menos três meses históricos.</w:t>
      </w:r>
    </w:p>
    <w:p>
      <w:pPr>
        <w:pStyle w:val="Heading1"/>
      </w:pPr>
      <w:r>
        <w:rPr>
          <w:color w:val="1F3864"/>
          <w:sz w:val="32"/>
        </w:rPr>
        <w:t>1. Painel Geral</w:t>
      </w:r>
    </w:p>
    <w:p>
      <w:r>
        <w:rPr>
          <w:b w:val="0"/>
          <w:i w:val="0"/>
          <w:sz w:val="21"/>
        </w:rPr>
        <w:t>No período, foram registrados 12 chamados. Consolidando as duas frentes: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3118"/>
            <w:vAlign w:val="center"/>
            <w:shd w:val="clear"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Indicador</w:t>
            </w:r>
          </w:p>
        </w:tc>
        <w:tc>
          <w:tcPr>
            <w:tcW w:type="dxa" w:w="2268"/>
            <w:vAlign w:val="center"/>
            <w:shd w:val="clear"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Sustentação</w:t>
            </w:r>
          </w:p>
        </w:tc>
        <w:tc>
          <w:tcPr>
            <w:tcW w:type="dxa" w:w="2268"/>
            <w:vAlign w:val="center"/>
            <w:shd w:val="clear"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Projetos</w:t>
            </w:r>
          </w:p>
        </w:tc>
        <w:tc>
          <w:tcPr>
            <w:tcW w:type="dxa" w:w="1701"/>
            <w:vAlign w:val="center"/>
            <w:shd w:val="clear"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Total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Total de Demandas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9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12</w:t>
            </w:r>
          </w:p>
        </w:tc>
      </w:tr>
      <w:tr>
        <w:tc>
          <w:tcPr>
            <w:tcW w:type="dxa" w:w="3118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Entregues</w:t>
            </w:r>
          </w:p>
        </w:tc>
        <w:tc>
          <w:tcPr>
            <w:tcW w:type="dxa" w:w="2268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7</w:t>
            </w:r>
          </w:p>
        </w:tc>
        <w:tc>
          <w:tcPr>
            <w:tcW w:type="dxa" w:w="2268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1701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9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Taxa de Resolução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77.8%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66.7%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75.0%</w:t>
            </w:r>
          </w:p>
        </w:tc>
      </w:tr>
      <w:tr>
        <w:tc>
          <w:tcPr>
            <w:tcW w:type="dxa" w:w="3118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TMR (concluídos)</w:t>
            </w:r>
          </w:p>
        </w:tc>
        <w:tc>
          <w:tcPr>
            <w:tcW w:type="dxa" w:w="2268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21.2 h</w:t>
            </w:r>
          </w:p>
        </w:tc>
        <w:tc>
          <w:tcPr>
            <w:tcW w:type="dxa" w:w="2268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66.2 h</w:t>
            </w:r>
          </w:p>
        </w:tc>
        <w:tc>
          <w:tcPr>
            <w:tcW w:type="dxa" w:w="1701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31.2 h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Natureza da Demanda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33.3% Req / 66.7% Inc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100.0% Req / 0.0% Inc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50.0% Req / 50.0% Inc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40000" cy="240398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donut_naturez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24039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595959"/>
          <w:sz w:val="19"/>
        </w:rPr>
        <w:t>Natureza da Demanda — visão combinada das duas frentes.</w:t>
      </w:r>
    </w:p>
    <w:p>
      <w:pPr>
        <w:pStyle w:val="Heading1"/>
      </w:pPr>
      <w:r>
        <w:rPr>
          <w:color w:val="1F3864"/>
          <w:sz w:val="32"/>
        </w:rPr>
        <w:t>2. Distribuição por Categoria</w:t>
      </w:r>
    </w:p>
    <w:p>
      <w:pPr>
        <w:spacing w:before="120" w:after="200"/>
        <w:shd w:val="clear" w:fill="DCE6F1"/>
      </w:pPr>
      <w:r>
        <w:rPr>
          <w:b/>
          <w:color w:val="1F3864"/>
          <w:sz w:val="22"/>
        </w:rPr>
        <w:t>FRENTE SUSTENTAÇÃO — 9 chamados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3402"/>
            <w:vAlign w:val="center"/>
            <w:shd w:val="clear"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Categoria</w:t>
            </w:r>
          </w:p>
        </w:tc>
        <w:tc>
          <w:tcPr>
            <w:tcW w:type="dxa" w:w="1134"/>
            <w:vAlign w:val="center"/>
            <w:shd w:val="clear"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Qtd.</w:t>
            </w:r>
          </w:p>
        </w:tc>
        <w:tc>
          <w:tcPr>
            <w:tcW w:type="dxa" w:w="1247"/>
            <w:vAlign w:val="center"/>
            <w:shd w:val="clear"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% Qtd.</w:t>
            </w:r>
          </w:p>
        </w:tc>
        <w:tc>
          <w:tcPr>
            <w:tcW w:type="dxa" w:w="1871"/>
            <w:vAlign w:val="center"/>
            <w:shd w:val="clear"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Tempo Total (h)</w:t>
            </w:r>
          </w:p>
        </w:tc>
        <w:tc>
          <w:tcPr>
            <w:tcW w:type="dxa" w:w="1417"/>
            <w:vAlign w:val="center"/>
            <w:shd w:val="clear"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% Tempo</w:t>
            </w:r>
          </w:p>
        </w:tc>
      </w:tr>
      <w:tr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AGHU-X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6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66.7%</w:t>
            </w:r>
          </w:p>
        </w:tc>
        <w:tc>
          <w:tcPr>
            <w:tcW w:type="dxa" w:w="18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34.2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23.0%</w:t>
            </w:r>
          </w:p>
        </w:tc>
      </w:tr>
      <w:tr>
        <w:tc>
          <w:tcPr>
            <w:tcW w:type="dxa" w:w="3402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Intranet</w:t>
            </w:r>
          </w:p>
        </w:tc>
        <w:tc>
          <w:tcPr>
            <w:tcW w:type="dxa" w:w="1134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1247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22.2%</w:t>
            </w:r>
          </w:p>
        </w:tc>
        <w:tc>
          <w:tcPr>
            <w:tcW w:type="dxa" w:w="1871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46.5</w:t>
            </w:r>
          </w:p>
        </w:tc>
        <w:tc>
          <w:tcPr>
            <w:tcW w:type="dxa" w:w="1417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31.3%</w:t>
            </w:r>
          </w:p>
        </w:tc>
      </w:tr>
      <w:tr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Relatórios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11.1%</w:t>
            </w:r>
          </w:p>
        </w:tc>
        <w:tc>
          <w:tcPr>
            <w:tcW w:type="dxa" w:w="18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68.0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45.7%</w:t>
            </w:r>
          </w:p>
        </w:tc>
      </w:tr>
    </w:tbl>
    <w:p/>
    <w:p>
      <w:pPr>
        <w:spacing w:before="120" w:after="200"/>
        <w:shd w:val="clear" w:fill="FBE5D6"/>
      </w:pPr>
      <w:r>
        <w:rPr>
          <w:b/>
          <w:color w:val="C55A11"/>
          <w:sz w:val="22"/>
        </w:rPr>
        <w:t>FRENTE PROJETOS — 3 chamados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3402"/>
            <w:vAlign w:val="center"/>
            <w:shd w:val="clear"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Categoria</w:t>
            </w:r>
          </w:p>
        </w:tc>
        <w:tc>
          <w:tcPr>
            <w:tcW w:type="dxa" w:w="1134"/>
            <w:vAlign w:val="center"/>
            <w:shd w:val="clear"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Qtd.</w:t>
            </w:r>
          </w:p>
        </w:tc>
        <w:tc>
          <w:tcPr>
            <w:tcW w:type="dxa" w:w="1247"/>
            <w:vAlign w:val="center"/>
            <w:shd w:val="clear"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% Qtd.</w:t>
            </w:r>
          </w:p>
        </w:tc>
        <w:tc>
          <w:tcPr>
            <w:tcW w:type="dxa" w:w="1871"/>
            <w:vAlign w:val="center"/>
            <w:shd w:val="clear"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Tempo Total (h)</w:t>
            </w:r>
          </w:p>
        </w:tc>
        <w:tc>
          <w:tcPr>
            <w:tcW w:type="dxa" w:w="1417"/>
            <w:vAlign w:val="center"/>
            <w:shd w:val="clear"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% Tempo</w:t>
            </w:r>
          </w:p>
        </w:tc>
      </w:tr>
      <w:tr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API-EXAMES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33.3%</w:t>
            </w:r>
          </w:p>
        </w:tc>
        <w:tc>
          <w:tcPr>
            <w:tcW w:type="dxa" w:w="18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0.0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0.0%</w:t>
            </w:r>
          </w:p>
        </w:tc>
      </w:tr>
      <w:tr>
        <w:tc>
          <w:tcPr>
            <w:tcW w:type="dxa" w:w="3402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IBC</w:t>
            </w:r>
          </w:p>
        </w:tc>
        <w:tc>
          <w:tcPr>
            <w:tcW w:type="dxa" w:w="1134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1247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33.3%</w:t>
            </w:r>
          </w:p>
        </w:tc>
        <w:tc>
          <w:tcPr>
            <w:tcW w:type="dxa" w:w="1871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54.5</w:t>
            </w:r>
          </w:p>
        </w:tc>
        <w:tc>
          <w:tcPr>
            <w:tcW w:type="dxa" w:w="1417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41.1%</w:t>
            </w:r>
          </w:p>
        </w:tc>
      </w:tr>
      <w:tr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RMG Dashboard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33.3%</w:t>
            </w:r>
          </w:p>
        </w:tc>
        <w:tc>
          <w:tcPr>
            <w:tcW w:type="dxa" w:w="18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78.0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58.9%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192539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barras_categoria_sustentaca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9253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color w:val="1F3864"/>
          <w:sz w:val="32"/>
        </w:rPr>
        <w:t>3. Frente Projetos — Detalhamento Completo</w:t>
      </w:r>
    </w:p>
    <w:p>
      <w:r>
        <w:rPr>
          <w:b w:val="0"/>
          <w:i/>
          <w:sz w:val="21"/>
        </w:rPr>
        <w:t>Chamados fora da entidade Sistemas, com status, datas e horas decorridas. Para os que ainda estão em aberto, a coluna de horas é o acumulado desde a abertura até agora — não é tempo de trabalho efetivo, apenas tempo corrido.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tblHeader w:val="true"/>
        </w:trPr>
        <w:tc>
          <w:tcPr>
            <w:tcW w:type="dxa" w:w="737"/>
            <w:vAlign w:val="center"/>
            <w:shd w:val="clear"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type="dxa" w:w="3685"/>
            <w:vAlign w:val="center"/>
            <w:shd w:val="clear"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Título</w:t>
            </w:r>
          </w:p>
        </w:tc>
        <w:tc>
          <w:tcPr>
            <w:tcW w:type="dxa" w:w="1304"/>
            <w:vAlign w:val="center"/>
            <w:shd w:val="clear"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1304"/>
            <w:vAlign w:val="center"/>
            <w:shd w:val="clear"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Abertura</w:t>
            </w:r>
          </w:p>
        </w:tc>
        <w:tc>
          <w:tcPr>
            <w:tcW w:type="dxa" w:w="1304"/>
            <w:vAlign w:val="center"/>
            <w:shd w:val="clear"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Solução</w:t>
            </w:r>
          </w:p>
        </w:tc>
        <w:tc>
          <w:tcPr>
            <w:tcW w:type="dxa" w:w="1134"/>
            <w:vAlign w:val="center"/>
            <w:shd w:val="clear"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Horas</w:t>
            </w:r>
          </w:p>
        </w:tc>
      </w:tr>
      <w:tr>
        <w:tc>
          <w:tcPr>
            <w:tcW w:type="dxa" w:w="73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99006</w:t>
            </w:r>
          </w:p>
        </w:tc>
        <w:tc>
          <w:tcPr>
            <w:tcW w:type="dxa" w:w="368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Criar usuário para projeto IBC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Solucionado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12/08 09:30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14/08 16:00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54.5</w:t>
            </w:r>
          </w:p>
        </w:tc>
      </w:tr>
      <w:tr>
        <w:tc>
          <w:tcPr>
            <w:tcW w:type="dxa" w:w="737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99008</w:t>
            </w:r>
          </w:p>
        </w:tc>
        <w:tc>
          <w:tcPr>
            <w:tcW w:type="dxa" w:w="3685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Integração API de exames</w:t>
            </w:r>
          </w:p>
        </w:tc>
        <w:tc>
          <w:tcPr>
            <w:tcW w:type="dxa" w:w="1304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Processando</w:t>
            </w:r>
          </w:p>
        </w:tc>
        <w:tc>
          <w:tcPr>
            <w:tcW w:type="dxa" w:w="1304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15/08 14:10</w:t>
            </w:r>
          </w:p>
        </w:tc>
        <w:tc>
          <w:tcPr>
            <w:tcW w:type="dxa" w:w="1304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—</w:t>
            </w:r>
          </w:p>
        </w:tc>
        <w:tc>
          <w:tcPr>
            <w:tcW w:type="dxa" w:w="1134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776.4</w:t>
            </w:r>
          </w:p>
        </w:tc>
      </w:tr>
      <w:tr>
        <w:tc>
          <w:tcPr>
            <w:tcW w:type="dxa" w:w="73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99011</w:t>
            </w:r>
          </w:p>
        </w:tc>
        <w:tc>
          <w:tcPr>
            <w:tcW w:type="dxa" w:w="368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Dashboard de projetos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Fechado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22/08 08:30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25/08 14:30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78.0</w:t>
            </w:r>
          </w:p>
        </w:tc>
      </w:tr>
      <w:tr>
        <w:tc>
          <w:tcPr>
            <w:tcW w:type="dxa" w:w="737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</w:r>
          </w:p>
        </w:tc>
        <w:tc>
          <w:tcPr>
            <w:tcW w:type="dxa" w:w="3685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</w:r>
          </w:p>
        </w:tc>
        <w:tc>
          <w:tcPr>
            <w:tcW w:type="dxa" w:w="1304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</w:r>
          </w:p>
        </w:tc>
        <w:tc>
          <w:tcPr>
            <w:tcW w:type="dxa" w:w="1304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</w:r>
          </w:p>
        </w:tc>
        <w:tc>
          <w:tcPr>
            <w:tcW w:type="dxa" w:w="1304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TOTAL ACUMULADO</w:t>
            </w:r>
          </w:p>
        </w:tc>
        <w:tc>
          <w:tcPr>
            <w:tcW w:type="dxa" w:w="1134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908.9</w:t>
            </w:r>
          </w:p>
        </w:tc>
      </w:tr>
    </w:tbl>
    <w:p>
      <w:pPr>
        <w:pStyle w:val="Heading1"/>
      </w:pPr>
      <w:r>
        <w:rPr>
          <w:color w:val="1F3864"/>
          <w:sz w:val="32"/>
        </w:rPr>
        <w:t>4. SLA por Prioridade — Frente Sustentação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2551"/>
            <w:vAlign w:val="center"/>
            <w:shd w:val="clear"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Prioridade</w:t>
            </w:r>
          </w:p>
        </w:tc>
        <w:tc>
          <w:tcPr>
            <w:tcW w:type="dxa" w:w="1701"/>
            <w:vAlign w:val="center"/>
            <w:shd w:val="clear"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Resolvidos</w:t>
            </w:r>
          </w:p>
        </w:tc>
        <w:tc>
          <w:tcPr>
            <w:tcW w:type="dxa" w:w="1701"/>
            <w:vAlign w:val="center"/>
            <w:shd w:val="clear"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Tempo Médio</w:t>
            </w:r>
          </w:p>
        </w:tc>
        <w:tc>
          <w:tcPr>
            <w:tcW w:type="dxa" w:w="2268"/>
            <w:vAlign w:val="center"/>
            <w:shd w:val="clear"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Faixa (mín–máx)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Crítica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3.2 h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3.2 h – 3.2 h</w:t>
            </w:r>
          </w:p>
        </w:tc>
      </w:tr>
      <w:tr>
        <w:tc>
          <w:tcPr>
            <w:tcW w:type="dxa" w:w="2551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Muito Alta</w:t>
            </w:r>
          </w:p>
        </w:tc>
        <w:tc>
          <w:tcPr>
            <w:tcW w:type="dxa" w:w="1701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1701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13.2 h</w:t>
            </w:r>
          </w:p>
        </w:tc>
        <w:tc>
          <w:tcPr>
            <w:tcW w:type="dxa" w:w="2268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8.0 h – 18.5 h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Alta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4.5 h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4.5 h – 4.5 h</w:t>
            </w:r>
          </w:p>
        </w:tc>
      </w:tr>
      <w:tr>
        <w:tc>
          <w:tcPr>
            <w:tcW w:type="dxa" w:w="2551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Média</w:t>
            </w:r>
          </w:p>
        </w:tc>
        <w:tc>
          <w:tcPr>
            <w:tcW w:type="dxa" w:w="1701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1701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25.5 h</w:t>
            </w:r>
          </w:p>
        </w:tc>
        <w:tc>
          <w:tcPr>
            <w:tcW w:type="dxa" w:w="2268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25.5 h – 25.5 h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Baixa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68.0 h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68.0 h – 68.0 h</w:t>
            </w:r>
          </w:p>
        </w:tc>
      </w:tr>
      <w:tr>
        <w:tc>
          <w:tcPr>
            <w:tcW w:type="dxa" w:w="2551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Muito Baixa</w:t>
            </w:r>
          </w:p>
        </w:tc>
        <w:tc>
          <w:tcPr>
            <w:tcW w:type="dxa" w:w="1701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1701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21.0 h</w:t>
            </w:r>
          </w:p>
        </w:tc>
        <w:tc>
          <w:tcPr>
            <w:tcW w:type="dxa" w:w="2268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21.0 h – 21.0 h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06947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scatter_sustentaca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0694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color w:val="1F3864"/>
          <w:sz w:val="32"/>
        </w:rPr>
        <w:t>5. Capacidade da Equipe — Frente Sustentação</w:t>
      </w:r>
    </w:p>
    <w:p>
      <w:r>
        <w:rPr>
          <w:b w:val="0"/>
          <w:i/>
          <w:sz w:val="21"/>
        </w:rPr>
        <w:t>Premissas: 6 analistas; jornada de 8h/dia; 20 dias úteis no mês; desconto de 11 dias úteis de férias/ausências no período.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1134"/>
            <w:vAlign w:val="center"/>
            <w:shd w:val="clear"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Sigla</w:t>
            </w:r>
          </w:p>
        </w:tc>
        <w:tc>
          <w:tcPr>
            <w:tcW w:type="dxa" w:w="5386"/>
            <w:vAlign w:val="center"/>
            <w:shd w:val="clear"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Descrição / Fórmula</w:t>
            </w:r>
          </w:p>
        </w:tc>
        <w:tc>
          <w:tcPr>
            <w:tcW w:type="dxa" w:w="1701"/>
            <w:vAlign w:val="center"/>
            <w:shd w:val="clear"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Valor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HMM</w:t>
            </w:r>
          </w:p>
        </w:tc>
        <w:tc>
          <w:tcPr>
            <w:tcW w:type="dxa" w:w="538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Horas totais projetadas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960 h</w:t>
            </w:r>
          </w:p>
        </w:tc>
      </w:tr>
      <w:tr>
        <w:tc>
          <w:tcPr>
            <w:tcW w:type="dxa" w:w="1134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HE</w:t>
            </w:r>
          </w:p>
        </w:tc>
        <w:tc>
          <w:tcPr>
            <w:tcW w:type="dxa" w:w="5386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Horas efetivas (descontando ausências)</w:t>
            </w:r>
          </w:p>
        </w:tc>
        <w:tc>
          <w:tcPr>
            <w:tcW w:type="dxa" w:w="1701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872 h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HPC</w:t>
            </w:r>
          </w:p>
        </w:tc>
        <w:tc>
          <w:tcPr>
            <w:tcW w:type="dxa" w:w="538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Tempo total decorrido registrado (Sustentação, concluídos)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148.8 h</w:t>
            </w:r>
          </w:p>
        </w:tc>
      </w:tr>
      <w:tr>
        <w:tc>
          <w:tcPr>
            <w:tcW w:type="dxa" w:w="1134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HHA</w:t>
            </w:r>
          </w:p>
        </w:tc>
        <w:tc>
          <w:tcPr>
            <w:tcW w:type="dxa" w:w="5386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Horas úteis alocadas (HPC ÷ horas/dia)</w:t>
            </w:r>
          </w:p>
        </w:tc>
        <w:tc>
          <w:tcPr>
            <w:tcW w:type="dxa" w:w="1701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18.6 h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AD%</w:t>
            </w:r>
          </w:p>
        </w:tc>
        <w:tc>
          <w:tcPr>
            <w:tcW w:type="dxa" w:w="538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Aderência (HHA ÷ HE)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2.1%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880000" cy="240445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pizza_horas_frent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4044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color w:val="1F3864"/>
          <w:sz w:val="32"/>
        </w:rPr>
        <w:t>6. Padrão Recorrente Detectado — Censo/Pool de Pacientes (AGHU)</w:t>
      </w:r>
    </w:p>
    <w:p>
      <w:r>
        <w:rPr>
          <w:b w:val="0"/>
          <w:i w:val="0"/>
          <w:sz w:val="21"/>
        </w:rPr>
        <w:t>6 chamados no período mencionam os termos configurados (censo, leito, alta manti, pool d[eo] pacient, fora do censo) — 6 na frente Sustentação e 0 na frente Projetos.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69541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linha_recorrenci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6954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color w:val="1F3864"/>
          <w:sz w:val="32"/>
        </w:rPr>
        <w:t>7. Observações e Plano de Ação</w:t>
      </w:r>
    </w:p>
    <w:p>
      <w:r>
        <w:rPr>
          <w:b w:val="0"/>
          <w:i/>
          <w:sz w:val="21"/>
        </w:rPr>
        <w:t>Espaço para o autor do relatório completar com as ações do mês (este bloco é só um roteiro — edite livremente após gerar o .docx):</w:t>
      </w:r>
    </w:p>
    <w:p>
      <w:pPr>
        <w:pStyle w:val="ListBullet"/>
      </w:pPr>
      <w:r>
        <w:rPr>
          <w:sz w:val="21"/>
        </w:rPr>
        <w:t xml:space="preserve">Ação 1: </w:t>
      </w:r>
    </w:p>
    <w:p>
      <w:pPr>
        <w:pStyle w:val="ListBullet"/>
      </w:pPr>
      <w:r>
        <w:rPr>
          <w:sz w:val="21"/>
        </w:rPr>
        <w:t xml:space="preserve">Ação 2: </w:t>
      </w:r>
    </w:p>
    <w:p>
      <w:pPr>
        <w:pStyle w:val="ListBullet"/>
      </w:pPr>
      <w:r>
        <w:rPr>
          <w:sz w:val="21"/>
        </w:rPr>
        <w:t xml:space="preserve">Ação 3: 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