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00"/>
      </w:pPr>
      <w:r>
        <w:rPr>
          <w:b/>
          <w:color w:val="087E74"/>
          <w:sz w:val="20"/>
        </w:rPr>
        <w:t>PROJECT OVERVIEW</w:t>
      </w:r>
    </w:p>
    <w:p>
      <w:pPr>
        <w:pStyle w:val="Title"/>
      </w:pPr>
      <w:r>
        <w:t>Legacy Real Estate</w:t>
        <w:br/>
        <w:t>Platform</w:t>
      </w:r>
    </w:p>
    <w:p>
      <w:pPr>
        <w:spacing w:before="160"/>
      </w:pPr>
      <w:r>
        <w:rPr>
          <w:color w:val="5C6873"/>
          <w:sz w:val="30"/>
        </w:rPr>
        <w:t>Current project, proposed scope, team ownership and GitHub workflow</w:t>
      </w:r>
    </w:p>
    <w:p>
      <w:pPr>
        <w:spacing w:before="300"/>
      </w:pPr>
      <w:r>
        <w:rPr>
          <w:b/>
          <w:color w:val="123047"/>
          <w:sz w:val="20"/>
        </w:rPr>
        <w:t>Prepared 19 October 2026</w:t>
      </w:r>
    </w:p>
    <w:p>
      <w:pPr>
        <w:spacing w:before="1300"/>
      </w:pPr>
      <w:r>
        <w:rPr>
          <w:b/>
          <w:color w:val="087E74"/>
          <w:sz w:val="22"/>
        </w:rPr>
        <w:t>Purpose</w:t>
      </w:r>
    </w:p>
    <w:p>
      <w:pPr>
        <w:spacing w:line="276" w:lineRule="auto"/>
      </w:pPr>
      <w:r>
        <w:t>A short handoff brief to help three developers agree what exists today, how it differs from the wider agency proposal, who owns each related workstream, and how changes move safely through GitHub.</w:t>
      </w:r>
    </w:p>
    <w:tbl>
      <w:tblPr>
        <w:tblW w:type="auto" w:w="0"/>
        <w:jc w:val="center"/>
        <w:tblLook w:firstColumn="1" w:firstRow="1" w:lastColumn="0" w:lastRow="0" w:noHBand="0" w:noVBand="1" w:val="04A0"/>
      </w:tblPr>
      <w:tblGrid>
        <w:gridCol w:w="10166"/>
      </w:tblGrid>
      <w:tr>
        <w:tc>
          <w:tcPr>
            <w:tcW w:type="dxa" w:w="10166"/>
            <w:shd w:fill="EAF4F3"/>
            <w:tcMar>
              <w:top w:w="70" w:type="dxa"/>
              <w:start w:w="95" w:type="dxa"/>
              <w:bottom w:w="70" w:type="dxa"/>
              <w:end w:w="95" w:type="dxa"/>
            </w:tcMar>
          </w:tcPr>
          <w:p>
            <w:pPr>
              <w:spacing w:after="40"/>
            </w:pPr>
            <w:r/>
            <w:r>
              <w:rPr>
                <w:b/>
                <w:color w:val="087E74"/>
              </w:rPr>
              <w:t xml:space="preserve">Important  </w:t>
            </w:r>
            <w:r>
              <w:t>The current application is a rental-management foundation. The proposed Legacy platform adds agency operations, land sales, accounting, public listings and production infrastructure. Confirm whether the current code is the baseline or a reference before merging it into the team repository.</w:t>
            </w:r>
          </w:p>
        </w:tc>
      </w:tr>
    </w:tbl>
    <w:p>
      <w:pPr>
        <w:spacing w:after="0"/>
      </w:pPr>
    </w:p>
    <w:p>
      <w:r>
        <w:br w:type="page"/>
      </w:r>
    </w:p>
    <w:p>
      <w:pPr>
        <w:pStyle w:val="Heading1"/>
      </w:pPr>
      <w:r>
        <w:t>1. Executive summary</w:t>
      </w:r>
    </w:p>
    <w:p>
      <w:r>
        <w:t>The current project is a web application for landlords, caretakers and tenants. It focuses on property-scoped rental operations: unit and tenant workflows, monthly invoices, water readings, maintenance, announcements and move-in settlement. The proposed system is a wider agency platform for Nairobi and Nakuru, adding branch-based back-office roles, land sales, a listings/CRM website, formal accounting and landlord remittances, and more extensive payment integrations.</w:t>
      </w:r>
    </w:p>
    <w:tbl>
      <w:tblPr>
        <w:tblStyle w:val="TableGrid"/>
        <w:tblW w:type="auto" w:w="0"/>
        <w:jc w:val="center"/>
        <w:tblLayout w:type="fixed"/>
        <w:tblLook w:firstColumn="1" w:firstRow="1" w:lastColumn="0" w:lastRow="0" w:noHBand="0" w:noVBand="1" w:val="04A0"/>
      </w:tblPr>
      <w:tblGrid>
        <w:gridCol w:w="3389"/>
        <w:gridCol w:w="3389"/>
        <w:gridCol w:w="3389"/>
      </w:tblGrid>
      <w:tr>
        <w:tc>
          <w:tcPr>
            <w:tcW w:type="dxa" w:w="3389"/>
            <w:vAlign w:val="center"/>
            <w:shd w:fill="123047"/>
            <w:tcMar>
              <w:top w:w="70" w:type="dxa"/>
              <w:start w:w="95" w:type="dxa"/>
              <w:bottom w:w="70" w:type="dxa"/>
              <w:end w:w="95" w:type="dxa"/>
            </w:tcMar>
          </w:tcPr>
          <w:p>
            <w:pPr>
              <w:spacing w:after="20" w:before="20"/>
            </w:pPr>
            <w:r/>
            <w:r>
              <w:rPr>
                <w:rFonts w:ascii="Aptos" w:hAnsi="Aptos"/>
                <w:b/>
                <w:color w:val="FFFFFF"/>
                <w:sz w:val="16"/>
              </w:rPr>
              <w:t>Area</w:t>
            </w:r>
          </w:p>
        </w:tc>
        <w:tc>
          <w:tcPr>
            <w:tcW w:type="dxa" w:w="3389"/>
            <w:vAlign w:val="center"/>
            <w:shd w:fill="123047"/>
            <w:tcMar>
              <w:top w:w="70" w:type="dxa"/>
              <w:start w:w="95" w:type="dxa"/>
              <w:bottom w:w="70" w:type="dxa"/>
              <w:end w:w="95" w:type="dxa"/>
            </w:tcMar>
          </w:tcPr>
          <w:p>
            <w:pPr>
              <w:spacing w:after="20" w:before="20"/>
            </w:pPr>
            <w:r/>
            <w:r>
              <w:rPr>
                <w:rFonts w:ascii="Aptos" w:hAnsi="Aptos"/>
                <w:b/>
                <w:color w:val="FFFFFF"/>
                <w:sz w:val="16"/>
              </w:rPr>
              <w:t>Current project</w:t>
            </w:r>
          </w:p>
        </w:tc>
        <w:tc>
          <w:tcPr>
            <w:tcW w:type="dxa" w:w="3389"/>
            <w:vAlign w:val="center"/>
            <w:shd w:fill="123047"/>
            <w:tcMar>
              <w:top w:w="70" w:type="dxa"/>
              <w:start w:w="95" w:type="dxa"/>
              <w:bottom w:w="70" w:type="dxa"/>
              <w:end w:w="95" w:type="dxa"/>
            </w:tcMar>
          </w:tcPr>
          <w:p>
            <w:pPr>
              <w:spacing w:after="20" w:before="20"/>
            </w:pPr>
            <w:r/>
            <w:r>
              <w:rPr>
                <w:rFonts w:ascii="Aptos" w:hAnsi="Aptos"/>
                <w:b/>
                <w:color w:val="FFFFFF"/>
                <w:sz w:val="16"/>
              </w:rPr>
              <w:t>Proposed platform</w:t>
            </w:r>
          </w:p>
        </w:tc>
      </w:tr>
      <w:tr>
        <w:tc>
          <w:tcPr>
            <w:tcW w:type="dxa" w:w="3389"/>
            <w:vAlign w:val="center"/>
            <w:tcMar>
              <w:top w:w="70" w:type="dxa"/>
              <w:start w:w="95" w:type="dxa"/>
              <w:bottom w:w="70" w:type="dxa"/>
              <w:end w:w="95" w:type="dxa"/>
            </w:tcMar>
          </w:tcPr>
          <w:p>
            <w:pPr>
              <w:spacing w:after="20" w:before="20"/>
            </w:pPr>
            <w:r/>
            <w:r>
              <w:rPr>
                <w:rFonts w:ascii="Aptos" w:hAnsi="Aptos"/>
                <w:b/>
                <w:sz w:val="16"/>
              </w:rPr>
              <w:t>Primary purpose</w:t>
            </w:r>
          </w:p>
        </w:tc>
        <w:tc>
          <w:tcPr>
            <w:tcW w:type="dxa" w:w="3389"/>
            <w:vAlign w:val="center"/>
            <w:tcMar>
              <w:top w:w="70" w:type="dxa"/>
              <w:start w:w="95" w:type="dxa"/>
              <w:bottom w:w="70" w:type="dxa"/>
              <w:end w:w="95" w:type="dxa"/>
            </w:tcMar>
          </w:tcPr>
          <w:p>
            <w:pPr>
              <w:spacing w:after="20" w:before="20"/>
            </w:pPr>
            <w:r/>
            <w:r>
              <w:rPr>
                <w:rFonts w:ascii="Aptos" w:hAnsi="Aptos"/>
                <w:b w:val="0"/>
                <w:sz w:val="16"/>
              </w:rPr>
              <w:t>Manage rental property operations and tenant billing.</w:t>
            </w:r>
          </w:p>
        </w:tc>
        <w:tc>
          <w:tcPr>
            <w:tcW w:type="dxa" w:w="3389"/>
            <w:vAlign w:val="center"/>
            <w:tcMar>
              <w:top w:w="70" w:type="dxa"/>
              <w:start w:w="95" w:type="dxa"/>
              <w:bottom w:w="70" w:type="dxa"/>
              <w:end w:w="95" w:type="dxa"/>
            </w:tcMar>
          </w:tcPr>
          <w:p>
            <w:pPr>
              <w:spacing w:after="20" w:before="20"/>
            </w:pPr>
            <w:r/>
            <w:r>
              <w:rPr>
                <w:rFonts w:ascii="Aptos" w:hAnsi="Aptos"/>
                <w:b w:val="0"/>
                <w:sz w:val="16"/>
              </w:rPr>
              <w:t>Run a multi-branch real-estate agency: rentals plus land sales.</w:t>
            </w:r>
          </w:p>
        </w:tc>
      </w:tr>
      <w:tr>
        <w:tc>
          <w:tcPr>
            <w:tcW w:type="dxa" w:w="3389"/>
            <w:vAlign w:val="center"/>
            <w:shd w:fill="F2F5F7"/>
            <w:tcMar>
              <w:top w:w="70" w:type="dxa"/>
              <w:start w:w="95" w:type="dxa"/>
              <w:bottom w:w="70" w:type="dxa"/>
              <w:end w:w="95" w:type="dxa"/>
            </w:tcMar>
          </w:tcPr>
          <w:p>
            <w:pPr>
              <w:spacing w:after="20" w:before="20"/>
            </w:pPr>
            <w:r/>
            <w:r>
              <w:rPr>
                <w:rFonts w:ascii="Aptos" w:hAnsi="Aptos"/>
                <w:b/>
                <w:sz w:val="16"/>
              </w:rPr>
              <w:t>Users</w:t>
            </w:r>
          </w:p>
        </w:tc>
        <w:tc>
          <w:tcPr>
            <w:tcW w:type="dxa" w:w="3389"/>
            <w:vAlign w:val="center"/>
            <w:shd w:fill="F2F5F7"/>
            <w:tcMar>
              <w:top w:w="70" w:type="dxa"/>
              <w:start w:w="95" w:type="dxa"/>
              <w:bottom w:w="70" w:type="dxa"/>
              <w:end w:w="95" w:type="dxa"/>
            </w:tcMar>
          </w:tcPr>
          <w:p>
            <w:pPr>
              <w:spacing w:after="20" w:before="20"/>
            </w:pPr>
            <w:r/>
            <w:r>
              <w:rPr>
                <w:rFonts w:ascii="Aptos" w:hAnsi="Aptos"/>
                <w:b w:val="0"/>
                <w:sz w:val="16"/>
              </w:rPr>
              <w:t>Landlord, caretaker, tenant.</w:t>
            </w:r>
          </w:p>
        </w:tc>
        <w:tc>
          <w:tcPr>
            <w:tcW w:type="dxa" w:w="3389"/>
            <w:vAlign w:val="center"/>
            <w:shd w:fill="F2F5F7"/>
            <w:tcMar>
              <w:top w:w="70" w:type="dxa"/>
              <w:start w:w="95" w:type="dxa"/>
              <w:bottom w:w="70" w:type="dxa"/>
              <w:end w:w="95" w:type="dxa"/>
            </w:tcMar>
          </w:tcPr>
          <w:p>
            <w:pPr>
              <w:spacing w:after="20" w:before="20"/>
            </w:pPr>
            <w:r/>
            <w:r>
              <w:rPr>
                <w:rFonts w:ascii="Aptos" w:hAnsi="Aptos"/>
                <w:b w:val="0"/>
                <w:sz w:val="16"/>
              </w:rPr>
              <w:t>Nine roles, including agency staff, land buyer, landlord and tenant.</w:t>
            </w:r>
          </w:p>
        </w:tc>
      </w:tr>
      <w:tr>
        <w:tc>
          <w:tcPr>
            <w:tcW w:type="dxa" w:w="3389"/>
            <w:vAlign w:val="center"/>
            <w:tcMar>
              <w:top w:w="70" w:type="dxa"/>
              <w:start w:w="95" w:type="dxa"/>
              <w:bottom w:w="70" w:type="dxa"/>
              <w:end w:w="95" w:type="dxa"/>
            </w:tcMar>
          </w:tcPr>
          <w:p>
            <w:pPr>
              <w:spacing w:after="20" w:before="20"/>
            </w:pPr>
            <w:r/>
            <w:r>
              <w:rPr>
                <w:rFonts w:ascii="Aptos" w:hAnsi="Aptos"/>
                <w:b/>
                <w:sz w:val="16"/>
              </w:rPr>
              <w:t>Maturity</w:t>
            </w:r>
          </w:p>
        </w:tc>
        <w:tc>
          <w:tcPr>
            <w:tcW w:type="dxa" w:w="3389"/>
            <w:vAlign w:val="center"/>
            <w:tcMar>
              <w:top w:w="70" w:type="dxa"/>
              <w:start w:w="95" w:type="dxa"/>
              <w:bottom w:w="70" w:type="dxa"/>
              <w:end w:w="95" w:type="dxa"/>
            </w:tcMar>
          </w:tcPr>
          <w:p>
            <w:pPr>
              <w:spacing w:after="20" w:before="20"/>
            </w:pPr>
            <w:r/>
            <w:r>
              <w:rPr>
                <w:rFonts w:ascii="Aptos" w:hAnsi="Aptos"/>
                <w:b w:val="0"/>
                <w:sz w:val="16"/>
              </w:rPr>
              <w:t>Functional code foundation; external services and live deployment need verification.</w:t>
            </w:r>
          </w:p>
        </w:tc>
        <w:tc>
          <w:tcPr>
            <w:tcW w:type="dxa" w:w="3389"/>
            <w:vAlign w:val="center"/>
            <w:tcMar>
              <w:top w:w="70" w:type="dxa"/>
              <w:start w:w="95" w:type="dxa"/>
              <w:bottom w:w="70" w:type="dxa"/>
              <w:end w:w="95" w:type="dxa"/>
            </w:tcMar>
          </w:tcPr>
          <w:p>
            <w:pPr>
              <w:spacing w:after="20" w:before="20"/>
            </w:pPr>
            <w:r/>
            <w:r>
              <w:rPr>
                <w:rFonts w:ascii="Aptos" w:hAnsi="Aptos"/>
                <w:b w:val="0"/>
                <w:sz w:val="16"/>
              </w:rPr>
              <w:t>Requirements/specification; implementation scope is much broader.</w:t>
            </w:r>
          </w:p>
        </w:tc>
      </w:tr>
      <w:tr>
        <w:tc>
          <w:tcPr>
            <w:tcW w:type="dxa" w:w="3389"/>
            <w:vAlign w:val="center"/>
            <w:shd w:fill="F2F5F7"/>
            <w:tcMar>
              <w:top w:w="70" w:type="dxa"/>
              <w:start w:w="95" w:type="dxa"/>
              <w:bottom w:w="70" w:type="dxa"/>
              <w:end w:w="95" w:type="dxa"/>
            </w:tcMar>
          </w:tcPr>
          <w:p>
            <w:pPr>
              <w:spacing w:after="20" w:before="20"/>
            </w:pPr>
            <w:r/>
            <w:r>
              <w:rPr>
                <w:rFonts w:ascii="Aptos" w:hAnsi="Aptos"/>
                <w:b/>
                <w:sz w:val="16"/>
              </w:rPr>
              <w:t>Architecture</w:t>
            </w:r>
          </w:p>
        </w:tc>
        <w:tc>
          <w:tcPr>
            <w:tcW w:type="dxa" w:w="3389"/>
            <w:vAlign w:val="center"/>
            <w:shd w:fill="F2F5F7"/>
            <w:tcMar>
              <w:top w:w="70" w:type="dxa"/>
              <w:start w:w="95" w:type="dxa"/>
              <w:bottom w:w="70" w:type="dxa"/>
              <w:end w:w="95" w:type="dxa"/>
            </w:tcMar>
          </w:tcPr>
          <w:p>
            <w:pPr>
              <w:spacing w:after="20" w:before="20"/>
            </w:pPr>
            <w:r/>
            <w:r>
              <w:rPr>
                <w:rFonts w:ascii="Aptos" w:hAnsi="Aptos"/>
                <w:b w:val="0"/>
                <w:sz w:val="16"/>
              </w:rPr>
              <w:t>Next.js + TypeScript + Supabase; Vercel cron configured.</w:t>
            </w:r>
          </w:p>
        </w:tc>
        <w:tc>
          <w:tcPr>
            <w:tcW w:type="dxa" w:w="3389"/>
            <w:vAlign w:val="center"/>
            <w:shd w:fill="F2F5F7"/>
            <w:tcMar>
              <w:top w:w="70" w:type="dxa"/>
              <w:start w:w="95" w:type="dxa"/>
              <w:bottom w:w="70" w:type="dxa"/>
              <w:end w:w="95" w:type="dxa"/>
            </w:tcMar>
          </w:tcPr>
          <w:p>
            <w:pPr>
              <w:spacing w:after="20" w:before="20"/>
            </w:pPr>
            <w:r/>
            <w:r>
              <w:rPr>
                <w:rFonts w:ascii="Aptos" w:hAnsi="Aptos"/>
                <w:b w:val="0"/>
                <w:sz w:val="16"/>
              </w:rPr>
              <w:t>Laravel or Django core, possible Next.js listings site, queues and Kubernetes proposed.</w:t>
            </w:r>
          </w:p>
        </w:tc>
      </w:tr>
    </w:tbl>
    <w:p>
      <w:pPr>
        <w:spacing w:after="0"/>
      </w:pPr>
    </w:p>
    <w:tbl>
      <w:tblPr>
        <w:tblW w:type="auto" w:w="0"/>
        <w:jc w:val="center"/>
        <w:tblLook w:firstColumn="1" w:firstRow="1" w:lastColumn="0" w:lastRow="0" w:noHBand="0" w:noVBand="1" w:val="04A0"/>
      </w:tblPr>
      <w:tblGrid>
        <w:gridCol w:w="10166"/>
      </w:tblGrid>
      <w:tr>
        <w:tc>
          <w:tcPr>
            <w:tcW w:type="dxa" w:w="10166"/>
            <w:shd w:fill="EAF4F3"/>
            <w:tcMar>
              <w:top w:w="70" w:type="dxa"/>
              <w:start w:w="95" w:type="dxa"/>
              <w:bottom w:w="70" w:type="dxa"/>
              <w:end w:w="95" w:type="dxa"/>
            </w:tcMar>
          </w:tcPr>
          <w:p>
            <w:pPr>
              <w:spacing w:after="40"/>
            </w:pPr>
            <w:r/>
            <w:r>
              <w:rPr>
                <w:b/>
                <w:color w:val="087E74"/>
              </w:rPr>
              <w:t xml:space="preserve">Recommended first decision  </w:t>
            </w:r>
            <w:r>
              <w:t>Agree on the core stack and whether this codebase will be extended, adapted, or used only as a prototype. Record the decision in a short architecture decision record before splitting feature work.</w:t>
            </w:r>
          </w:p>
        </w:tc>
      </w:tr>
    </w:tbl>
    <w:p>
      <w:pPr>
        <w:spacing w:after="0"/>
      </w:pPr>
    </w:p>
    <w:p>
      <w:pPr>
        <w:pStyle w:val="Heading1"/>
      </w:pPr>
      <w:r>
        <w:t>2. What the current project contains</w:t>
      </w:r>
    </w:p>
    <w:p>
      <w:r>
        <w:t>The following is based on source-code inspection. “Present” means a meaningful code path exists; it does not certify that a live database migration, provider configuration or full end-to-end flow has been tested.</w:t>
      </w:r>
    </w:p>
    <w:tbl>
      <w:tblPr>
        <w:tblStyle w:val="TableGrid"/>
        <w:tblW w:type="auto" w:w="0"/>
        <w:jc w:val="center"/>
        <w:tblLayout w:type="fixed"/>
        <w:tblLook w:firstColumn="1" w:firstRow="1" w:lastColumn="0" w:lastRow="0" w:noHBand="0" w:noVBand="1" w:val="04A0"/>
      </w:tblPr>
      <w:tblGrid>
        <w:gridCol w:w="5083"/>
        <w:gridCol w:w="5083"/>
      </w:tblGrid>
      <w:tr>
        <w:tc>
          <w:tcPr>
            <w:tcW w:type="dxa" w:w="5083"/>
            <w:vAlign w:val="center"/>
            <w:shd w:fill="123047"/>
            <w:tcMar>
              <w:top w:w="70" w:type="dxa"/>
              <w:start w:w="95" w:type="dxa"/>
              <w:bottom w:w="70" w:type="dxa"/>
              <w:end w:w="95" w:type="dxa"/>
            </w:tcMar>
          </w:tcPr>
          <w:p>
            <w:pPr>
              <w:spacing w:after="20" w:before="20"/>
            </w:pPr>
            <w:r/>
            <w:r>
              <w:rPr>
                <w:rFonts w:ascii="Aptos" w:hAnsi="Aptos"/>
                <w:b/>
                <w:color w:val="FFFFFF"/>
                <w:sz w:val="16"/>
              </w:rPr>
              <w:t>Feature area</w:t>
            </w:r>
          </w:p>
        </w:tc>
        <w:tc>
          <w:tcPr>
            <w:tcW w:type="dxa" w:w="5083"/>
            <w:vAlign w:val="center"/>
            <w:shd w:fill="123047"/>
            <w:tcMar>
              <w:top w:w="70" w:type="dxa"/>
              <w:start w:w="95" w:type="dxa"/>
              <w:bottom w:w="70" w:type="dxa"/>
              <w:end w:w="95" w:type="dxa"/>
            </w:tcMar>
          </w:tcPr>
          <w:p>
            <w:pPr>
              <w:spacing w:after="20" w:before="20"/>
            </w:pPr>
            <w:r/>
            <w:r>
              <w:rPr>
                <w:rFonts w:ascii="Aptos" w:hAnsi="Aptos"/>
                <w:b/>
                <w:color w:val="FFFFFF"/>
                <w:sz w:val="16"/>
              </w:rPr>
              <w:t>What is present today</w:t>
            </w:r>
          </w:p>
        </w:tc>
      </w:tr>
      <w:tr>
        <w:tc>
          <w:tcPr>
            <w:tcW w:type="dxa" w:w="5083"/>
            <w:vAlign w:val="center"/>
            <w:tcMar>
              <w:top w:w="70" w:type="dxa"/>
              <w:start w:w="95" w:type="dxa"/>
              <w:bottom w:w="70" w:type="dxa"/>
              <w:end w:w="95" w:type="dxa"/>
            </w:tcMar>
          </w:tcPr>
          <w:p>
            <w:pPr>
              <w:spacing w:after="20" w:before="20"/>
            </w:pPr>
            <w:r/>
            <w:r>
              <w:rPr>
                <w:rFonts w:ascii="Aptos" w:hAnsi="Aptos"/>
                <w:b/>
                <w:sz w:val="16"/>
              </w:rPr>
              <w:t>Landlord and property</w:t>
            </w:r>
          </w:p>
        </w:tc>
        <w:tc>
          <w:tcPr>
            <w:tcW w:type="dxa" w:w="5083"/>
            <w:vAlign w:val="center"/>
            <w:tcMar>
              <w:top w:w="70" w:type="dxa"/>
              <w:start w:w="95" w:type="dxa"/>
              <w:bottom w:w="70" w:type="dxa"/>
              <w:end w:w="95" w:type="dxa"/>
            </w:tcMar>
          </w:tcPr>
          <w:p>
            <w:pPr>
              <w:spacing w:after="20" w:before="20"/>
            </w:pPr>
            <w:r/>
            <w:r>
              <w:rPr>
                <w:rFonts w:ascii="Aptos" w:hAnsi="Aptos"/>
                <w:b w:val="0"/>
                <w:sz w:val="16"/>
              </w:rPr>
              <w:t>Landlord signup/onboarding; property creation and selection; property defaults for rent, deposits, billing mode, due date and recurring utility charges.</w:t>
            </w:r>
          </w:p>
        </w:tc>
      </w:tr>
      <w:tr>
        <w:tc>
          <w:tcPr>
            <w:tcW w:type="dxa" w:w="5083"/>
            <w:vAlign w:val="center"/>
            <w:shd w:fill="F2F5F7"/>
            <w:tcMar>
              <w:top w:w="70" w:type="dxa"/>
              <w:start w:w="95" w:type="dxa"/>
              <w:bottom w:w="70" w:type="dxa"/>
              <w:end w:w="95" w:type="dxa"/>
            </w:tcMar>
          </w:tcPr>
          <w:p>
            <w:pPr>
              <w:spacing w:after="20" w:before="20"/>
            </w:pPr>
            <w:r/>
            <w:r>
              <w:rPr>
                <w:rFonts w:ascii="Aptos" w:hAnsi="Aptos"/>
                <w:b/>
                <w:sz w:val="16"/>
              </w:rPr>
              <w:t>Caretaker and staff</w:t>
            </w:r>
          </w:p>
        </w:tc>
        <w:tc>
          <w:tcPr>
            <w:tcW w:type="dxa" w:w="5083"/>
            <w:vAlign w:val="center"/>
            <w:shd w:fill="F2F5F7"/>
            <w:tcMar>
              <w:top w:w="70" w:type="dxa"/>
              <w:start w:w="95" w:type="dxa"/>
              <w:bottom w:w="70" w:type="dxa"/>
              <w:end w:w="95" w:type="dxa"/>
            </w:tcMar>
          </w:tcPr>
          <w:p>
            <w:pPr>
              <w:spacing w:after="20" w:before="20"/>
            </w:pPr>
            <w:r/>
            <w:r>
              <w:rPr>
                <w:rFonts w:ascii="Aptos" w:hAnsi="Aptos"/>
                <w:b w:val="0"/>
                <w:sz w:val="16"/>
              </w:rPr>
              <w:t>Caretaker email invitation/activation; property access; non-login staff roster for roles such as watchman.</w:t>
            </w:r>
          </w:p>
        </w:tc>
      </w:tr>
      <w:tr>
        <w:tc>
          <w:tcPr>
            <w:tcW w:type="dxa" w:w="5083"/>
            <w:vAlign w:val="center"/>
            <w:tcMar>
              <w:top w:w="70" w:type="dxa"/>
              <w:start w:w="95" w:type="dxa"/>
              <w:bottom w:w="70" w:type="dxa"/>
              <w:end w:w="95" w:type="dxa"/>
            </w:tcMar>
          </w:tcPr>
          <w:p>
            <w:pPr>
              <w:spacing w:after="20" w:before="20"/>
            </w:pPr>
            <w:r/>
            <w:r>
              <w:rPr>
                <w:rFonts w:ascii="Aptos" w:hAnsi="Aptos"/>
                <w:b/>
                <w:sz w:val="16"/>
              </w:rPr>
              <w:t>Units and tenants</w:t>
            </w:r>
          </w:p>
        </w:tc>
        <w:tc>
          <w:tcPr>
            <w:tcW w:type="dxa" w:w="5083"/>
            <w:vAlign w:val="center"/>
            <w:tcMar>
              <w:top w:w="70" w:type="dxa"/>
              <w:start w:w="95" w:type="dxa"/>
              <w:bottom w:w="70" w:type="dxa"/>
              <w:end w:w="95" w:type="dxa"/>
            </w:tcMar>
          </w:tcPr>
          <w:p>
            <w:pPr>
              <w:spacing w:after="20" w:before="20"/>
            </w:pPr>
            <w:r/>
            <w:r>
              <w:rPr>
                <w:rFonts w:ascii="Aptos" w:hAnsi="Aptos"/>
                <w:b w:val="0"/>
                <w:sz w:val="16"/>
              </w:rPr>
              <w:t>Unit occupancy management; tenant profiles/assignments; existing-tenant migration/import and editable opening arrears during transition.</w:t>
            </w:r>
          </w:p>
        </w:tc>
      </w:tr>
      <w:tr>
        <w:tc>
          <w:tcPr>
            <w:tcW w:type="dxa" w:w="5083"/>
            <w:vAlign w:val="center"/>
            <w:shd w:fill="F2F5F7"/>
            <w:tcMar>
              <w:top w:w="70" w:type="dxa"/>
              <w:start w:w="95" w:type="dxa"/>
              <w:bottom w:w="70" w:type="dxa"/>
              <w:end w:w="95" w:type="dxa"/>
            </w:tcMar>
          </w:tcPr>
          <w:p>
            <w:pPr>
              <w:spacing w:after="20" w:before="20"/>
            </w:pPr>
            <w:r/>
            <w:r>
              <w:rPr>
                <w:rFonts w:ascii="Aptos" w:hAnsi="Aptos"/>
                <w:b/>
                <w:sz w:val="16"/>
              </w:rPr>
              <w:t>Move-in</w:t>
            </w:r>
          </w:p>
        </w:tc>
        <w:tc>
          <w:tcPr>
            <w:tcW w:type="dxa" w:w="5083"/>
            <w:vAlign w:val="center"/>
            <w:shd w:fill="F2F5F7"/>
            <w:tcMar>
              <w:top w:w="70" w:type="dxa"/>
              <w:start w:w="95" w:type="dxa"/>
              <w:bottom w:w="70" w:type="dxa"/>
              <w:end w:w="95" w:type="dxa"/>
            </w:tcMar>
          </w:tcPr>
          <w:p>
            <w:pPr>
              <w:spacing w:after="20" w:before="20"/>
            </w:pPr>
            <w:r/>
            <w:r>
              <w:rPr>
                <w:rFonts w:ascii="Aptos" w:hAnsi="Aptos"/>
                <w:b w:val="0"/>
                <w:sz w:val="16"/>
              </w:rPr>
              <w:t>Vacant-unit reservation; deposit/rent/utility settlement tracking; activation email is gated on the move-in balance being cleared.</w:t>
            </w:r>
          </w:p>
        </w:tc>
      </w:tr>
      <w:tr>
        <w:tc>
          <w:tcPr>
            <w:tcW w:type="dxa" w:w="5083"/>
            <w:vAlign w:val="center"/>
            <w:tcMar>
              <w:top w:w="70" w:type="dxa"/>
              <w:start w:w="95" w:type="dxa"/>
              <w:bottom w:w="70" w:type="dxa"/>
              <w:end w:w="95" w:type="dxa"/>
            </w:tcMar>
          </w:tcPr>
          <w:p>
            <w:pPr>
              <w:spacing w:after="20" w:before="20"/>
            </w:pPr>
            <w:r/>
            <w:r>
              <w:rPr>
                <w:rFonts w:ascii="Aptos" w:hAnsi="Aptos"/>
                <w:b/>
                <w:sz w:val="16"/>
              </w:rPr>
              <w:t>Billing and ledger</w:t>
            </w:r>
          </w:p>
        </w:tc>
        <w:tc>
          <w:tcPr>
            <w:tcW w:type="dxa" w:w="5083"/>
            <w:vAlign w:val="center"/>
            <w:tcMar>
              <w:top w:w="70" w:type="dxa"/>
              <w:start w:w="95" w:type="dxa"/>
              <w:bottom w:w="70" w:type="dxa"/>
              <w:end w:w="95" w:type="dxa"/>
            </w:tcMar>
          </w:tcPr>
          <w:p>
            <w:pPr>
              <w:spacing w:after="20" w:before="20"/>
            </w:pPr>
            <w:r/>
            <w:r>
              <w:rPr>
                <w:rFonts w:ascii="Aptos" w:hAnsi="Aptos"/>
                <w:b w:val="0"/>
                <w:sz w:val="16"/>
              </w:rPr>
              <w:t>Draft invoice generation, recurring charges, arrears carry-forward, publication timing, payment records and landlord/caretaker ledgers.</w:t>
            </w:r>
          </w:p>
        </w:tc>
      </w:tr>
      <w:tr>
        <w:tc>
          <w:tcPr>
            <w:tcW w:type="dxa" w:w="5083"/>
            <w:vAlign w:val="center"/>
            <w:shd w:fill="F2F5F7"/>
            <w:tcMar>
              <w:top w:w="70" w:type="dxa"/>
              <w:start w:w="95" w:type="dxa"/>
              <w:bottom w:w="70" w:type="dxa"/>
              <w:end w:w="95" w:type="dxa"/>
            </w:tcMar>
          </w:tcPr>
          <w:p>
            <w:pPr>
              <w:spacing w:after="20" w:before="20"/>
            </w:pPr>
            <w:r/>
            <w:r>
              <w:rPr>
                <w:rFonts w:ascii="Aptos" w:hAnsi="Aptos"/>
                <w:b/>
                <w:sz w:val="16"/>
              </w:rPr>
              <w:t>Water and utilities</w:t>
            </w:r>
          </w:p>
        </w:tc>
        <w:tc>
          <w:tcPr>
            <w:tcW w:type="dxa" w:w="5083"/>
            <w:vAlign w:val="center"/>
            <w:shd w:fill="F2F5F7"/>
            <w:tcMar>
              <w:top w:w="70" w:type="dxa"/>
              <w:start w:w="95" w:type="dxa"/>
              <w:bottom w:w="70" w:type="dxa"/>
              <w:end w:w="95" w:type="dxa"/>
            </w:tcMar>
          </w:tcPr>
          <w:p>
            <w:pPr>
              <w:spacing w:after="20" w:before="20"/>
            </w:pPr>
            <w:r/>
            <w:r>
              <w:rPr>
                <w:rFonts w:ascii="Aptos" w:hAnsi="Aptos"/>
                <w:b w:val="0"/>
                <w:sz w:val="16"/>
              </w:rPr>
              <w:t>Caretaker baseline and monthly meter readings; reading-dependent water calculations; recurring fixed charges.</w:t>
            </w:r>
          </w:p>
        </w:tc>
      </w:tr>
      <w:tr>
        <w:tc>
          <w:tcPr>
            <w:tcW w:type="dxa" w:w="5083"/>
            <w:vAlign w:val="center"/>
            <w:tcMar>
              <w:top w:w="70" w:type="dxa"/>
              <w:start w:w="95" w:type="dxa"/>
              <w:bottom w:w="70" w:type="dxa"/>
              <w:end w:w="95" w:type="dxa"/>
            </w:tcMar>
          </w:tcPr>
          <w:p>
            <w:pPr>
              <w:spacing w:after="20" w:before="20"/>
            </w:pPr>
            <w:r/>
            <w:r>
              <w:rPr>
                <w:rFonts w:ascii="Aptos" w:hAnsi="Aptos"/>
                <w:b/>
                <w:sz w:val="16"/>
              </w:rPr>
              <w:t>Payments</w:t>
            </w:r>
          </w:p>
        </w:tc>
        <w:tc>
          <w:tcPr>
            <w:tcW w:type="dxa" w:w="5083"/>
            <w:vAlign w:val="center"/>
            <w:tcMar>
              <w:top w:w="70" w:type="dxa"/>
              <w:start w:w="95" w:type="dxa"/>
              <w:bottom w:w="70" w:type="dxa"/>
              <w:end w:w="95" w:type="dxa"/>
            </w:tcMar>
          </w:tcPr>
          <w:p>
            <w:pPr>
              <w:spacing w:after="20" w:before="20"/>
            </w:pPr>
            <w:r/>
            <w:r>
              <w:rPr>
                <w:rFonts w:ascii="Aptos" w:hAnsi="Aptos"/>
                <w:b w:val="0"/>
                <w:sz w:val="16"/>
              </w:rPr>
              <w:t>Manual cash/bank/manual-M-Pesa recording and an M-Pesa STK Push/callback path. Current STK code targets Safaricom sandbox.</w:t>
            </w:r>
          </w:p>
        </w:tc>
      </w:tr>
      <w:tr>
        <w:tc>
          <w:tcPr>
            <w:tcW w:type="dxa" w:w="5083"/>
            <w:vAlign w:val="center"/>
            <w:shd w:fill="F2F5F7"/>
            <w:tcMar>
              <w:top w:w="70" w:type="dxa"/>
              <w:start w:w="95" w:type="dxa"/>
              <w:bottom w:w="70" w:type="dxa"/>
              <w:end w:w="95" w:type="dxa"/>
            </w:tcMar>
          </w:tcPr>
          <w:p>
            <w:pPr>
              <w:spacing w:after="20" w:before="20"/>
            </w:pPr>
            <w:r/>
            <w:r>
              <w:rPr>
                <w:rFonts w:ascii="Aptos" w:hAnsi="Aptos"/>
                <w:b/>
                <w:sz w:val="16"/>
              </w:rPr>
              <w:t>Maintenance and communication</w:t>
            </w:r>
          </w:p>
        </w:tc>
        <w:tc>
          <w:tcPr>
            <w:tcW w:type="dxa" w:w="5083"/>
            <w:vAlign w:val="center"/>
            <w:shd w:fill="F2F5F7"/>
            <w:tcMar>
              <w:top w:w="70" w:type="dxa"/>
              <w:start w:w="95" w:type="dxa"/>
              <w:bottom w:w="70" w:type="dxa"/>
              <w:end w:w="95" w:type="dxa"/>
            </w:tcMar>
          </w:tcPr>
          <w:p>
            <w:pPr>
              <w:spacing w:after="20" w:before="20"/>
            </w:pPr>
            <w:r/>
            <w:r>
              <w:rPr>
                <w:rFonts w:ascii="Aptos" w:hAnsi="Aptos"/>
                <w:b w:val="0"/>
                <w:sz w:val="16"/>
              </w:rPr>
              <w:t>Tenant requests; landlord/caretaker ticket updates and comments; caretaker announcements shown to tenants.</w:t>
            </w:r>
          </w:p>
        </w:tc>
      </w:tr>
      <w:tr>
        <w:tc>
          <w:tcPr>
            <w:tcW w:type="dxa" w:w="5083"/>
            <w:vAlign w:val="center"/>
            <w:tcMar>
              <w:top w:w="70" w:type="dxa"/>
              <w:start w:w="95" w:type="dxa"/>
              <w:bottom w:w="70" w:type="dxa"/>
              <w:end w:w="95" w:type="dxa"/>
            </w:tcMar>
          </w:tcPr>
          <w:p>
            <w:pPr>
              <w:spacing w:after="20" w:before="20"/>
            </w:pPr>
            <w:r/>
            <w:r>
              <w:rPr>
                <w:rFonts w:ascii="Aptos" w:hAnsi="Aptos"/>
                <w:b/>
                <w:sz w:val="16"/>
              </w:rPr>
              <w:t>Tenant portal</w:t>
            </w:r>
          </w:p>
        </w:tc>
        <w:tc>
          <w:tcPr>
            <w:tcW w:type="dxa" w:w="5083"/>
            <w:vAlign w:val="center"/>
            <w:tcMar>
              <w:top w:w="70" w:type="dxa"/>
              <w:start w:w="95" w:type="dxa"/>
              <w:bottom w:w="70" w:type="dxa"/>
              <w:end w:w="95" w:type="dxa"/>
            </w:tcMar>
          </w:tcPr>
          <w:p>
            <w:pPr>
              <w:spacing w:after="20" w:before="20"/>
            </w:pPr>
            <w:r/>
            <w:r>
              <w:rPr>
                <w:rFonts w:ascii="Aptos" w:hAnsi="Aptos"/>
                <w:b w:val="0"/>
                <w:sz w:val="16"/>
              </w:rPr>
              <w:t>Invoices, balances, due dates, payment history, move-in balance and announcements.</w:t>
            </w:r>
          </w:p>
        </w:tc>
      </w:tr>
      <w:tr>
        <w:tc>
          <w:tcPr>
            <w:tcW w:type="dxa" w:w="5083"/>
            <w:vAlign w:val="center"/>
            <w:shd w:fill="F2F5F7"/>
            <w:tcMar>
              <w:top w:w="70" w:type="dxa"/>
              <w:start w:w="95" w:type="dxa"/>
              <w:bottom w:w="70" w:type="dxa"/>
              <w:end w:w="95" w:type="dxa"/>
            </w:tcMar>
          </w:tcPr>
          <w:p>
            <w:pPr>
              <w:spacing w:after="20" w:before="20"/>
            </w:pPr>
            <w:r/>
            <w:r>
              <w:rPr>
                <w:rFonts w:ascii="Aptos" w:hAnsi="Aptos"/>
                <w:b/>
                <w:sz w:val="16"/>
              </w:rPr>
              <w:t>Public-facing page</w:t>
            </w:r>
          </w:p>
        </w:tc>
        <w:tc>
          <w:tcPr>
            <w:tcW w:type="dxa" w:w="5083"/>
            <w:vAlign w:val="center"/>
            <w:shd w:fill="F2F5F7"/>
            <w:tcMar>
              <w:top w:w="70" w:type="dxa"/>
              <w:start w:w="95" w:type="dxa"/>
              <w:bottom w:w="70" w:type="dxa"/>
              <w:end w:w="95" w:type="dxa"/>
            </w:tcMar>
          </w:tcPr>
          <w:p>
            <w:pPr>
              <w:spacing w:after="20" w:before="20"/>
            </w:pPr>
            <w:r/>
            <w:r>
              <w:rPr>
                <w:rFonts w:ascii="Aptos" w:hAnsi="Aptos"/>
                <w:b w:val="0"/>
                <w:sz w:val="16"/>
              </w:rPr>
              <w:t>Marketing/introductory landing page with links to landlord signup and login.</w:t>
            </w:r>
          </w:p>
        </w:tc>
      </w:tr>
    </w:tbl>
    <w:p>
      <w:pPr>
        <w:spacing w:after="0"/>
      </w:pPr>
    </w:p>
    <w:p>
      <w:pPr>
        <w:pStyle w:val="Heading2"/>
      </w:pPr>
      <w:r>
        <w:t>Current technology and structure</w:t>
      </w:r>
    </w:p>
    <w:tbl>
      <w:tblPr>
        <w:tblStyle w:val="TableGrid"/>
        <w:tblW w:type="auto" w:w="0"/>
        <w:jc w:val="center"/>
        <w:tblLayout w:type="fixed"/>
        <w:tblLook w:firstColumn="1" w:firstRow="1" w:lastColumn="0" w:lastRow="0" w:noHBand="0" w:noVBand="1" w:val="04A0"/>
      </w:tblPr>
      <w:tblGrid>
        <w:gridCol w:w="5083"/>
        <w:gridCol w:w="5083"/>
      </w:tblGrid>
      <w:tr>
        <w:tc>
          <w:tcPr>
            <w:tcW w:type="dxa" w:w="5083"/>
            <w:vAlign w:val="center"/>
            <w:shd w:fill="123047"/>
            <w:tcMar>
              <w:top w:w="70" w:type="dxa"/>
              <w:start w:w="95" w:type="dxa"/>
              <w:bottom w:w="70" w:type="dxa"/>
              <w:end w:w="95" w:type="dxa"/>
            </w:tcMar>
          </w:tcPr>
          <w:p>
            <w:pPr>
              <w:spacing w:after="20" w:before="20"/>
            </w:pPr>
            <w:r/>
            <w:r>
              <w:rPr>
                <w:rFonts w:ascii="Aptos" w:hAnsi="Aptos"/>
                <w:b/>
                <w:color w:val="FFFFFF"/>
                <w:sz w:val="16"/>
              </w:rPr>
              <w:t>Layer</w:t>
            </w:r>
          </w:p>
        </w:tc>
        <w:tc>
          <w:tcPr>
            <w:tcW w:type="dxa" w:w="5083"/>
            <w:vAlign w:val="center"/>
            <w:shd w:fill="123047"/>
            <w:tcMar>
              <w:top w:w="70" w:type="dxa"/>
              <w:start w:w="95" w:type="dxa"/>
              <w:bottom w:w="70" w:type="dxa"/>
              <w:end w:w="95" w:type="dxa"/>
            </w:tcMar>
          </w:tcPr>
          <w:p>
            <w:pPr>
              <w:spacing w:after="20" w:before="20"/>
            </w:pPr>
            <w:r/>
            <w:r>
              <w:rPr>
                <w:rFonts w:ascii="Aptos" w:hAnsi="Aptos"/>
                <w:b/>
                <w:color w:val="FFFFFF"/>
                <w:sz w:val="16"/>
              </w:rPr>
              <w:t>Current implementation</w:t>
            </w:r>
          </w:p>
        </w:tc>
      </w:tr>
      <w:tr>
        <w:tc>
          <w:tcPr>
            <w:tcW w:type="dxa" w:w="5083"/>
            <w:vAlign w:val="center"/>
            <w:tcMar>
              <w:top w:w="70" w:type="dxa"/>
              <w:start w:w="95" w:type="dxa"/>
              <w:bottom w:w="70" w:type="dxa"/>
              <w:end w:w="95" w:type="dxa"/>
            </w:tcMar>
          </w:tcPr>
          <w:p>
            <w:pPr>
              <w:spacing w:after="20" w:before="20"/>
            </w:pPr>
            <w:r/>
            <w:r>
              <w:rPr>
                <w:rFonts w:ascii="Aptos" w:hAnsi="Aptos"/>
                <w:b/>
                <w:sz w:val="16"/>
              </w:rPr>
              <w:t>Web application</w:t>
            </w:r>
          </w:p>
        </w:tc>
        <w:tc>
          <w:tcPr>
            <w:tcW w:type="dxa" w:w="5083"/>
            <w:vAlign w:val="center"/>
            <w:tcMar>
              <w:top w:w="70" w:type="dxa"/>
              <w:start w:w="95" w:type="dxa"/>
              <w:bottom w:w="70" w:type="dxa"/>
              <w:end w:w="95" w:type="dxa"/>
            </w:tcMar>
          </w:tcPr>
          <w:p>
            <w:pPr>
              <w:spacing w:after="20" w:before="20"/>
            </w:pPr>
            <w:r/>
            <w:r>
              <w:rPr>
                <w:rFonts w:ascii="Aptos" w:hAnsi="Aptos"/>
                <w:b w:val="0"/>
                <w:sz w:val="16"/>
              </w:rPr>
              <w:t>Next.js 16, React 18 and TypeScript 5.</w:t>
            </w:r>
          </w:p>
        </w:tc>
      </w:tr>
      <w:tr>
        <w:tc>
          <w:tcPr>
            <w:tcW w:type="dxa" w:w="5083"/>
            <w:vAlign w:val="center"/>
            <w:shd w:fill="F2F5F7"/>
            <w:tcMar>
              <w:top w:w="70" w:type="dxa"/>
              <w:start w:w="95" w:type="dxa"/>
              <w:bottom w:w="70" w:type="dxa"/>
              <w:end w:w="95" w:type="dxa"/>
            </w:tcMar>
          </w:tcPr>
          <w:p>
            <w:pPr>
              <w:spacing w:after="20" w:before="20"/>
            </w:pPr>
            <w:r/>
            <w:r>
              <w:rPr>
                <w:rFonts w:ascii="Aptos" w:hAnsi="Aptos"/>
                <w:b/>
                <w:sz w:val="16"/>
              </w:rPr>
              <w:t>Backend and database</w:t>
            </w:r>
          </w:p>
        </w:tc>
        <w:tc>
          <w:tcPr>
            <w:tcW w:type="dxa" w:w="5083"/>
            <w:vAlign w:val="center"/>
            <w:shd w:fill="F2F5F7"/>
            <w:tcMar>
              <w:top w:w="70" w:type="dxa"/>
              <w:start w:w="95" w:type="dxa"/>
              <w:bottom w:w="70" w:type="dxa"/>
              <w:end w:w="95" w:type="dxa"/>
            </w:tcMar>
          </w:tcPr>
          <w:p>
            <w:pPr>
              <w:spacing w:after="20" w:before="20"/>
            </w:pPr>
            <w:r/>
            <w:r>
              <w:rPr>
                <w:rFonts w:ascii="Aptos" w:hAnsi="Aptos"/>
                <w:b w:val="0"/>
                <w:sz w:val="16"/>
              </w:rPr>
              <w:t>Supabase Auth and Supabase/PostgreSQL client; SQL migration at `supabase/phase-one.sql` augments an assumed existing schema.</w:t>
            </w:r>
          </w:p>
        </w:tc>
      </w:tr>
      <w:tr>
        <w:tc>
          <w:tcPr>
            <w:tcW w:type="dxa" w:w="5083"/>
            <w:vAlign w:val="center"/>
            <w:tcMar>
              <w:top w:w="70" w:type="dxa"/>
              <w:start w:w="95" w:type="dxa"/>
              <w:bottom w:w="70" w:type="dxa"/>
              <w:end w:w="95" w:type="dxa"/>
            </w:tcMar>
          </w:tcPr>
          <w:p>
            <w:pPr>
              <w:spacing w:after="20" w:before="20"/>
            </w:pPr>
            <w:r/>
            <w:r>
              <w:rPr>
                <w:rFonts w:ascii="Aptos" w:hAnsi="Aptos"/>
                <w:b/>
                <w:sz w:val="16"/>
              </w:rPr>
              <w:t>Authentication/access</w:t>
            </w:r>
          </w:p>
        </w:tc>
        <w:tc>
          <w:tcPr>
            <w:tcW w:type="dxa" w:w="5083"/>
            <w:vAlign w:val="center"/>
            <w:tcMar>
              <w:top w:w="70" w:type="dxa"/>
              <w:start w:w="95" w:type="dxa"/>
              <w:bottom w:w="70" w:type="dxa"/>
              <w:end w:w="95" w:type="dxa"/>
            </w:tcMar>
          </w:tcPr>
          <w:p>
            <w:pPr>
              <w:spacing w:after="20" w:before="20"/>
            </w:pPr>
            <w:r/>
            <w:r>
              <w:rPr>
                <w:rFonts w:ascii="Aptos" w:hAnsi="Aptos"/>
                <w:b w:val="0"/>
                <w:sz w:val="16"/>
              </w:rPr>
              <w:t>Supabase sessions; server API role checks and selected-property membership checks. Main roles are landlord, caretaker and tenant.</w:t>
            </w:r>
          </w:p>
        </w:tc>
      </w:tr>
      <w:tr>
        <w:tc>
          <w:tcPr>
            <w:tcW w:type="dxa" w:w="5083"/>
            <w:vAlign w:val="center"/>
            <w:shd w:fill="F2F5F7"/>
            <w:tcMar>
              <w:top w:w="70" w:type="dxa"/>
              <w:start w:w="95" w:type="dxa"/>
              <w:bottom w:w="70" w:type="dxa"/>
              <w:end w:w="95" w:type="dxa"/>
            </w:tcMar>
          </w:tcPr>
          <w:p>
            <w:pPr>
              <w:spacing w:after="20" w:before="20"/>
            </w:pPr>
            <w:r/>
            <w:r>
              <w:rPr>
                <w:rFonts w:ascii="Aptos" w:hAnsi="Aptos"/>
                <w:b/>
                <w:sz w:val="16"/>
              </w:rPr>
              <w:t>External services</w:t>
            </w:r>
          </w:p>
        </w:tc>
        <w:tc>
          <w:tcPr>
            <w:tcW w:type="dxa" w:w="5083"/>
            <w:vAlign w:val="center"/>
            <w:shd w:fill="F2F5F7"/>
            <w:tcMar>
              <w:top w:w="70" w:type="dxa"/>
              <w:start w:w="95" w:type="dxa"/>
              <w:bottom w:w="70" w:type="dxa"/>
              <w:end w:w="95" w:type="dxa"/>
            </w:tcMar>
          </w:tcPr>
          <w:p>
            <w:pPr>
              <w:spacing w:after="20" w:before="20"/>
            </w:pPr>
            <w:r/>
            <w:r>
              <w:rPr>
                <w:rFonts w:ascii="Aptos" w:hAnsi="Aptos"/>
                <w:b w:val="0"/>
                <w:sz w:val="16"/>
              </w:rPr>
              <w:t>Brevo email configuration is supported in invitation/activation paths; Safaricom Daraja STK Push code exists but is sandbox-oriented.</w:t>
            </w:r>
          </w:p>
        </w:tc>
      </w:tr>
      <w:tr>
        <w:tc>
          <w:tcPr>
            <w:tcW w:type="dxa" w:w="5083"/>
            <w:vAlign w:val="center"/>
            <w:tcMar>
              <w:top w:w="70" w:type="dxa"/>
              <w:start w:w="95" w:type="dxa"/>
              <w:bottom w:w="70" w:type="dxa"/>
              <w:end w:w="95" w:type="dxa"/>
            </w:tcMar>
          </w:tcPr>
          <w:p>
            <w:pPr>
              <w:spacing w:after="20" w:before="20"/>
            </w:pPr>
            <w:r/>
            <w:r>
              <w:rPr>
                <w:rFonts w:ascii="Aptos" w:hAnsi="Aptos"/>
                <w:b/>
                <w:sz w:val="16"/>
              </w:rPr>
              <w:t>Scheduling/deployment</w:t>
            </w:r>
          </w:p>
        </w:tc>
        <w:tc>
          <w:tcPr>
            <w:tcW w:type="dxa" w:w="5083"/>
            <w:vAlign w:val="center"/>
            <w:tcMar>
              <w:top w:w="70" w:type="dxa"/>
              <w:start w:w="95" w:type="dxa"/>
              <w:bottom w:w="70" w:type="dxa"/>
              <w:end w:w="95" w:type="dxa"/>
            </w:tcMar>
          </w:tcPr>
          <w:p>
            <w:pPr>
              <w:spacing w:after="20" w:before="20"/>
            </w:pPr>
            <w:r/>
            <w:r>
              <w:rPr>
                <w:rFonts w:ascii="Aptos" w:hAnsi="Aptos"/>
                <w:b w:val="0"/>
                <w:sz w:val="16"/>
              </w:rPr>
              <w:t>Vercel cron configuration for monthly billing. No CI/CD, Kubernetes or production queue setup was found in this checkout.</w:t>
            </w:r>
          </w:p>
        </w:tc>
      </w:tr>
      <w:tr>
        <w:tc>
          <w:tcPr>
            <w:tcW w:type="dxa" w:w="5083"/>
            <w:vAlign w:val="center"/>
            <w:shd w:fill="F2F5F7"/>
            <w:tcMar>
              <w:top w:w="70" w:type="dxa"/>
              <w:start w:w="95" w:type="dxa"/>
              <w:bottom w:w="70" w:type="dxa"/>
              <w:end w:w="95" w:type="dxa"/>
            </w:tcMar>
          </w:tcPr>
          <w:p>
            <w:pPr>
              <w:spacing w:after="20" w:before="20"/>
            </w:pPr>
            <w:r/>
            <w:r>
              <w:rPr>
                <w:rFonts w:ascii="Aptos" w:hAnsi="Aptos"/>
                <w:b/>
                <w:sz w:val="16"/>
              </w:rPr>
              <w:t>Testing/tooling</w:t>
            </w:r>
          </w:p>
        </w:tc>
        <w:tc>
          <w:tcPr>
            <w:tcW w:type="dxa" w:w="5083"/>
            <w:vAlign w:val="center"/>
            <w:shd w:fill="F2F5F7"/>
            <w:tcMar>
              <w:top w:w="70" w:type="dxa"/>
              <w:start w:w="95" w:type="dxa"/>
              <w:bottom w:w="70" w:type="dxa"/>
              <w:end w:w="95" w:type="dxa"/>
            </w:tcMar>
          </w:tcPr>
          <w:p>
            <w:pPr>
              <w:spacing w:after="20" w:before="20"/>
            </w:pPr>
            <w:r/>
            <w:r>
              <w:rPr>
                <w:rFonts w:ascii="Aptos" w:hAnsi="Aptos"/>
                <w:b w:val="0"/>
                <w:sz w:val="16"/>
              </w:rPr>
              <w:t>Package scripts include development, build, start and lint. A test script was not present in `package.json`.</w:t>
            </w:r>
          </w:p>
        </w:tc>
      </w:tr>
      <w:tr>
        <w:tc>
          <w:tcPr>
            <w:tcW w:type="dxa" w:w="5083"/>
            <w:vAlign w:val="center"/>
            <w:tcMar>
              <w:top w:w="70" w:type="dxa"/>
              <w:start w:w="95" w:type="dxa"/>
              <w:bottom w:w="70" w:type="dxa"/>
              <w:end w:w="95" w:type="dxa"/>
            </w:tcMar>
          </w:tcPr>
          <w:p>
            <w:pPr>
              <w:spacing w:after="20" w:before="20"/>
            </w:pPr>
            <w:r/>
            <w:r>
              <w:rPr>
                <w:rFonts w:ascii="Aptos" w:hAnsi="Aptos"/>
                <w:b/>
                <w:sz w:val="16"/>
              </w:rPr>
              <w:t>Code organization</w:t>
            </w:r>
          </w:p>
        </w:tc>
        <w:tc>
          <w:tcPr>
            <w:tcW w:type="dxa" w:w="5083"/>
            <w:vAlign w:val="center"/>
            <w:tcMar>
              <w:top w:w="70" w:type="dxa"/>
              <w:start w:w="95" w:type="dxa"/>
              <w:bottom w:w="70" w:type="dxa"/>
              <w:end w:w="95" w:type="dxa"/>
            </w:tcMar>
          </w:tcPr>
          <w:p>
            <w:pPr>
              <w:spacing w:after="20" w:before="20"/>
            </w:pPr>
            <w:r/>
            <w:r>
              <w:rPr>
                <w:rFonts w:ascii="Aptos" w:hAnsi="Aptos"/>
                <w:b w:val="0"/>
                <w:sz w:val="16"/>
              </w:rPr>
              <w:t>Next.js route pages under `app/`, API handlers under `app/api/`, shared logic under `lib/`, role components under `components/`, and Supabase SQL under `supabase/`.</w:t>
            </w:r>
          </w:p>
        </w:tc>
      </w:tr>
    </w:tbl>
    <w:p>
      <w:pPr>
        <w:spacing w:after="0"/>
      </w:pPr>
    </w:p>
    <w:p>
      <w:pPr>
        <w:pStyle w:val="Heading1"/>
      </w:pPr>
      <w:r>
        <w:t>3. Comparison with the proposed specification</w:t>
      </w:r>
    </w:p>
    <w:p>
      <w:r>
        <w:t>The table condenses the ten functional modules in the requirements write-up. The current system is strongest in the rental workflow and does not yet implement the complete agency platform.</w:t>
      </w:r>
    </w:p>
    <w:tbl>
      <w:tblPr>
        <w:tblStyle w:val="TableGrid"/>
        <w:tblW w:type="auto" w:w="0"/>
        <w:jc w:val="center"/>
        <w:tblLayout w:type="fixed"/>
        <w:tblLook w:firstColumn="1" w:firstRow="1" w:lastColumn="0" w:lastRow="0" w:noHBand="0" w:noVBand="1" w:val="04A0"/>
      </w:tblPr>
      <w:tblGrid>
        <w:gridCol w:w="3389"/>
        <w:gridCol w:w="3389"/>
        <w:gridCol w:w="3389"/>
      </w:tblGrid>
      <w:tr>
        <w:tc>
          <w:tcPr>
            <w:tcW w:type="dxa" w:w="3389"/>
            <w:vAlign w:val="center"/>
            <w:shd w:fill="123047"/>
            <w:tcMar>
              <w:top w:w="70" w:type="dxa"/>
              <w:start w:w="95" w:type="dxa"/>
              <w:bottom w:w="70" w:type="dxa"/>
              <w:end w:w="95" w:type="dxa"/>
            </w:tcMar>
          </w:tcPr>
          <w:p>
            <w:pPr>
              <w:spacing w:after="20" w:before="20"/>
            </w:pPr>
            <w:r/>
            <w:r>
              <w:rPr>
                <w:rFonts w:ascii="Aptos" w:hAnsi="Aptos"/>
                <w:b/>
                <w:color w:val="FFFFFF"/>
                <w:sz w:val="16"/>
              </w:rPr>
              <w:t>Specification module</w:t>
            </w:r>
          </w:p>
        </w:tc>
        <w:tc>
          <w:tcPr>
            <w:tcW w:type="dxa" w:w="3389"/>
            <w:vAlign w:val="center"/>
            <w:shd w:fill="123047"/>
            <w:tcMar>
              <w:top w:w="70" w:type="dxa"/>
              <w:start w:w="95" w:type="dxa"/>
              <w:bottom w:w="70" w:type="dxa"/>
              <w:end w:w="95" w:type="dxa"/>
            </w:tcMar>
          </w:tcPr>
          <w:p>
            <w:pPr>
              <w:spacing w:after="20" w:before="20"/>
            </w:pPr>
            <w:r/>
            <w:r>
              <w:rPr>
                <w:rFonts w:ascii="Aptos" w:hAnsi="Aptos"/>
                <w:b/>
                <w:color w:val="FFFFFF"/>
                <w:sz w:val="16"/>
              </w:rPr>
              <w:t>Status in current project</w:t>
            </w:r>
          </w:p>
        </w:tc>
        <w:tc>
          <w:tcPr>
            <w:tcW w:type="dxa" w:w="3389"/>
            <w:vAlign w:val="center"/>
            <w:shd w:fill="123047"/>
            <w:tcMar>
              <w:top w:w="70" w:type="dxa"/>
              <w:start w:w="95" w:type="dxa"/>
              <w:bottom w:w="70" w:type="dxa"/>
              <w:end w:w="95" w:type="dxa"/>
            </w:tcMar>
          </w:tcPr>
          <w:p>
            <w:pPr>
              <w:spacing w:after="20" w:before="20"/>
            </w:pPr>
            <w:r/>
            <w:r>
              <w:rPr>
                <w:rFonts w:ascii="Aptos" w:hAnsi="Aptos"/>
                <w:b/>
                <w:color w:val="FFFFFF"/>
                <w:sz w:val="16"/>
              </w:rPr>
              <w:t>Main difference / missing scope</w:t>
            </w:r>
          </w:p>
        </w:tc>
      </w:tr>
      <w:tr>
        <w:tc>
          <w:tcPr>
            <w:tcW w:type="dxa" w:w="3389"/>
            <w:vAlign w:val="center"/>
            <w:tcMar>
              <w:top w:w="70" w:type="dxa"/>
              <w:start w:w="95" w:type="dxa"/>
              <w:bottom w:w="70" w:type="dxa"/>
              <w:end w:w="95" w:type="dxa"/>
            </w:tcMar>
          </w:tcPr>
          <w:p>
            <w:pPr>
              <w:spacing w:after="20" w:before="20"/>
            </w:pPr>
            <w:r/>
            <w:r>
              <w:rPr>
                <w:rFonts w:ascii="Aptos" w:hAnsi="Aptos"/>
                <w:b/>
                <w:sz w:val="16"/>
              </w:rPr>
              <w:t>1. Property and unit management</w:t>
            </w:r>
          </w:p>
        </w:tc>
        <w:tc>
          <w:tcPr>
            <w:tcW w:type="dxa" w:w="3389"/>
            <w:vAlign w:val="center"/>
            <w:tcMar>
              <w:top w:w="70" w:type="dxa"/>
              <w:start w:w="95" w:type="dxa"/>
              <w:bottom w:w="70" w:type="dxa"/>
              <w:end w:w="95" w:type="dxa"/>
            </w:tcMar>
          </w:tcPr>
          <w:p>
            <w:pPr>
              <w:spacing w:after="20" w:before="20"/>
            </w:pPr>
            <w:r/>
            <w:r>
              <w:rPr>
                <w:rFonts w:ascii="Aptos" w:hAnsi="Aptos"/>
                <w:b w:val="0"/>
                <w:sz w:val="16"/>
              </w:rPr>
              <w:t>Partial</w:t>
            </w:r>
          </w:p>
        </w:tc>
        <w:tc>
          <w:tcPr>
            <w:tcW w:type="dxa" w:w="3389"/>
            <w:vAlign w:val="center"/>
            <w:tcMar>
              <w:top w:w="70" w:type="dxa"/>
              <w:start w:w="95" w:type="dxa"/>
              <w:bottom w:w="70" w:type="dxa"/>
              <w:end w:w="95" w:type="dxa"/>
            </w:tcMar>
          </w:tcPr>
          <w:p>
            <w:pPr>
              <w:spacing w:after="20" w:before="20"/>
            </w:pPr>
            <w:r/>
            <w:r>
              <w:rPr>
                <w:rFonts w:ascii="Aptos" w:hAnsi="Aptos"/>
                <w:b w:val="0"/>
                <w:sz w:val="16"/>
              </w:rPr>
              <w:t>Property, unit, floor, rent and utility basics exist. Branches, rich property records, amenities, GPS, photos/documents, blocks and system-wide unit-code rules are not established.</w:t>
            </w:r>
          </w:p>
        </w:tc>
      </w:tr>
      <w:tr>
        <w:tc>
          <w:tcPr>
            <w:tcW w:type="dxa" w:w="3389"/>
            <w:vAlign w:val="center"/>
            <w:shd w:fill="F2F5F7"/>
            <w:tcMar>
              <w:top w:w="70" w:type="dxa"/>
              <w:start w:w="95" w:type="dxa"/>
              <w:bottom w:w="70" w:type="dxa"/>
              <w:end w:w="95" w:type="dxa"/>
            </w:tcMar>
          </w:tcPr>
          <w:p>
            <w:pPr>
              <w:spacing w:after="20" w:before="20"/>
            </w:pPr>
            <w:r/>
            <w:r>
              <w:rPr>
                <w:rFonts w:ascii="Aptos" w:hAnsi="Aptos"/>
                <w:b/>
                <w:sz w:val="16"/>
              </w:rPr>
              <w:t>2. Landlord management</w:t>
            </w:r>
          </w:p>
        </w:tc>
        <w:tc>
          <w:tcPr>
            <w:tcW w:type="dxa" w:w="3389"/>
            <w:vAlign w:val="center"/>
            <w:shd w:fill="F2F5F7"/>
            <w:tcMar>
              <w:top w:w="70" w:type="dxa"/>
              <w:start w:w="95" w:type="dxa"/>
              <w:bottom w:w="70" w:type="dxa"/>
              <w:end w:w="95" w:type="dxa"/>
            </w:tcMar>
          </w:tcPr>
          <w:p>
            <w:pPr>
              <w:spacing w:after="20" w:before="20"/>
            </w:pPr>
            <w:r/>
            <w:r>
              <w:rPr>
                <w:rFonts w:ascii="Aptos" w:hAnsi="Aptos"/>
                <w:b w:val="0"/>
                <w:sz w:val="16"/>
              </w:rPr>
              <w:t>Partial</w:t>
            </w:r>
          </w:p>
        </w:tc>
        <w:tc>
          <w:tcPr>
            <w:tcW w:type="dxa" w:w="3389"/>
            <w:vAlign w:val="center"/>
            <w:shd w:fill="F2F5F7"/>
            <w:tcMar>
              <w:top w:w="70" w:type="dxa"/>
              <w:start w:w="95" w:type="dxa"/>
              <w:bottom w:w="70" w:type="dxa"/>
              <w:end w:w="95" w:type="dxa"/>
            </w:tcMar>
          </w:tcPr>
          <w:p>
            <w:pPr>
              <w:spacing w:after="20" w:before="20"/>
            </w:pPr>
            <w:r/>
            <w:r>
              <w:rPr>
                <w:rFonts w:ascii="Aptos" w:hAnsi="Aptos"/>
                <w:b w:val="0"/>
                <w:sz w:val="16"/>
              </w:rPr>
              <w:t>Owner accounts, properties and caretaker/staff access exist. Agency landlord KYC, management agreements, commission terms and payout details are missing.</w:t>
            </w:r>
          </w:p>
        </w:tc>
      </w:tr>
      <w:tr>
        <w:tc>
          <w:tcPr>
            <w:tcW w:type="dxa" w:w="3389"/>
            <w:vAlign w:val="center"/>
            <w:tcMar>
              <w:top w:w="70" w:type="dxa"/>
              <w:start w:w="95" w:type="dxa"/>
              <w:bottom w:w="70" w:type="dxa"/>
              <w:end w:w="95" w:type="dxa"/>
            </w:tcMar>
          </w:tcPr>
          <w:p>
            <w:pPr>
              <w:spacing w:after="20" w:before="20"/>
            </w:pPr>
            <w:r/>
            <w:r>
              <w:rPr>
                <w:rFonts w:ascii="Aptos" w:hAnsi="Aptos"/>
                <w:b/>
                <w:sz w:val="16"/>
              </w:rPr>
              <w:t>3. Tenant management and tenancies</w:t>
            </w:r>
          </w:p>
        </w:tc>
        <w:tc>
          <w:tcPr>
            <w:tcW w:type="dxa" w:w="3389"/>
            <w:vAlign w:val="center"/>
            <w:tcMar>
              <w:top w:w="70" w:type="dxa"/>
              <w:start w:w="95" w:type="dxa"/>
              <w:bottom w:w="70" w:type="dxa"/>
              <w:end w:w="95" w:type="dxa"/>
            </w:tcMar>
          </w:tcPr>
          <w:p>
            <w:pPr>
              <w:spacing w:after="20" w:before="20"/>
            </w:pPr>
            <w:r/>
            <w:r>
              <w:rPr>
                <w:rFonts w:ascii="Aptos" w:hAnsi="Aptos"/>
                <w:b w:val="0"/>
                <w:sz w:val="16"/>
              </w:rPr>
              <w:t>Substantial foundation</w:t>
            </w:r>
          </w:p>
        </w:tc>
        <w:tc>
          <w:tcPr>
            <w:tcW w:type="dxa" w:w="3389"/>
            <w:vAlign w:val="center"/>
            <w:tcMar>
              <w:top w:w="70" w:type="dxa"/>
              <w:start w:w="95" w:type="dxa"/>
              <w:bottom w:w="70" w:type="dxa"/>
              <w:end w:w="95" w:type="dxa"/>
            </w:tcMar>
          </w:tcPr>
          <w:p>
            <w:pPr>
              <w:spacing w:after="20" w:before="20"/>
            </w:pPr>
            <w:r/>
            <w:r>
              <w:rPr>
                <w:rFonts w:ascii="Aptos" w:hAnsi="Aptos"/>
                <w:b w:val="0"/>
                <w:sz w:val="16"/>
              </w:rPr>
              <w:t>Tenant onboarding, assignments, migration, deposits and move-in/out-related flows exist. Formal lease/document management, KYC and complete approved refund/checklist process are not established.</w:t>
            </w:r>
          </w:p>
        </w:tc>
      </w:tr>
      <w:tr>
        <w:tc>
          <w:tcPr>
            <w:tcW w:type="dxa" w:w="3389"/>
            <w:vAlign w:val="center"/>
            <w:shd w:fill="F2F5F7"/>
            <w:tcMar>
              <w:top w:w="70" w:type="dxa"/>
              <w:start w:w="95" w:type="dxa"/>
              <w:bottom w:w="70" w:type="dxa"/>
              <w:end w:w="95" w:type="dxa"/>
            </w:tcMar>
          </w:tcPr>
          <w:p>
            <w:pPr>
              <w:spacing w:after="20" w:before="20"/>
            </w:pPr>
            <w:r/>
            <w:r>
              <w:rPr>
                <w:rFonts w:ascii="Aptos" w:hAnsi="Aptos"/>
                <w:b/>
                <w:sz w:val="16"/>
              </w:rPr>
              <w:t>4. Rent billing, payments and arrears</w:t>
            </w:r>
          </w:p>
        </w:tc>
        <w:tc>
          <w:tcPr>
            <w:tcW w:type="dxa" w:w="3389"/>
            <w:vAlign w:val="center"/>
            <w:shd w:fill="F2F5F7"/>
            <w:tcMar>
              <w:top w:w="70" w:type="dxa"/>
              <w:start w:w="95" w:type="dxa"/>
              <w:bottom w:w="70" w:type="dxa"/>
              <w:end w:w="95" w:type="dxa"/>
            </w:tcMar>
          </w:tcPr>
          <w:p>
            <w:pPr>
              <w:spacing w:after="20" w:before="20"/>
            </w:pPr>
            <w:r/>
            <w:r>
              <w:rPr>
                <w:rFonts w:ascii="Aptos" w:hAnsi="Aptos"/>
                <w:b w:val="0"/>
                <w:sz w:val="16"/>
              </w:rPr>
              <w:t>Substantial billing; partial payments</w:t>
            </w:r>
          </w:p>
        </w:tc>
        <w:tc>
          <w:tcPr>
            <w:tcW w:type="dxa" w:w="3389"/>
            <w:vAlign w:val="center"/>
            <w:shd w:fill="F2F5F7"/>
            <w:tcMar>
              <w:top w:w="70" w:type="dxa"/>
              <w:start w:w="95" w:type="dxa"/>
              <w:bottom w:w="70" w:type="dxa"/>
              <w:end w:w="95" w:type="dxa"/>
            </w:tcMar>
          </w:tcPr>
          <w:p>
            <w:pPr>
              <w:spacing w:after="20" w:before="20"/>
            </w:pPr>
            <w:r/>
            <w:r>
              <w:rPr>
                <w:rFonts w:ascii="Aptos" w:hAnsi="Aptos"/>
                <w:b w:val="0"/>
                <w:sz w:val="16"/>
              </w:rPr>
              <w:t>Invoice generation, utilities, water, arrears and manual/STK payment paths exist. Paybill C2B matching, reconciliation/unmatched queue, bank integration, receipts and B2C payout/refund are not implemented to spec.</w:t>
            </w:r>
          </w:p>
        </w:tc>
      </w:tr>
      <w:tr>
        <w:tc>
          <w:tcPr>
            <w:tcW w:type="dxa" w:w="3389"/>
            <w:vAlign w:val="center"/>
            <w:tcMar>
              <w:top w:w="70" w:type="dxa"/>
              <w:start w:w="95" w:type="dxa"/>
              <w:bottom w:w="70" w:type="dxa"/>
              <w:end w:w="95" w:type="dxa"/>
            </w:tcMar>
          </w:tcPr>
          <w:p>
            <w:pPr>
              <w:spacing w:after="20" w:before="20"/>
            </w:pPr>
            <w:r/>
            <w:r>
              <w:rPr>
                <w:rFonts w:ascii="Aptos" w:hAnsi="Aptos"/>
                <w:b/>
                <w:sz w:val="16"/>
              </w:rPr>
              <w:t>5. Land sales</w:t>
            </w:r>
          </w:p>
        </w:tc>
        <w:tc>
          <w:tcPr>
            <w:tcW w:type="dxa" w:w="3389"/>
            <w:vAlign w:val="center"/>
            <w:tcMar>
              <w:top w:w="70" w:type="dxa"/>
              <w:start w:w="95" w:type="dxa"/>
              <w:bottom w:w="70" w:type="dxa"/>
              <w:end w:w="95" w:type="dxa"/>
            </w:tcMar>
          </w:tcPr>
          <w:p>
            <w:pPr>
              <w:spacing w:after="20" w:before="20"/>
            </w:pPr>
            <w:r/>
            <w:r>
              <w:rPr>
                <w:rFonts w:ascii="Aptos" w:hAnsi="Aptos"/>
                <w:b w:val="0"/>
                <w:sz w:val="16"/>
              </w:rPr>
              <w:t>Not implemented</w:t>
            </w:r>
          </w:p>
        </w:tc>
        <w:tc>
          <w:tcPr>
            <w:tcW w:type="dxa" w:w="3389"/>
            <w:vAlign w:val="center"/>
            <w:tcMar>
              <w:top w:w="70" w:type="dxa"/>
              <w:start w:w="95" w:type="dxa"/>
              <w:bottom w:w="70" w:type="dxa"/>
              <w:end w:w="95" w:type="dxa"/>
            </w:tcMar>
          </w:tcPr>
          <w:p>
            <w:pPr>
              <w:spacing w:after="20" w:before="20"/>
            </w:pPr>
            <w:r/>
            <w:r>
              <w:rPr>
                <w:rFonts w:ascii="Aptos" w:hAnsi="Aptos"/>
                <w:b w:val="0"/>
                <w:sz w:val="16"/>
              </w:rPr>
              <w:t>No plot inventory, buyer pipeline, sale agreement, instalments, due diligence, title transfer or land-buyer portal found.</w:t>
            </w:r>
          </w:p>
        </w:tc>
      </w:tr>
      <w:tr>
        <w:tc>
          <w:tcPr>
            <w:tcW w:type="dxa" w:w="3389"/>
            <w:vAlign w:val="center"/>
            <w:shd w:fill="F2F5F7"/>
            <w:tcMar>
              <w:top w:w="70" w:type="dxa"/>
              <w:start w:w="95" w:type="dxa"/>
              <w:bottom w:w="70" w:type="dxa"/>
              <w:end w:w="95" w:type="dxa"/>
            </w:tcMar>
          </w:tcPr>
          <w:p>
            <w:pPr>
              <w:spacing w:after="20" w:before="20"/>
            </w:pPr>
            <w:r/>
            <w:r>
              <w:rPr>
                <w:rFonts w:ascii="Aptos" w:hAnsi="Aptos"/>
                <w:b/>
                <w:sz w:val="16"/>
              </w:rPr>
              <w:t>6. Maintenance, caretakers and inspections</w:t>
            </w:r>
          </w:p>
        </w:tc>
        <w:tc>
          <w:tcPr>
            <w:tcW w:type="dxa" w:w="3389"/>
            <w:vAlign w:val="center"/>
            <w:shd w:fill="F2F5F7"/>
            <w:tcMar>
              <w:top w:w="70" w:type="dxa"/>
              <w:start w:w="95" w:type="dxa"/>
              <w:bottom w:w="70" w:type="dxa"/>
              <w:end w:w="95" w:type="dxa"/>
            </w:tcMar>
          </w:tcPr>
          <w:p>
            <w:pPr>
              <w:spacing w:after="20" w:before="20"/>
            </w:pPr>
            <w:r/>
            <w:r>
              <w:rPr>
                <w:rFonts w:ascii="Aptos" w:hAnsi="Aptos"/>
                <w:b w:val="0"/>
                <w:sz w:val="16"/>
              </w:rPr>
              <w:t>Partial</w:t>
            </w:r>
          </w:p>
        </w:tc>
        <w:tc>
          <w:tcPr>
            <w:tcW w:type="dxa" w:w="3389"/>
            <w:vAlign w:val="center"/>
            <w:shd w:fill="F2F5F7"/>
            <w:tcMar>
              <w:top w:w="70" w:type="dxa"/>
              <w:start w:w="95" w:type="dxa"/>
              <w:bottom w:w="70" w:type="dxa"/>
              <w:end w:w="95" w:type="dxa"/>
            </w:tcMar>
          </w:tcPr>
          <w:p>
            <w:pPr>
              <w:spacing w:after="20" w:before="20"/>
            </w:pPr>
            <w:r/>
            <w:r>
              <w:rPr>
                <w:rFonts w:ascii="Aptos" w:hAnsi="Aptos"/>
                <w:b w:val="0"/>
                <w:sz w:val="16"/>
              </w:rPr>
              <w:t>Tickets, comments, caretaker operations, readings and basic contractor/cost fields exist. Vendor register, recurring expense workflow, inspection schedules and structured checklists are missing.</w:t>
            </w:r>
          </w:p>
        </w:tc>
      </w:tr>
      <w:tr>
        <w:tc>
          <w:tcPr>
            <w:tcW w:type="dxa" w:w="3389"/>
            <w:vAlign w:val="center"/>
            <w:tcMar>
              <w:top w:w="70" w:type="dxa"/>
              <w:start w:w="95" w:type="dxa"/>
              <w:bottom w:w="70" w:type="dxa"/>
              <w:end w:w="95" w:type="dxa"/>
            </w:tcMar>
          </w:tcPr>
          <w:p>
            <w:pPr>
              <w:spacing w:after="20" w:before="20"/>
            </w:pPr>
            <w:r/>
            <w:r>
              <w:rPr>
                <w:rFonts w:ascii="Aptos" w:hAnsi="Aptos"/>
                <w:b/>
                <w:sz w:val="16"/>
              </w:rPr>
              <w:t>7. Communications</w:t>
            </w:r>
          </w:p>
        </w:tc>
        <w:tc>
          <w:tcPr>
            <w:tcW w:type="dxa" w:w="3389"/>
            <w:vAlign w:val="center"/>
            <w:tcMar>
              <w:top w:w="70" w:type="dxa"/>
              <w:start w:w="95" w:type="dxa"/>
              <w:bottom w:w="70" w:type="dxa"/>
              <w:end w:w="95" w:type="dxa"/>
            </w:tcMar>
          </w:tcPr>
          <w:p>
            <w:pPr>
              <w:spacing w:after="20" w:before="20"/>
            </w:pPr>
            <w:r/>
            <w:r>
              <w:rPr>
                <w:rFonts w:ascii="Aptos" w:hAnsi="Aptos"/>
                <w:b w:val="0"/>
                <w:sz w:val="16"/>
              </w:rPr>
              <w:t>Partial</w:t>
            </w:r>
          </w:p>
        </w:tc>
        <w:tc>
          <w:tcPr>
            <w:tcW w:type="dxa" w:w="3389"/>
            <w:vAlign w:val="center"/>
            <w:tcMar>
              <w:top w:w="70" w:type="dxa"/>
              <w:start w:w="95" w:type="dxa"/>
              <w:bottom w:w="70" w:type="dxa"/>
              <w:end w:w="95" w:type="dxa"/>
            </w:tcMar>
          </w:tcPr>
          <w:p>
            <w:pPr>
              <w:spacing w:after="20" w:before="20"/>
            </w:pPr>
            <w:r/>
            <w:r>
              <w:rPr>
                <w:rFonts w:ascii="Aptos" w:hAnsi="Aptos"/>
                <w:b w:val="0"/>
                <w:sz w:val="16"/>
              </w:rPr>
              <w:t>Email activation and in-app announcements exist. Bulk SMS/WhatsApp, scheduled reminders, templates, delivery tracking and retry/failure management are missing.</w:t>
            </w:r>
          </w:p>
        </w:tc>
      </w:tr>
      <w:tr>
        <w:tc>
          <w:tcPr>
            <w:tcW w:type="dxa" w:w="3389"/>
            <w:vAlign w:val="center"/>
            <w:shd w:fill="F2F5F7"/>
            <w:tcMar>
              <w:top w:w="70" w:type="dxa"/>
              <w:start w:w="95" w:type="dxa"/>
              <w:bottom w:w="70" w:type="dxa"/>
              <w:end w:w="95" w:type="dxa"/>
            </w:tcMar>
          </w:tcPr>
          <w:p>
            <w:pPr>
              <w:spacing w:after="20" w:before="20"/>
            </w:pPr>
            <w:r/>
            <w:r>
              <w:rPr>
                <w:rFonts w:ascii="Aptos" w:hAnsi="Aptos"/>
                <w:b/>
                <w:sz w:val="16"/>
              </w:rPr>
              <w:t>8. Accounting, remittances and tax</w:t>
            </w:r>
          </w:p>
        </w:tc>
        <w:tc>
          <w:tcPr>
            <w:tcW w:type="dxa" w:w="3389"/>
            <w:vAlign w:val="center"/>
            <w:shd w:fill="F2F5F7"/>
            <w:tcMar>
              <w:top w:w="70" w:type="dxa"/>
              <w:start w:w="95" w:type="dxa"/>
              <w:bottom w:w="70" w:type="dxa"/>
              <w:end w:w="95" w:type="dxa"/>
            </w:tcMar>
          </w:tcPr>
          <w:p>
            <w:pPr>
              <w:spacing w:after="20" w:before="20"/>
            </w:pPr>
            <w:r/>
            <w:r>
              <w:rPr>
                <w:rFonts w:ascii="Aptos" w:hAnsi="Aptos"/>
                <w:b w:val="0"/>
                <w:sz w:val="16"/>
              </w:rPr>
              <w:t>Not implemented as specified</w:t>
            </w:r>
          </w:p>
        </w:tc>
        <w:tc>
          <w:tcPr>
            <w:tcW w:type="dxa" w:w="3389"/>
            <w:vAlign w:val="center"/>
            <w:shd w:fill="F2F5F7"/>
            <w:tcMar>
              <w:top w:w="70" w:type="dxa"/>
              <w:start w:w="95" w:type="dxa"/>
              <w:bottom w:w="70" w:type="dxa"/>
              <w:end w:w="95" w:type="dxa"/>
            </w:tcMar>
          </w:tcPr>
          <w:p>
            <w:pPr>
              <w:spacing w:after="20" w:before="20"/>
            </w:pPr>
            <w:r/>
            <w:r>
              <w:rPr>
                <w:rFonts w:ascii="Aptos" w:hAnsi="Aptos"/>
                <w:b w:val="0"/>
                <w:sz w:val="16"/>
              </w:rPr>
              <w:t>Operational rent ledgers exist. Double-entry accounting, commissions, expenses approvals, landlord remittance runs, MRI/eTIMS and accountant workflows are missing.</w:t>
            </w:r>
          </w:p>
        </w:tc>
      </w:tr>
      <w:tr>
        <w:tc>
          <w:tcPr>
            <w:tcW w:type="dxa" w:w="3389"/>
            <w:vAlign w:val="center"/>
            <w:tcMar>
              <w:top w:w="70" w:type="dxa"/>
              <w:start w:w="95" w:type="dxa"/>
              <w:bottom w:w="70" w:type="dxa"/>
              <w:end w:w="95" w:type="dxa"/>
            </w:tcMar>
          </w:tcPr>
          <w:p>
            <w:pPr>
              <w:spacing w:after="20" w:before="20"/>
            </w:pPr>
            <w:r/>
            <w:r>
              <w:rPr>
                <w:rFonts w:ascii="Aptos" w:hAnsi="Aptos"/>
                <w:b/>
                <w:sz w:val="16"/>
              </w:rPr>
              <w:t>9. Public website and enquiries/CRM</w:t>
            </w:r>
          </w:p>
        </w:tc>
        <w:tc>
          <w:tcPr>
            <w:tcW w:type="dxa" w:w="3389"/>
            <w:vAlign w:val="center"/>
            <w:tcMar>
              <w:top w:w="70" w:type="dxa"/>
              <w:start w:w="95" w:type="dxa"/>
              <w:bottom w:w="70" w:type="dxa"/>
              <w:end w:w="95" w:type="dxa"/>
            </w:tcMar>
          </w:tcPr>
          <w:p>
            <w:pPr>
              <w:spacing w:after="20" w:before="20"/>
            </w:pPr>
            <w:r/>
            <w:r>
              <w:rPr>
                <w:rFonts w:ascii="Aptos" w:hAnsi="Aptos"/>
                <w:b w:val="0"/>
                <w:sz w:val="16"/>
              </w:rPr>
              <w:t>Partial / different purpose</w:t>
            </w:r>
          </w:p>
        </w:tc>
        <w:tc>
          <w:tcPr>
            <w:tcW w:type="dxa" w:w="3389"/>
            <w:vAlign w:val="center"/>
            <w:tcMar>
              <w:top w:w="70" w:type="dxa"/>
              <w:start w:w="95" w:type="dxa"/>
              <w:bottom w:w="70" w:type="dxa"/>
              <w:end w:w="95" w:type="dxa"/>
            </w:tcMar>
          </w:tcPr>
          <w:p>
            <w:pPr>
              <w:spacing w:after="20" w:before="20"/>
            </w:pPr>
            <w:r/>
            <w:r>
              <w:rPr>
                <w:rFonts w:ascii="Aptos" w:hAnsi="Aptos"/>
                <w:b w:val="0"/>
                <w:sz w:val="16"/>
              </w:rPr>
              <w:t>There is a marketing landing page, not searchable rental/land listings, lead tracking, enquiries or viewing management.</w:t>
            </w:r>
          </w:p>
        </w:tc>
      </w:tr>
      <w:tr>
        <w:tc>
          <w:tcPr>
            <w:tcW w:type="dxa" w:w="3389"/>
            <w:vAlign w:val="center"/>
            <w:shd w:fill="F2F5F7"/>
            <w:tcMar>
              <w:top w:w="70" w:type="dxa"/>
              <w:start w:w="95" w:type="dxa"/>
              <w:bottom w:w="70" w:type="dxa"/>
              <w:end w:w="95" w:type="dxa"/>
            </w:tcMar>
          </w:tcPr>
          <w:p>
            <w:pPr>
              <w:spacing w:after="20" w:before="20"/>
            </w:pPr>
            <w:r/>
            <w:r>
              <w:rPr>
                <w:rFonts w:ascii="Aptos" w:hAnsi="Aptos"/>
                <w:b/>
                <w:sz w:val="16"/>
              </w:rPr>
              <w:t>10. Reports and dashboards</w:t>
            </w:r>
          </w:p>
        </w:tc>
        <w:tc>
          <w:tcPr>
            <w:tcW w:type="dxa" w:w="3389"/>
            <w:vAlign w:val="center"/>
            <w:shd w:fill="F2F5F7"/>
            <w:tcMar>
              <w:top w:w="70" w:type="dxa"/>
              <w:start w:w="95" w:type="dxa"/>
              <w:bottom w:w="70" w:type="dxa"/>
              <w:end w:w="95" w:type="dxa"/>
            </w:tcMar>
          </w:tcPr>
          <w:p>
            <w:pPr>
              <w:spacing w:after="20" w:before="20"/>
            </w:pPr>
            <w:r/>
            <w:r>
              <w:rPr>
                <w:rFonts w:ascii="Aptos" w:hAnsi="Aptos"/>
                <w:b w:val="0"/>
                <w:sz w:val="16"/>
              </w:rPr>
              <w:t>Partial</w:t>
            </w:r>
          </w:p>
        </w:tc>
        <w:tc>
          <w:tcPr>
            <w:tcW w:type="dxa" w:w="3389"/>
            <w:vAlign w:val="center"/>
            <w:shd w:fill="F2F5F7"/>
            <w:tcMar>
              <w:top w:w="70" w:type="dxa"/>
              <w:start w:w="95" w:type="dxa"/>
              <w:bottom w:w="70" w:type="dxa"/>
              <w:end w:w="95" w:type="dxa"/>
            </w:tcMar>
          </w:tcPr>
          <w:p>
            <w:pPr>
              <w:spacing w:after="20" w:before="20"/>
            </w:pPr>
            <w:r/>
            <w:r>
              <w:rPr>
                <w:rFonts w:ascii="Aptos" w:hAnsi="Aptos"/>
                <w:b w:val="0"/>
                <w:sz w:val="16"/>
              </w:rPr>
              <w:t>Property-level current-month rent/occupancy/arrears and maintenance summaries exist. Branch/agency-wide reports, land-sale/commission reports and PDF/Excel exports are missing.</w:t>
            </w:r>
          </w:p>
        </w:tc>
      </w:tr>
    </w:tbl>
    <w:p>
      <w:pPr>
        <w:spacing w:after="0"/>
      </w:pPr>
    </w:p>
    <w:p>
      <w:pPr>
        <w:pStyle w:val="Heading2"/>
      </w:pPr>
      <w:r>
        <w:t>Cross-cutting requirements not yet covered</w:t>
      </w:r>
    </w:p>
    <w:p>
      <w:pPr>
        <w:pStyle w:val="ListBullet"/>
        <w:spacing w:after="40"/>
      </w:pPr>
      <w:r>
        <w:t>Agency roles and branch scoping: the code is centered on three roles and property membership; Super Admin, Branch Manager, Accountant, Property Officer, Land Sales Agent, Land Buyer and branch-level isolation are not present.</w:t>
      </w:r>
    </w:p>
    <w:p>
      <w:pPr>
        <w:pStyle w:val="ListBullet"/>
        <w:spacing w:after="40"/>
      </w:pPr>
      <w:r>
        <w:t>Audit and approvals: comprehensive audit events, immutable financial reversals, maker-checker approvals, configurable permissions and two-factor authentication are not established as specified.</w:t>
      </w:r>
    </w:p>
    <w:p>
      <w:pPr>
        <w:pStyle w:val="ListBullet"/>
        <w:spacing w:after="40"/>
      </w:pPr>
      <w:r>
        <w:t>Data governance: the specification’s KYC/privacy workflows and encryption/masking requirements need a designed implementation and legal review.</w:t>
      </w:r>
    </w:p>
    <w:p>
      <w:pPr>
        <w:pStyle w:val="ListBullet"/>
        <w:spacing w:after="40"/>
      </w:pPr>
      <w:r>
        <w:t>Production reliability: durable integration queues, retries/dead-letter operations, replicated database, backup/restore drills, Kubernetes and staged release automation are not present in this project.</w:t>
      </w:r>
    </w:p>
    <w:tbl>
      <w:tblPr>
        <w:tblW w:type="auto" w:w="0"/>
        <w:jc w:val="center"/>
        <w:tblLook w:firstColumn="1" w:firstRow="1" w:lastColumn="0" w:lastRow="0" w:noHBand="0" w:noVBand="1" w:val="04A0"/>
      </w:tblPr>
      <w:tblGrid>
        <w:gridCol w:w="10166"/>
      </w:tblGrid>
      <w:tr>
        <w:tc>
          <w:tcPr>
            <w:tcW w:type="dxa" w:w="10166"/>
            <w:shd w:fill="EAF4F3"/>
            <w:tcMar>
              <w:top w:w="70" w:type="dxa"/>
              <w:start w:w="95" w:type="dxa"/>
              <w:bottom w:w="70" w:type="dxa"/>
              <w:end w:w="95" w:type="dxa"/>
            </w:tcMar>
          </w:tcPr>
          <w:p>
            <w:pPr>
              <w:spacing w:after="40"/>
            </w:pPr>
            <w:r/>
            <w:r>
              <w:rPr>
                <w:b/>
                <w:color w:val="087E74"/>
              </w:rPr>
              <w:t xml:space="preserve">Scope distinction  </w:t>
            </w:r>
            <w:r>
              <w:t>The existing rent ledger is not full agency accounting; the marketing landing page is not the listings/CRM module; STK Push is not Paybill reconciliation; and caretaker-maintenance pages are not the complete inspection/vendor/expense module.</w:t>
            </w:r>
          </w:p>
        </w:tc>
      </w:tr>
    </w:tbl>
    <w:p>
      <w:pPr>
        <w:spacing w:after="0"/>
      </w:pPr>
    </w:p>
    <w:p>
      <w:pPr>
        <w:pStyle w:val="Heading1"/>
      </w:pPr>
      <w:r>
        <w:t>4. Suggested division of work for three developers</w:t>
      </w:r>
    </w:p>
    <w:p>
      <w:r>
        <w:t>Assign coherent business domains, with one primary owner for each area. Owners coordinate changes that cross module boundaries—for example, a payment feature that touches a database migration, API contract, tenant UI and reporting. Each developer should review another developer’s pull requests; financial and security-sensitive work should receive additional review.</w:t>
      </w:r>
    </w:p>
    <w:tbl>
      <w:tblPr>
        <w:tblStyle w:val="TableGrid"/>
        <w:tblW w:type="auto" w:w="0"/>
        <w:jc w:val="center"/>
        <w:tblLayout w:type="fixed"/>
        <w:tblLook w:firstColumn="1" w:firstRow="1" w:lastColumn="0" w:lastRow="0" w:noHBand="0" w:noVBand="1" w:val="04A0"/>
      </w:tblPr>
      <w:tblGrid>
        <w:gridCol w:w="3389"/>
        <w:gridCol w:w="3389"/>
        <w:gridCol w:w="3389"/>
      </w:tblGrid>
      <w:tr>
        <w:tc>
          <w:tcPr>
            <w:tcW w:type="dxa" w:w="3389"/>
            <w:vAlign w:val="center"/>
            <w:shd w:fill="123047"/>
            <w:tcMar>
              <w:top w:w="70" w:type="dxa"/>
              <w:start w:w="95" w:type="dxa"/>
              <w:bottom w:w="70" w:type="dxa"/>
              <w:end w:w="95" w:type="dxa"/>
            </w:tcMar>
          </w:tcPr>
          <w:p>
            <w:pPr>
              <w:spacing w:after="20" w:before="20"/>
            </w:pPr>
            <w:r/>
            <w:r>
              <w:rPr>
                <w:rFonts w:ascii="Aptos" w:hAnsi="Aptos"/>
                <w:b/>
                <w:color w:val="FFFFFF"/>
                <w:sz w:val="16"/>
              </w:rPr>
              <w:t>Developer / workstream</w:t>
            </w:r>
          </w:p>
        </w:tc>
        <w:tc>
          <w:tcPr>
            <w:tcW w:type="dxa" w:w="3389"/>
            <w:vAlign w:val="center"/>
            <w:shd w:fill="123047"/>
            <w:tcMar>
              <w:top w:w="70" w:type="dxa"/>
              <w:start w:w="95" w:type="dxa"/>
              <w:bottom w:w="70" w:type="dxa"/>
              <w:end w:w="95" w:type="dxa"/>
            </w:tcMar>
          </w:tcPr>
          <w:p>
            <w:pPr>
              <w:spacing w:after="20" w:before="20"/>
            </w:pPr>
            <w:r/>
            <w:r>
              <w:rPr>
                <w:rFonts w:ascii="Aptos" w:hAnsi="Aptos"/>
                <w:b/>
                <w:color w:val="FFFFFF"/>
                <w:sz w:val="16"/>
              </w:rPr>
              <w:t>Related modules to own</w:t>
            </w:r>
          </w:p>
        </w:tc>
        <w:tc>
          <w:tcPr>
            <w:tcW w:type="dxa" w:w="3389"/>
            <w:vAlign w:val="center"/>
            <w:shd w:fill="123047"/>
            <w:tcMar>
              <w:top w:w="70" w:type="dxa"/>
              <w:start w:w="95" w:type="dxa"/>
              <w:bottom w:w="70" w:type="dxa"/>
              <w:end w:w="95" w:type="dxa"/>
            </w:tcMar>
          </w:tcPr>
          <w:p>
            <w:pPr>
              <w:spacing w:after="20" w:before="20"/>
            </w:pPr>
            <w:r/>
            <w:r>
              <w:rPr>
                <w:rFonts w:ascii="Aptos" w:hAnsi="Aptos"/>
                <w:b/>
                <w:color w:val="FFFFFF"/>
                <w:sz w:val="16"/>
              </w:rPr>
              <w:t>Starting point and target outcome</w:t>
            </w:r>
          </w:p>
        </w:tc>
      </w:tr>
      <w:tr>
        <w:tc>
          <w:tcPr>
            <w:tcW w:type="dxa" w:w="3389"/>
            <w:vAlign w:val="center"/>
            <w:tcMar>
              <w:top w:w="70" w:type="dxa"/>
              <w:start w:w="95" w:type="dxa"/>
              <w:bottom w:w="70" w:type="dxa"/>
              <w:end w:w="95" w:type="dxa"/>
            </w:tcMar>
          </w:tcPr>
          <w:p>
            <w:pPr>
              <w:spacing w:after="20" w:before="20"/>
            </w:pPr>
            <w:r/>
            <w:r>
              <w:rPr>
                <w:rFonts w:ascii="Aptos" w:hAnsi="Aptos"/>
                <w:b/>
                <w:sz w:val="16"/>
              </w:rPr>
              <w:t>Developer 1 — Rental operations</w:t>
            </w:r>
          </w:p>
        </w:tc>
        <w:tc>
          <w:tcPr>
            <w:tcW w:type="dxa" w:w="3389"/>
            <w:vAlign w:val="center"/>
            <w:tcMar>
              <w:top w:w="70" w:type="dxa"/>
              <w:start w:w="95" w:type="dxa"/>
              <w:bottom w:w="70" w:type="dxa"/>
              <w:end w:w="95" w:type="dxa"/>
            </w:tcMar>
          </w:tcPr>
          <w:p>
            <w:pPr>
              <w:spacing w:after="20" w:before="20"/>
            </w:pPr>
            <w:r/>
            <w:r>
              <w:rPr>
                <w:rFonts w:ascii="Aptos" w:hAnsi="Aptos"/>
                <w:b w:val="0"/>
                <w:sz w:val="16"/>
              </w:rPr>
              <w:t>Property/unit management; landlord and tenancy workflows; caretaker operations; maintenance/inspections; tenant communications.</w:t>
            </w:r>
          </w:p>
        </w:tc>
        <w:tc>
          <w:tcPr>
            <w:tcW w:type="dxa" w:w="3389"/>
            <w:vAlign w:val="center"/>
            <w:tcMar>
              <w:top w:w="70" w:type="dxa"/>
              <w:start w:w="95" w:type="dxa"/>
              <w:bottom w:w="70" w:type="dxa"/>
              <w:end w:w="95" w:type="dxa"/>
            </w:tcMar>
          </w:tcPr>
          <w:p>
            <w:pPr>
              <w:spacing w:after="20" w:before="20"/>
            </w:pPr>
            <w:r/>
            <w:r>
              <w:rPr>
                <w:rFonts w:ascii="Aptos" w:hAnsi="Aptos"/>
                <w:b w:val="0"/>
                <w:sz w:val="16"/>
              </w:rPr>
              <w:t>Extend the strongest existing area: property/unit setup, tenant migration and move-ins, caretaker tasks, maintenance, notices, landlord/tenant experiences. Add agency landlord agreements, branch/property assignment and complete operational checklists as prioritized.</w:t>
            </w:r>
          </w:p>
        </w:tc>
      </w:tr>
      <w:tr>
        <w:tc>
          <w:tcPr>
            <w:tcW w:type="dxa" w:w="3389"/>
            <w:vAlign w:val="center"/>
            <w:shd w:fill="F2F5F7"/>
            <w:tcMar>
              <w:top w:w="70" w:type="dxa"/>
              <w:start w:w="95" w:type="dxa"/>
              <w:bottom w:w="70" w:type="dxa"/>
              <w:end w:w="95" w:type="dxa"/>
            </w:tcMar>
          </w:tcPr>
          <w:p>
            <w:pPr>
              <w:spacing w:after="20" w:before="20"/>
            </w:pPr>
            <w:r/>
            <w:r>
              <w:rPr>
                <w:rFonts w:ascii="Aptos" w:hAnsi="Aptos"/>
                <w:b/>
                <w:sz w:val="16"/>
              </w:rPr>
              <w:t>Developer 2 — Finance and payment operations</w:t>
            </w:r>
          </w:p>
        </w:tc>
        <w:tc>
          <w:tcPr>
            <w:tcW w:type="dxa" w:w="3389"/>
            <w:vAlign w:val="center"/>
            <w:shd w:fill="F2F5F7"/>
            <w:tcMar>
              <w:top w:w="70" w:type="dxa"/>
              <w:start w:w="95" w:type="dxa"/>
              <w:bottom w:w="70" w:type="dxa"/>
              <w:end w:w="95" w:type="dxa"/>
            </w:tcMar>
          </w:tcPr>
          <w:p>
            <w:pPr>
              <w:spacing w:after="20" w:before="20"/>
            </w:pPr>
            <w:r/>
            <w:r>
              <w:rPr>
                <w:rFonts w:ascii="Aptos" w:hAnsi="Aptos"/>
                <w:b w:val="0"/>
                <w:sz w:val="16"/>
              </w:rPr>
              <w:t>Billing, arrears, payments and reconciliation; accounting; landlord statements/remittances; tax-related exports.</w:t>
            </w:r>
          </w:p>
        </w:tc>
        <w:tc>
          <w:tcPr>
            <w:tcW w:type="dxa" w:w="3389"/>
            <w:vAlign w:val="center"/>
            <w:shd w:fill="F2F5F7"/>
            <w:tcMar>
              <w:top w:w="70" w:type="dxa"/>
              <w:start w:w="95" w:type="dxa"/>
              <w:bottom w:w="70" w:type="dxa"/>
              <w:end w:w="95" w:type="dxa"/>
            </w:tcMar>
          </w:tcPr>
          <w:p>
            <w:pPr>
              <w:spacing w:after="20" w:before="20"/>
            </w:pPr>
            <w:r/>
            <w:r>
              <w:rPr>
                <w:rFonts w:ascii="Aptos" w:hAnsi="Aptos"/>
                <w:b w:val="0"/>
                <w:sz w:val="16"/>
              </w:rPr>
              <w:t>Own existing invoices, ledgers, water/utility charges and STK path. Add Paybill/C2B matching, unmatched payments, bank reconciliation, approval/reversal controls, commissions, expenses, remittances and validated tax reporting.</w:t>
            </w:r>
          </w:p>
        </w:tc>
      </w:tr>
      <w:tr>
        <w:tc>
          <w:tcPr>
            <w:tcW w:type="dxa" w:w="3389"/>
            <w:vAlign w:val="center"/>
            <w:tcMar>
              <w:top w:w="70" w:type="dxa"/>
              <w:start w:w="95" w:type="dxa"/>
              <w:bottom w:w="70" w:type="dxa"/>
              <w:end w:w="95" w:type="dxa"/>
            </w:tcMar>
          </w:tcPr>
          <w:p>
            <w:pPr>
              <w:spacing w:after="20" w:before="20"/>
            </w:pPr>
            <w:r/>
            <w:r>
              <w:rPr>
                <w:rFonts w:ascii="Aptos" w:hAnsi="Aptos"/>
                <w:b/>
                <w:sz w:val="16"/>
              </w:rPr>
              <w:t>Developer 3 — Growth and land-sales channels</w:t>
            </w:r>
          </w:p>
        </w:tc>
        <w:tc>
          <w:tcPr>
            <w:tcW w:type="dxa" w:w="3389"/>
            <w:vAlign w:val="center"/>
            <w:tcMar>
              <w:top w:w="70" w:type="dxa"/>
              <w:start w:w="95" w:type="dxa"/>
              <w:bottom w:w="70" w:type="dxa"/>
              <w:end w:w="95" w:type="dxa"/>
            </w:tcMar>
          </w:tcPr>
          <w:p>
            <w:pPr>
              <w:spacing w:after="20" w:before="20"/>
            </w:pPr>
            <w:r/>
            <w:r>
              <w:rPr>
                <w:rFonts w:ascii="Aptos" w:hAnsi="Aptos"/>
                <w:b w:val="0"/>
                <w:sz w:val="16"/>
              </w:rPr>
              <w:t>Land projects/plots/buyers; land sales and instalments; public listings website; enquiries/CRM/viewings; dashboards and reporting surfaces.</w:t>
            </w:r>
          </w:p>
        </w:tc>
        <w:tc>
          <w:tcPr>
            <w:tcW w:type="dxa" w:w="3389"/>
            <w:vAlign w:val="center"/>
            <w:tcMar>
              <w:top w:w="70" w:type="dxa"/>
              <w:start w:w="95" w:type="dxa"/>
              <w:bottom w:w="70" w:type="dxa"/>
              <w:end w:w="95" w:type="dxa"/>
            </w:tcMar>
          </w:tcPr>
          <w:p>
            <w:pPr>
              <w:spacing w:after="20" w:before="20"/>
            </w:pPr>
            <w:r/>
            <w:r>
              <w:rPr>
                <w:rFonts w:ascii="Aptos" w:hAnsi="Aptos"/>
                <w:b w:val="0"/>
                <w:sz w:val="16"/>
              </w:rPr>
              <w:t>Build the separate land-sale domain and buyer experience, public search/listings and enquiry workflow. Add cross-domain reports/exports in coordination with the data owners.</w:t>
            </w:r>
          </w:p>
        </w:tc>
      </w:tr>
    </w:tbl>
    <w:p>
      <w:pPr>
        <w:spacing w:after="0"/>
      </w:pPr>
    </w:p>
    <w:p>
      <w:pPr>
        <w:pStyle w:val="Heading2"/>
      </w:pPr>
      <w:r>
        <w:t>Shared responsibilities (not a fourth workstream)</w:t>
      </w:r>
    </w:p>
    <w:p>
      <w:pPr>
        <w:pStyle w:val="ListBullet"/>
        <w:spacing w:after="40"/>
      </w:pPr>
      <w:r>
        <w:t>Agree the architecture, role/branch model, database conventions and API contracts together before parallel feature work.</w:t>
      </w:r>
    </w:p>
    <w:p>
      <w:pPr>
        <w:pStyle w:val="ListBullet"/>
        <w:spacing w:after="40"/>
      </w:pPr>
      <w:r>
        <w:t>The owner of each changed module updates its schema, tests and documentation in the same pull request as the application change.</w:t>
      </w:r>
    </w:p>
    <w:p>
      <w:pPr>
        <w:pStyle w:val="ListBullet"/>
        <w:spacing w:after="40"/>
      </w:pPr>
      <w:r>
        <w:t>Choose a repository maintainer/release coordinator. That person manages branch protections and release steps, but does not own all infrastructure work alone.</w:t>
      </w:r>
    </w:p>
    <w:p>
      <w:pPr>
        <w:pStyle w:val="ListBullet"/>
        <w:spacing w:after="40"/>
      </w:pPr>
      <w:r>
        <w:t>Use cross-review: Developer 1 reviews operational data/permissions; Developer 2 reviews money-related changes; Developer 3 reviews public/customer-facing flows. Rotate or pair on high-risk work.</w:t>
      </w:r>
    </w:p>
    <w:p>
      <w:pPr>
        <w:pStyle w:val="ListBullet"/>
        <w:spacing w:after="40"/>
      </w:pPr>
      <w:r>
        <w:t>A reasonable sequence is: architecture and MVP agreement → rental core and access model → payment controls and reconciliation → listings/CRM and land sales → broader accounting, reports and scale hardening. Reorder based on agency priorities and dependencies.</w:t>
      </w:r>
    </w:p>
    <w:p>
      <w:pPr>
        <w:pStyle w:val="Heading1"/>
      </w:pPr>
      <w:r>
        <w:t>5. GitHub collaboration workflow</w:t>
      </w:r>
    </w:p>
    <w:p>
      <w:r>
        <w:t>The write-up recommends one monorepo: one Git repository containing the applications, shared packages, database migrations, infrastructure/deployment configuration and documentation. A branch is a temporary, isolated line of work; it is not a separate permanent copy of the product.</w:t>
      </w:r>
    </w:p>
    <w:tbl>
      <w:tblPr>
        <w:tblStyle w:val="TableGrid"/>
        <w:tblW w:type="auto" w:w="0"/>
        <w:jc w:val="center"/>
        <w:tblLayout w:type="fixed"/>
        <w:tblLook w:firstColumn="1" w:firstRow="1" w:lastColumn="0" w:lastRow="0" w:noHBand="0" w:noVBand="1" w:val="04A0"/>
      </w:tblPr>
      <w:tblGrid>
        <w:gridCol w:w="5083"/>
        <w:gridCol w:w="5083"/>
      </w:tblGrid>
      <w:tr>
        <w:tc>
          <w:tcPr>
            <w:tcW w:type="dxa" w:w="5083"/>
            <w:vAlign w:val="center"/>
            <w:shd w:fill="123047"/>
            <w:tcMar>
              <w:top w:w="70" w:type="dxa"/>
              <w:start w:w="95" w:type="dxa"/>
              <w:bottom w:w="70" w:type="dxa"/>
              <w:end w:w="95" w:type="dxa"/>
            </w:tcMar>
          </w:tcPr>
          <w:p>
            <w:pPr>
              <w:spacing w:after="20" w:before="20"/>
            </w:pPr>
            <w:r/>
            <w:r>
              <w:rPr>
                <w:rFonts w:ascii="Aptos" w:hAnsi="Aptos"/>
                <w:b/>
                <w:color w:val="FFFFFF"/>
                <w:sz w:val="16"/>
              </w:rPr>
              <w:t>Step</w:t>
            </w:r>
          </w:p>
        </w:tc>
        <w:tc>
          <w:tcPr>
            <w:tcW w:type="dxa" w:w="5083"/>
            <w:vAlign w:val="center"/>
            <w:shd w:fill="123047"/>
            <w:tcMar>
              <w:top w:w="70" w:type="dxa"/>
              <w:start w:w="95" w:type="dxa"/>
              <w:bottom w:w="70" w:type="dxa"/>
              <w:end w:w="95" w:type="dxa"/>
            </w:tcMar>
          </w:tcPr>
          <w:p>
            <w:pPr>
              <w:spacing w:after="20" w:before="20"/>
            </w:pPr>
            <w:r/>
            <w:r>
              <w:rPr>
                <w:rFonts w:ascii="Aptos" w:hAnsi="Aptos"/>
                <w:b/>
                <w:color w:val="FFFFFF"/>
                <w:sz w:val="16"/>
              </w:rPr>
              <w:t>What the team does</w:t>
            </w:r>
          </w:p>
        </w:tc>
      </w:tr>
      <w:tr>
        <w:tc>
          <w:tcPr>
            <w:tcW w:type="dxa" w:w="5083"/>
            <w:vAlign w:val="center"/>
            <w:tcMar>
              <w:top w:w="70" w:type="dxa"/>
              <w:start w:w="95" w:type="dxa"/>
              <w:bottom w:w="70" w:type="dxa"/>
              <w:end w:w="95" w:type="dxa"/>
            </w:tcMar>
          </w:tcPr>
          <w:p>
            <w:pPr>
              <w:spacing w:after="20" w:before="20"/>
            </w:pPr>
            <w:r/>
            <w:r>
              <w:rPr>
                <w:rFonts w:ascii="Aptos" w:hAnsi="Aptos"/>
                <w:b/>
                <w:sz w:val="16"/>
              </w:rPr>
              <w:t>1. Agree on the repo</w:t>
            </w:r>
          </w:p>
        </w:tc>
        <w:tc>
          <w:tcPr>
            <w:tcW w:type="dxa" w:w="5083"/>
            <w:vAlign w:val="center"/>
            <w:tcMar>
              <w:top w:w="70" w:type="dxa"/>
              <w:start w:w="95" w:type="dxa"/>
              <w:bottom w:w="70" w:type="dxa"/>
              <w:end w:w="95" w:type="dxa"/>
            </w:tcMar>
          </w:tcPr>
          <w:p>
            <w:pPr>
              <w:spacing w:after="20" w:before="20"/>
            </w:pPr>
            <w:r/>
            <w:r>
              <w:rPr>
                <w:rFonts w:ascii="Aptos" w:hAnsi="Aptos"/>
                <w:b w:val="0"/>
                <w:sz w:val="16"/>
              </w:rPr>
              <w:t>The agency/team owns the official repository and adds the three developers. Confirm whether the current app is the baseline, a prototype to migrate, or a reference. Never upload secrets or real customer data.</w:t>
            </w:r>
          </w:p>
        </w:tc>
      </w:tr>
      <w:tr>
        <w:tc>
          <w:tcPr>
            <w:tcW w:type="dxa" w:w="5083"/>
            <w:vAlign w:val="center"/>
            <w:shd w:fill="F2F5F7"/>
            <w:tcMar>
              <w:top w:w="70" w:type="dxa"/>
              <w:start w:w="95" w:type="dxa"/>
              <w:bottom w:w="70" w:type="dxa"/>
              <w:end w:w="95" w:type="dxa"/>
            </w:tcMar>
          </w:tcPr>
          <w:p>
            <w:pPr>
              <w:spacing w:after="20" w:before="20"/>
            </w:pPr>
            <w:r/>
            <w:r>
              <w:rPr>
                <w:rFonts w:ascii="Aptos" w:hAnsi="Aptos"/>
                <w:b/>
                <w:sz w:val="16"/>
              </w:rPr>
              <w:t>2. Track a task</w:t>
            </w:r>
          </w:p>
        </w:tc>
        <w:tc>
          <w:tcPr>
            <w:tcW w:type="dxa" w:w="5083"/>
            <w:vAlign w:val="center"/>
            <w:shd w:fill="F2F5F7"/>
            <w:tcMar>
              <w:top w:w="70" w:type="dxa"/>
              <w:start w:w="95" w:type="dxa"/>
              <w:bottom w:w="70" w:type="dxa"/>
              <w:end w:w="95" w:type="dxa"/>
            </w:tcMar>
          </w:tcPr>
          <w:p>
            <w:pPr>
              <w:spacing w:after="20" w:before="20"/>
            </w:pPr>
            <w:r/>
            <w:r>
              <w:rPr>
                <w:rFonts w:ascii="Aptos" w:hAnsi="Aptos"/>
                <w:b w:val="0"/>
                <w:sz w:val="16"/>
              </w:rPr>
              <w:t>Create an issue/card with a clear objective, owner, acceptance criteria and dependencies. Agree which module(s) it affects.</w:t>
            </w:r>
          </w:p>
        </w:tc>
      </w:tr>
      <w:tr>
        <w:tc>
          <w:tcPr>
            <w:tcW w:type="dxa" w:w="5083"/>
            <w:vAlign w:val="center"/>
            <w:tcMar>
              <w:top w:w="70" w:type="dxa"/>
              <w:start w:w="95" w:type="dxa"/>
              <w:bottom w:w="70" w:type="dxa"/>
              <w:end w:w="95" w:type="dxa"/>
            </w:tcMar>
          </w:tcPr>
          <w:p>
            <w:pPr>
              <w:spacing w:after="20" w:before="20"/>
            </w:pPr>
            <w:r/>
            <w:r>
              <w:rPr>
                <w:rFonts w:ascii="Aptos" w:hAnsi="Aptos"/>
                <w:b/>
                <w:sz w:val="16"/>
              </w:rPr>
              <w:t>3. Create a feature branch</w:t>
            </w:r>
          </w:p>
        </w:tc>
        <w:tc>
          <w:tcPr>
            <w:tcW w:type="dxa" w:w="5083"/>
            <w:vAlign w:val="center"/>
            <w:tcMar>
              <w:top w:w="70" w:type="dxa"/>
              <w:start w:w="95" w:type="dxa"/>
              <w:bottom w:w="70" w:type="dxa"/>
              <w:end w:w="95" w:type="dxa"/>
            </w:tcMar>
          </w:tcPr>
          <w:p>
            <w:pPr>
              <w:spacing w:after="20" w:before="20"/>
            </w:pPr>
            <w:r/>
            <w:r>
              <w:rPr>
                <w:rFonts w:ascii="Aptos" w:hAnsi="Aptos"/>
                <w:b w:val="0"/>
                <w:sz w:val="16"/>
              </w:rPr>
              <w:t>Branch from `develop`, using a focused name such as `feature/paybill-reconciliation` or `feature/plot-installments`. Keep each branch limited to one coherent task.</w:t>
            </w:r>
          </w:p>
        </w:tc>
      </w:tr>
      <w:tr>
        <w:tc>
          <w:tcPr>
            <w:tcW w:type="dxa" w:w="5083"/>
            <w:vAlign w:val="center"/>
            <w:shd w:fill="F2F5F7"/>
            <w:tcMar>
              <w:top w:w="70" w:type="dxa"/>
              <w:start w:w="95" w:type="dxa"/>
              <w:bottom w:w="70" w:type="dxa"/>
              <w:end w:w="95" w:type="dxa"/>
            </w:tcMar>
          </w:tcPr>
          <w:p>
            <w:pPr>
              <w:spacing w:after="20" w:before="20"/>
            </w:pPr>
            <w:r/>
            <w:r>
              <w:rPr>
                <w:rFonts w:ascii="Aptos" w:hAnsi="Aptos"/>
                <w:b/>
                <w:sz w:val="16"/>
              </w:rPr>
              <w:t>4. Build and validate</w:t>
            </w:r>
          </w:p>
        </w:tc>
        <w:tc>
          <w:tcPr>
            <w:tcW w:type="dxa" w:w="5083"/>
            <w:vAlign w:val="center"/>
            <w:shd w:fill="F2F5F7"/>
            <w:tcMar>
              <w:top w:w="70" w:type="dxa"/>
              <w:start w:w="95" w:type="dxa"/>
              <w:bottom w:w="70" w:type="dxa"/>
              <w:end w:w="95" w:type="dxa"/>
            </w:tcMar>
          </w:tcPr>
          <w:p>
            <w:pPr>
              <w:spacing w:after="20" w:before="20"/>
            </w:pPr>
            <w:r/>
            <w:r>
              <w:rPr>
                <w:rFonts w:ascii="Aptos" w:hAnsi="Aptos"/>
                <w:b w:val="0"/>
                <w:sz w:val="16"/>
              </w:rPr>
              <w:t>Commit small logical changes. Run the project’s checks locally. Include required migration, API, UI and test changes together when they form one feature.</w:t>
            </w:r>
          </w:p>
        </w:tc>
      </w:tr>
      <w:tr>
        <w:tc>
          <w:tcPr>
            <w:tcW w:type="dxa" w:w="5083"/>
            <w:vAlign w:val="center"/>
            <w:tcMar>
              <w:top w:w="70" w:type="dxa"/>
              <w:start w:w="95" w:type="dxa"/>
              <w:bottom w:w="70" w:type="dxa"/>
              <w:end w:w="95" w:type="dxa"/>
            </w:tcMar>
          </w:tcPr>
          <w:p>
            <w:pPr>
              <w:spacing w:after="20" w:before="20"/>
            </w:pPr>
            <w:r/>
            <w:r>
              <w:rPr>
                <w:rFonts w:ascii="Aptos" w:hAnsi="Aptos"/>
                <w:b/>
                <w:sz w:val="16"/>
              </w:rPr>
              <w:t>5. Push and open a PR</w:t>
            </w:r>
          </w:p>
        </w:tc>
        <w:tc>
          <w:tcPr>
            <w:tcW w:type="dxa" w:w="5083"/>
            <w:vAlign w:val="center"/>
            <w:tcMar>
              <w:top w:w="70" w:type="dxa"/>
              <w:start w:w="95" w:type="dxa"/>
              <w:bottom w:w="70" w:type="dxa"/>
              <w:end w:w="95" w:type="dxa"/>
            </w:tcMar>
          </w:tcPr>
          <w:p>
            <w:pPr>
              <w:spacing w:after="20" w:before="20"/>
            </w:pPr>
            <w:r/>
            <w:r>
              <w:rPr>
                <w:rFonts w:ascii="Aptos" w:hAnsi="Aptos"/>
                <w:b w:val="0"/>
                <w:sz w:val="16"/>
              </w:rPr>
              <w:t>Push the branch and open a pull request into `develop`. Describe the change, tests, database impact, screenshots if useful, and any rollout or migration notes.</w:t>
            </w:r>
          </w:p>
        </w:tc>
      </w:tr>
      <w:tr>
        <w:tc>
          <w:tcPr>
            <w:tcW w:type="dxa" w:w="5083"/>
            <w:vAlign w:val="center"/>
            <w:shd w:fill="F2F5F7"/>
            <w:tcMar>
              <w:top w:w="70" w:type="dxa"/>
              <w:start w:w="95" w:type="dxa"/>
              <w:bottom w:w="70" w:type="dxa"/>
              <w:end w:w="95" w:type="dxa"/>
            </w:tcMar>
          </w:tcPr>
          <w:p>
            <w:pPr>
              <w:spacing w:after="20" w:before="20"/>
            </w:pPr>
            <w:r/>
            <w:r>
              <w:rPr>
                <w:rFonts w:ascii="Aptos" w:hAnsi="Aptos"/>
                <w:b/>
                <w:sz w:val="16"/>
              </w:rPr>
              <w:t>6. Review and CI</w:t>
            </w:r>
          </w:p>
        </w:tc>
        <w:tc>
          <w:tcPr>
            <w:tcW w:type="dxa" w:w="5083"/>
            <w:vAlign w:val="center"/>
            <w:shd w:fill="F2F5F7"/>
            <w:tcMar>
              <w:top w:w="70" w:type="dxa"/>
              <w:start w:w="95" w:type="dxa"/>
              <w:bottom w:w="70" w:type="dxa"/>
              <w:end w:w="95" w:type="dxa"/>
            </w:tcMar>
          </w:tcPr>
          <w:p>
            <w:pPr>
              <w:spacing w:after="20" w:before="20"/>
            </w:pPr>
            <w:r/>
            <w:r>
              <w:rPr>
                <w:rFonts w:ascii="Aptos" w:hAnsi="Aptos"/>
                <w:b w:val="0"/>
                <w:sz w:val="16"/>
              </w:rPr>
              <w:t>Automated checks run; at least one reviewer approves. Changes to database, infrastructure, security or money handling receive the required specialist review. Fix requested changes on the same branch.</w:t>
            </w:r>
          </w:p>
        </w:tc>
      </w:tr>
      <w:tr>
        <w:tc>
          <w:tcPr>
            <w:tcW w:type="dxa" w:w="5083"/>
            <w:vAlign w:val="center"/>
            <w:tcMar>
              <w:top w:w="70" w:type="dxa"/>
              <w:start w:w="95" w:type="dxa"/>
              <w:bottom w:w="70" w:type="dxa"/>
              <w:end w:w="95" w:type="dxa"/>
            </w:tcMar>
          </w:tcPr>
          <w:p>
            <w:pPr>
              <w:spacing w:after="20" w:before="20"/>
            </w:pPr>
            <w:r/>
            <w:r>
              <w:rPr>
                <w:rFonts w:ascii="Aptos" w:hAnsi="Aptos"/>
                <w:b/>
                <w:sz w:val="16"/>
              </w:rPr>
              <w:t>7. Merge to integration</w:t>
            </w:r>
          </w:p>
        </w:tc>
        <w:tc>
          <w:tcPr>
            <w:tcW w:type="dxa" w:w="5083"/>
            <w:vAlign w:val="center"/>
            <w:tcMar>
              <w:top w:w="70" w:type="dxa"/>
              <w:start w:w="95" w:type="dxa"/>
              <w:bottom w:w="70" w:type="dxa"/>
              <w:end w:w="95" w:type="dxa"/>
            </w:tcMar>
          </w:tcPr>
          <w:p>
            <w:pPr>
              <w:spacing w:after="20" w:before="20"/>
            </w:pPr>
            <w:r/>
            <w:r>
              <w:rPr>
                <w:rFonts w:ascii="Aptos" w:hAnsi="Aptos"/>
                <w:b w:val="0"/>
                <w:sz w:val="16"/>
              </w:rPr>
              <w:t>After approvals and green checks, merge the PR into `develop`. The specification proposes automatic deployment of `develop` to development.</w:t>
            </w:r>
          </w:p>
        </w:tc>
      </w:tr>
      <w:tr>
        <w:tc>
          <w:tcPr>
            <w:tcW w:type="dxa" w:w="5083"/>
            <w:vAlign w:val="center"/>
            <w:shd w:fill="F2F5F7"/>
            <w:tcMar>
              <w:top w:w="70" w:type="dxa"/>
              <w:start w:w="95" w:type="dxa"/>
              <w:bottom w:w="70" w:type="dxa"/>
              <w:end w:w="95" w:type="dxa"/>
            </w:tcMar>
          </w:tcPr>
          <w:p>
            <w:pPr>
              <w:spacing w:after="20" w:before="20"/>
            </w:pPr>
            <w:r/>
            <w:r>
              <w:rPr>
                <w:rFonts w:ascii="Aptos" w:hAnsi="Aptos"/>
                <w:b/>
                <w:sz w:val="16"/>
              </w:rPr>
              <w:t>8. Release and verify</w:t>
            </w:r>
          </w:p>
        </w:tc>
        <w:tc>
          <w:tcPr>
            <w:tcW w:type="dxa" w:w="5083"/>
            <w:vAlign w:val="center"/>
            <w:shd w:fill="F2F5F7"/>
            <w:tcMar>
              <w:top w:w="70" w:type="dxa"/>
              <w:start w:w="95" w:type="dxa"/>
              <w:bottom w:w="70" w:type="dxa"/>
              <w:end w:w="95" w:type="dxa"/>
            </w:tcMar>
          </w:tcPr>
          <w:p>
            <w:pPr>
              <w:spacing w:after="20" w:before="20"/>
            </w:pPr>
            <w:r/>
            <w:r>
              <w:rPr>
                <w:rFonts w:ascii="Aptos" w:hAnsi="Aptos"/>
                <w:b w:val="0"/>
                <w:sz w:val="16"/>
              </w:rPr>
              <w:t>Promote a tagged release to staging; run user acceptance testing and release rehearsal. Deploy to production only after the agreed approval. Record the version and migration outcome.</w:t>
            </w:r>
          </w:p>
        </w:tc>
      </w:tr>
    </w:tbl>
    <w:p>
      <w:pPr>
        <w:spacing w:after="0"/>
      </w:pPr>
    </w:p>
    <w:p>
      <w:pPr>
        <w:pStyle w:val="Heading2"/>
      </w:pPr>
      <w:r>
        <w:t>Branch and repository rules to agree</w:t>
      </w:r>
    </w:p>
    <w:p>
      <w:pPr>
        <w:pStyle w:val="ListBullet"/>
        <w:spacing w:after="40"/>
      </w:pPr>
      <w:r>
        <w:t>Protect `main` and `develop`: no direct pushes; require pull requests, passing checks and approvals. Keep `main` production-ready; use `develop` for integration if the team adopts the specification’s flow.</w:t>
      </w:r>
    </w:p>
    <w:p>
      <w:pPr>
        <w:pStyle w:val="ListBullet"/>
        <w:spacing w:after="40"/>
      </w:pPr>
      <w:r>
        <w:t>Use CODEOWNERS or named reviewers for database, infrastructure/deployment, security and finance-sensitive paths. For changes spanning modules, use one PR when the pieces must be reviewed and released together.</w:t>
      </w:r>
    </w:p>
    <w:p>
      <w:pPr>
        <w:pStyle w:val="ListBullet"/>
        <w:spacing w:after="40"/>
      </w:pPr>
      <w:r>
        <w:t>Store credentials in GitHub environment/repository secrets or the hosting provider’s secret manager. Keep `.env*`, keys, payment credentials, tenant IDs and production exports out of Git.</w:t>
      </w:r>
    </w:p>
    <w:p>
      <w:pPr>
        <w:pStyle w:val="ListBullet"/>
        <w:spacing w:after="40"/>
      </w:pPr>
      <w:r>
        <w:t>Use a release tag and immutable image/commit reference so the team can identify exactly what was deployed. Keep database migrations backward-compatible where possible and document rollback/forward-fix plans.</w:t>
      </w:r>
    </w:p>
    <w:p>
      <w:pPr>
        <w:pStyle w:val="ListBullet"/>
        <w:spacing w:after="40"/>
      </w:pPr>
      <w:r>
        <w:t>Agree on PR size, naming, merge strategy, required checks, who approves production, and whether `main` is updated by release PR or tag before work starts.</w:t>
      </w:r>
    </w:p>
    <w:tbl>
      <w:tblPr>
        <w:tblW w:type="auto" w:w="0"/>
        <w:jc w:val="center"/>
        <w:tblLook w:firstColumn="1" w:firstRow="1" w:lastColumn="0" w:lastRow="0" w:noHBand="0" w:noVBand="1" w:val="04A0"/>
      </w:tblPr>
      <w:tblGrid>
        <w:gridCol w:w="10166"/>
      </w:tblGrid>
      <w:tr>
        <w:tc>
          <w:tcPr>
            <w:tcW w:type="dxa" w:w="10166"/>
            <w:shd w:fill="EAF4F3"/>
            <w:tcMar>
              <w:top w:w="70" w:type="dxa"/>
              <w:start w:w="95" w:type="dxa"/>
              <w:bottom w:w="70" w:type="dxa"/>
              <w:end w:w="95" w:type="dxa"/>
            </w:tcMar>
          </w:tcPr>
          <w:p>
            <w:pPr>
              <w:spacing w:after="40"/>
            </w:pPr>
            <w:r/>
            <w:r>
              <w:rPr>
                <w:b/>
                <w:color w:val="087E74"/>
              </w:rPr>
              <w:t xml:space="preserve">Example flow  </w:t>
            </w:r>
            <w:r>
              <w:t>Issue #42 → branch `feature/paybill-matching` from `develop` → commit and push → PR into `develop` → CI and review → merge → deploy to dev → release tag to staging → UAT approval → production approval.</w:t>
            </w:r>
          </w:p>
        </w:tc>
      </w:tr>
    </w:tbl>
    <w:p>
      <w:pPr>
        <w:spacing w:after="0"/>
      </w:pPr>
    </w:p>
    <w:p>
      <w:pPr>
        <w:pStyle w:val="Heading1"/>
      </w:pPr>
      <w:r>
        <w:t>6. Decisions to settle before implementation scales</w:t>
      </w:r>
    </w:p>
    <w:tbl>
      <w:tblPr>
        <w:tblStyle w:val="TableGrid"/>
        <w:tblW w:type="auto" w:w="0"/>
        <w:jc w:val="center"/>
        <w:tblLayout w:type="fixed"/>
        <w:tblLook w:firstColumn="1" w:firstRow="1" w:lastColumn="0" w:lastRow="0" w:noHBand="0" w:noVBand="1" w:val="04A0"/>
      </w:tblPr>
      <w:tblGrid>
        <w:gridCol w:w="5083"/>
        <w:gridCol w:w="5083"/>
      </w:tblGrid>
      <w:tr>
        <w:tc>
          <w:tcPr>
            <w:tcW w:type="dxa" w:w="5083"/>
            <w:vAlign w:val="center"/>
            <w:shd w:fill="123047"/>
            <w:tcMar>
              <w:top w:w="70" w:type="dxa"/>
              <w:start w:w="95" w:type="dxa"/>
              <w:bottom w:w="70" w:type="dxa"/>
              <w:end w:w="95" w:type="dxa"/>
            </w:tcMar>
          </w:tcPr>
          <w:p>
            <w:pPr>
              <w:spacing w:after="20" w:before="20"/>
            </w:pPr>
            <w:r/>
            <w:r>
              <w:rPr>
                <w:rFonts w:ascii="Aptos" w:hAnsi="Aptos"/>
                <w:b/>
                <w:color w:val="FFFFFF"/>
                <w:sz w:val="16"/>
              </w:rPr>
              <w:t>Decision</w:t>
            </w:r>
          </w:p>
        </w:tc>
        <w:tc>
          <w:tcPr>
            <w:tcW w:type="dxa" w:w="5083"/>
            <w:vAlign w:val="center"/>
            <w:shd w:fill="123047"/>
            <w:tcMar>
              <w:top w:w="70" w:type="dxa"/>
              <w:start w:w="95" w:type="dxa"/>
              <w:bottom w:w="70" w:type="dxa"/>
              <w:end w:w="95" w:type="dxa"/>
            </w:tcMar>
          </w:tcPr>
          <w:p>
            <w:pPr>
              <w:spacing w:after="20" w:before="20"/>
            </w:pPr>
            <w:r/>
            <w:r>
              <w:rPr>
                <w:rFonts w:ascii="Aptos" w:hAnsi="Aptos"/>
                <w:b/>
                <w:color w:val="FFFFFF"/>
                <w:sz w:val="16"/>
              </w:rPr>
              <w:t>Why it matters</w:t>
            </w:r>
          </w:p>
        </w:tc>
      </w:tr>
      <w:tr>
        <w:tc>
          <w:tcPr>
            <w:tcW w:type="dxa" w:w="5083"/>
            <w:vAlign w:val="center"/>
            <w:tcMar>
              <w:top w:w="70" w:type="dxa"/>
              <w:start w:w="95" w:type="dxa"/>
              <w:bottom w:w="70" w:type="dxa"/>
              <w:end w:w="95" w:type="dxa"/>
            </w:tcMar>
          </w:tcPr>
          <w:p>
            <w:pPr>
              <w:spacing w:after="20" w:before="20"/>
            </w:pPr>
            <w:r/>
            <w:r>
              <w:rPr>
                <w:rFonts w:ascii="Aptos" w:hAnsi="Aptos"/>
                <w:b/>
                <w:sz w:val="16"/>
              </w:rPr>
              <w:t>Keep Next.js/Supabase or adopt Laravel/Django core?</w:t>
            </w:r>
          </w:p>
        </w:tc>
        <w:tc>
          <w:tcPr>
            <w:tcW w:type="dxa" w:w="5083"/>
            <w:vAlign w:val="center"/>
            <w:tcMar>
              <w:top w:w="70" w:type="dxa"/>
              <w:start w:w="95" w:type="dxa"/>
              <w:bottom w:w="70" w:type="dxa"/>
              <w:end w:w="95" w:type="dxa"/>
            </w:tcMar>
          </w:tcPr>
          <w:p>
            <w:pPr>
              <w:spacing w:after="20" w:before="20"/>
            </w:pPr>
            <w:r/>
            <w:r>
              <w:rPr>
                <w:rFonts w:ascii="Aptos" w:hAnsi="Aptos"/>
                <w:b w:val="0"/>
                <w:sz w:val="16"/>
              </w:rPr>
              <w:t>The existing code is Next.js/Supabase; the specification proposes Laravel or Django for the agency core and possibly Next.js for listings. This affects staffing, API boundaries, database ownership and migration effort.</w:t>
            </w:r>
          </w:p>
        </w:tc>
      </w:tr>
      <w:tr>
        <w:tc>
          <w:tcPr>
            <w:tcW w:type="dxa" w:w="5083"/>
            <w:vAlign w:val="center"/>
            <w:shd w:fill="F2F5F7"/>
            <w:tcMar>
              <w:top w:w="70" w:type="dxa"/>
              <w:start w:w="95" w:type="dxa"/>
              <w:bottom w:w="70" w:type="dxa"/>
              <w:end w:w="95" w:type="dxa"/>
            </w:tcMar>
          </w:tcPr>
          <w:p>
            <w:pPr>
              <w:spacing w:after="20" w:before="20"/>
            </w:pPr>
            <w:r/>
            <w:r>
              <w:rPr>
                <w:rFonts w:ascii="Aptos" w:hAnsi="Aptos"/>
                <w:b/>
                <w:sz w:val="16"/>
              </w:rPr>
              <w:t>What is the MVP?</w:t>
            </w:r>
          </w:p>
        </w:tc>
        <w:tc>
          <w:tcPr>
            <w:tcW w:type="dxa" w:w="5083"/>
            <w:vAlign w:val="center"/>
            <w:shd w:fill="F2F5F7"/>
            <w:tcMar>
              <w:top w:w="70" w:type="dxa"/>
              <w:start w:w="95" w:type="dxa"/>
              <w:bottom w:w="70" w:type="dxa"/>
              <w:end w:w="95" w:type="dxa"/>
            </w:tcMar>
          </w:tcPr>
          <w:p>
            <w:pPr>
              <w:spacing w:after="20" w:before="20"/>
            </w:pPr>
            <w:r/>
            <w:r>
              <w:rPr>
                <w:rFonts w:ascii="Aptos" w:hAnsi="Aptos"/>
                <w:b w:val="0"/>
                <w:sz w:val="16"/>
              </w:rPr>
              <w:t>The full scope is large. Prioritize rental cashflow and operational controls before land sales, tax integrations and high-scale infrastructure unless the business says otherwise.</w:t>
            </w:r>
          </w:p>
        </w:tc>
      </w:tr>
      <w:tr>
        <w:tc>
          <w:tcPr>
            <w:tcW w:type="dxa" w:w="5083"/>
            <w:vAlign w:val="center"/>
            <w:tcMar>
              <w:top w:w="70" w:type="dxa"/>
              <w:start w:w="95" w:type="dxa"/>
              <w:bottom w:w="70" w:type="dxa"/>
              <w:end w:w="95" w:type="dxa"/>
            </w:tcMar>
          </w:tcPr>
          <w:p>
            <w:pPr>
              <w:spacing w:after="20" w:before="20"/>
            </w:pPr>
            <w:r/>
            <w:r>
              <w:rPr>
                <w:rFonts w:ascii="Aptos" w:hAnsi="Aptos"/>
                <w:b/>
                <w:sz w:val="16"/>
              </w:rPr>
              <w:t>Who is the system operator?</w:t>
            </w:r>
          </w:p>
        </w:tc>
        <w:tc>
          <w:tcPr>
            <w:tcW w:type="dxa" w:w="5083"/>
            <w:vAlign w:val="center"/>
            <w:tcMar>
              <w:top w:w="70" w:type="dxa"/>
              <w:start w:w="95" w:type="dxa"/>
              <w:bottom w:w="70" w:type="dxa"/>
              <w:end w:w="95" w:type="dxa"/>
            </w:tcMar>
          </w:tcPr>
          <w:p>
            <w:pPr>
              <w:spacing w:after="20" w:before="20"/>
            </w:pPr>
            <w:r/>
            <w:r>
              <w:rPr>
                <w:rFonts w:ascii="Aptos" w:hAnsi="Aptos"/>
                <w:b w:val="0"/>
                <w:sz w:val="16"/>
              </w:rPr>
              <w:t>The current app models an owner/landlord directly. The proposal models an agency managing many landlords and branches; ownership, staff permissions and tenant relationships need a unified model.</w:t>
            </w:r>
          </w:p>
        </w:tc>
      </w:tr>
      <w:tr>
        <w:tc>
          <w:tcPr>
            <w:tcW w:type="dxa" w:w="5083"/>
            <w:vAlign w:val="center"/>
            <w:shd w:fill="F2F5F7"/>
            <w:tcMar>
              <w:top w:w="70" w:type="dxa"/>
              <w:start w:w="95" w:type="dxa"/>
              <w:bottom w:w="70" w:type="dxa"/>
              <w:end w:w="95" w:type="dxa"/>
            </w:tcMar>
          </w:tcPr>
          <w:p>
            <w:pPr>
              <w:spacing w:after="20" w:before="20"/>
            </w:pPr>
            <w:r/>
            <w:r>
              <w:rPr>
                <w:rFonts w:ascii="Aptos" w:hAnsi="Aptos"/>
                <w:b/>
                <w:sz w:val="16"/>
              </w:rPr>
              <w:t>Which payment capabilities are first?</w:t>
            </w:r>
          </w:p>
        </w:tc>
        <w:tc>
          <w:tcPr>
            <w:tcW w:type="dxa" w:w="5083"/>
            <w:vAlign w:val="center"/>
            <w:shd w:fill="F2F5F7"/>
            <w:tcMar>
              <w:top w:w="70" w:type="dxa"/>
              <w:start w:w="95" w:type="dxa"/>
              <w:bottom w:w="70" w:type="dxa"/>
              <w:end w:w="95" w:type="dxa"/>
            </w:tcMar>
          </w:tcPr>
          <w:p>
            <w:pPr>
              <w:spacing w:after="20" w:before="20"/>
            </w:pPr>
            <w:r/>
            <w:r>
              <w:rPr>
                <w:rFonts w:ascii="Aptos" w:hAnsi="Aptos"/>
                <w:b w:val="0"/>
                <w:sz w:val="16"/>
              </w:rPr>
              <w:t>Choose manual payment recording, tenant STK, Paybill C2B matching, reconciliation and payouts in an explicit order; obtain provider approval and test credentials early.</w:t>
            </w:r>
          </w:p>
        </w:tc>
      </w:tr>
      <w:tr>
        <w:tc>
          <w:tcPr>
            <w:tcW w:type="dxa" w:w="5083"/>
            <w:vAlign w:val="center"/>
            <w:tcMar>
              <w:top w:w="70" w:type="dxa"/>
              <w:start w:w="95" w:type="dxa"/>
              <w:bottom w:w="70" w:type="dxa"/>
              <w:end w:w="95" w:type="dxa"/>
            </w:tcMar>
          </w:tcPr>
          <w:p>
            <w:pPr>
              <w:spacing w:after="20" w:before="20"/>
            </w:pPr>
            <w:r/>
            <w:r>
              <w:rPr>
                <w:rFonts w:ascii="Aptos" w:hAnsi="Aptos"/>
                <w:b/>
                <w:sz w:val="16"/>
              </w:rPr>
              <w:t>What is verified versus planned?</w:t>
            </w:r>
          </w:p>
        </w:tc>
        <w:tc>
          <w:tcPr>
            <w:tcW w:type="dxa" w:w="5083"/>
            <w:vAlign w:val="center"/>
            <w:tcMar>
              <w:top w:w="70" w:type="dxa"/>
              <w:start w:w="95" w:type="dxa"/>
              <w:bottom w:w="70" w:type="dxa"/>
              <w:end w:w="95" w:type="dxa"/>
            </w:tcMar>
          </w:tcPr>
          <w:p>
            <w:pPr>
              <w:spacing w:after="20" w:before="20"/>
            </w:pPr>
            <w:r/>
            <w:r>
              <w:rPr>
                <w:rFonts w:ascii="Aptos" w:hAnsi="Aptos"/>
                <w:b w:val="0"/>
                <w:sz w:val="16"/>
              </w:rPr>
              <w:t>Confirm applied database migrations, email delivery, M-Pesa environment/callbacks, backups, security controls and acceptance tests in the agreed staging environment.</w:t>
            </w:r>
          </w:p>
        </w:tc>
      </w:tr>
    </w:tbl>
    <w:p>
      <w:pPr>
        <w:spacing w:after="0"/>
      </w:pPr>
    </w:p>
    <w:p>
      <w:pPr>
        <w:spacing w:before="160"/>
      </w:pPr>
      <w:r>
        <w:rPr>
          <w:b/>
          <w:color w:val="087E74"/>
          <w:sz w:val="22"/>
        </w:rPr>
        <w:t>Bottom line</w:t>
      </w:r>
    </w:p>
    <w:p>
      <w:r>
        <w:t>Use the current project as a valuable rental-workflow foundation, not as evidence that the wider specification is already delivered. Agree the stack and MVP first; then let three developers own rental operations, finance/payments, and land-sales/customer channels, with shared contracts, reviews and controlled GitHub releases.</w:t>
      </w:r>
    </w:p>
    <w:sectPr w:rsidR="00FC693F" w:rsidRPr="0006063C" w:rsidSect="00034616">
      <w:headerReference w:type="default" r:id="rId9"/>
      <w:footerReference w:type="default" r:id="rId10"/>
      <w:pgSz w:w="12240" w:h="15840"/>
      <w:pgMar w:top="979"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E78"/>
        <w:sz w:val="16"/>
      </w:rPr>
      <w:t xml:space="preserve">Project overview &amp; collaboration plan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b/>
        <w:color w:val="087E74"/>
        <w:sz w:val="16"/>
      </w:rPr>
      <w:t>PROJECT BRIEF  |  LEGACY REAL ESTATE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eastAsia="Aptos"/>
      <w:color w:val="303A45"/>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eastAsia="Aptos Display"/>
      <w:b/>
      <w:bCs/>
      <w:color w:val="123047"/>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eastAsia="Aptos Display"/>
      <w:b/>
      <w:bCs/>
      <w:color w:val="087E74"/>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eastAsia="Aptos Display"/>
      <w:b/>
      <w:bCs/>
      <w:color w:val="12304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Aptos Display" w:hAnsi="Aptos Display" w:eastAsia="Aptos Display"/>
      <w:b/>
      <w:color w:val="123047"/>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