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Cash Flow Waterfall &amp; Escrow Mechanics</w:t>
      </w:r>
    </w:p>
    <w:p>
      <w:r>
        <w:t>Overview:</w:t>
        <w:br/>
        <w:t>All project cash flows are managed through a controlled escrow structure with a top-tier bank.</w:t>
        <w:br/>
        <w:br/>
        <w:t>Account Structure:</w:t>
        <w:br/>
        <w:t>1. Master Escrow Account</w:t>
        <w:br/>
        <w:t>2. Project Capex Account</w:t>
        <w:br/>
        <w:t>3. Operating Reserve Account</w:t>
        <w:br/>
        <w:t>4. Investor Distribution Account</w:t>
        <w:br/>
        <w:t>5. Fees &amp; Charges Account</w:t>
        <w:br/>
        <w:br/>
        <w:t>Monthly Waterfall Priority:</w:t>
        <w:br/>
        <w:t>Step 1: Trading proceeds credited to Master Escrow Account</w:t>
        <w:br/>
        <w:t>Step 2: Payment of bank, trading, compliance, and escrow fees</w:t>
        <w:br/>
        <w:t>Step 3: Funding of construction and capex (Months 1–6) until USD 500M is reached</w:t>
        <w:br/>
        <w:t>Step 4: Allocation to operating reserve (minimum 3 months coverage)</w:t>
        <w:br/>
        <w:t>Step 5: Fixed investor payout of USD 10M/month (Months 7–24)</w:t>
        <w:br/>
        <w:t>Step 6: Distribution of surplus per shareholder agreement</w:t>
        <w:br/>
        <w:br/>
        <w:t>Risk Mitigation:</w:t>
        <w:br/>
        <w:t>- SBLC remains non-consumptive</w:t>
        <w:br/>
        <w:t>- Trading exposure capped at USD 200M</w:t>
        <w:br/>
        <w:t>- Escrow-controlled disbursements</w:t>
        <w:br/>
        <w:t>- Independent monthly reporting</w:t>
        <w:br/>
        <w:br/>
        <w:t>Capital Protection:</w:t>
        <w:br/>
        <w:t>The structure prioritizes capex funding, preserves liquidity, and ensures predictable cash flows throughout the 24-month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