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 Memorandum – MRO Development Project</w:t>
      </w:r>
    </w:p>
    <w:p>
      <w:r>
        <w:t>Project: Development of a Full-Scope Aircraft Maintenance, Repair &amp; Overhaul (MRO) Facility</w:t>
        <w:br/>
        <w:t>Location: Long Thanh International Airport (Greater Ho Chi Minh City, Vietnam)</w:t>
        <w:br/>
        <w:br/>
        <w:t>Executive Summary:</w:t>
        <w:br/>
        <w:t>This Investment Memorandum outlines a USD 500 million greenfield MRO development financed via a revolving SBLC-backed structured trade finance program. The structure enables non-dilutive funding, rapid capital deployment, and predictable cash generation during construction.</w:t>
        <w:br/>
        <w:br/>
        <w:t>Key Parameters:</w:t>
        <w:br/>
        <w:t>- Total Investment: USD 500,000,000</w:t>
        <w:br/>
        <w:t>- Project Duration: 24 months</w:t>
        <w:br/>
        <w:t>- Trading Amount: USD 200,000,000 (fixed)</w:t>
        <w:br/>
        <w:t>- SBLC Issuer / Backing Bank: DBS Bank (Singapore) or Techcombank (Vietnam)</w:t>
        <w:br/>
        <w:br/>
        <w:t>Payout Structure:</w:t>
        <w:br/>
        <w:t>- Months 1–6: 40% monthly payout on USD 200M trading amount (USD 80M/month, total USD 480M)</w:t>
        <w:br/>
        <w:t>- Months 7–24: Fixed payout USD 10M/month (total USD 180M)</w:t>
        <w:br/>
        <w:t>- Total 24-month cash generation: USD 660M</w:t>
        <w:br/>
        <w:br/>
        <w:t>Use of Funds:</w:t>
        <w:br/>
        <w:t>- Land &amp; infrastructure</w:t>
        <w:br/>
        <w:t>- Hangar construction (wide-body and narrow-body)</w:t>
        <w:br/>
        <w:t>- Tooling, equipment, and IT systems</w:t>
        <w:br/>
        <w:t>- Certification, staffing, and working capital</w:t>
        <w:br/>
        <w:br/>
        <w:t>Conclusion:</w:t>
        <w:br/>
        <w:t>The project achieves full capex coverage within the first 6 months and generates surplus cash flow, while creating a strategic aviation infrastructure asset with long-term EBITDA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