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  <w:sz w:val="46"/>
          <w:szCs w:val="4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46"/>
          <w:szCs w:val="46"/>
          <w:rtl w:val="0"/>
        </w:rPr>
        <w:t xml:space="preserve">PILL PING — The Hardware Architecture and Innovation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jc w:val="left"/>
        <w:rPr>
          <w:rFonts w:ascii="Google Sans" w:cs="Google Sans" w:eastAsia="Google Sans" w:hAnsi="Google Sans"/>
          <w:color w:val="1f1f1f"/>
          <w:sz w:val="20"/>
          <w:szCs w:val="20"/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1: Hygienic Liquid Delivery (Peristaltic Pump)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Operating Principle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: Operates on a planetary gearbox kinematic model. The central motor shaft acts as the sun gear, driving three planetary rollers to compress medical-grade silicone tubing in a peristaltic motion.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Biomedical Safety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: Complete physical isolation of liquid media. Fluid path is restricted strictly inside the silicone tube, eliminating cross-contamination and reagent oxidation.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Control Mechanism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: High-torque DC motor driven via relay switch.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2: Closed-Loop Liquid Dosing (Hall-Effect Encoder)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Feedback Architecture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: Rear-shaft mounted PCB featuring a magnetic encoder disc and Hall-effect sensing elements.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Signal Acquisition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: Generates high-frequency pulse interrupts directly to the microcontroller upon shaft rotation.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Performance Metric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: Enables closed-loop volume metering down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0.01 mL (10 µL)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, compensating for liquid viscosity changes and voltage dips.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3: PWM Servo Motor vs. Stepper Motor Actuation Analysis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Parameter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PWM Servo Motor (Selected)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Stepper Motor (Alternative Rejected)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Control Architecture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Closed-loop (Internal potentiometer feedback)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Open-loop (Step counting)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Power Consumption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Dynamic (Draws current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only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 under load)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Constant static power draw (Holding torque)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Homing Requirement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Not required (Absolute position feedback)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Requires dedicated homing/limit switch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Fault Tolerance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Self-correcting against external blockage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Vulnerable to lost steps during jamming</w:t>
            </w:r>
          </w:p>
        </w:tc>
      </w:tr>
    </w:tbl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4: Pill Drop Verification (Laser Optical Sensor)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Sensor Topology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: Cross-chute opposing laser emitter and photodiode detector pair (PIN_LASER).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Verification Protocol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: Interruption of the optical beam triggers a hardware interrupt.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Data Integrity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: Medication dispensation logs are updated in EEPROM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only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after verified physical passage of a solid pill through the beam, preventing false-positive dispensing records.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5: Smart Rotary Solid Dispenser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Mechanical Structure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: Custom 3D-printed multi-compartment indexing wheel driven by servo micro-stepping.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Dispensing Kinematics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: Programmatic angular indexing isolates individual solid doses, ensuring exactly one pill is released per rotation cycle.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6: Dedicated IoT Web Server (ESP8266 Module)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Networking Protocol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: Configured in standalone Access Point (SoftAP) mode hosting a lightweight HTTP Web Server.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User Interface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: Zero-dependency browser interface for schedule management (dosing window, target pulse count, pill quantities) without requiring external app installations.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7. Dual-MCU Architecture &amp; Hardware Resource Allocation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z w:val="20"/>
          <w:szCs w:val="20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The system decouples network communication from real-time hardware execution using a Dual-MCU topology.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Feature / Resource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Arduino Core (ATmega328P)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ESP8266 Module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System Task Division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Pin Density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14 Digital I/O (6 PWM) + 8 Analog (A0–A7)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Extremely limited (~4 usable GPIOs)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Arduino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: Handles 10+ sensors/actuators.</w:t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ESP8266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: Dedicated network stack.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Hardware Interrupts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Fast hardware pin interrupts (D2, D3)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Shared with Wi-Fi stack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Arduino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: Zero-latency Hall pulse counting and laser beam break detection.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Communication Buses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Hardware I2C (SDA/SCL), SPI, Native UART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Software I2C, UART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Arduino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: Direct interface with I2C LCD, Servo PWM, and Analog Sensors.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Memory Isolation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1 KB Non-Volatile EEPROM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Flash Memory / SPIFFS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Arduino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: Stores dosage schedules safely against power failure.</w:t>
            </w:r>
          </w:p>
        </w:tc>
      </w:tr>
    </w:tbl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Inter-MCU Protocol &amp; Data Persistence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Communication Protocol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: SoftwareSerial UART bridge at 9600 baud (Arduino D2/D3 $\leftrightarrow$ ESP8266 TX/RX).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Payload Framing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: Data transmitted using framed ASCII packets: &lt;Doses,Start,End,Remind,Pulses,Pills&gt;.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Data Security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: Parsed schedules are immediately saved into the Arduino core’s internal EEPROM, preserving dosage timing through sudden power losses.</w:t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8. Audio-Visual Alert System (Module 8)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Multi-Modal Warning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: High-decibel piezo buzzer coupled with high-luminance flashing LED arrays.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Escalation Protocol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: Triggers active alerting during scheduled dosing windows. Escalates tone patterns if dosage remains uncollected past the target end time.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————————————————————————————————————————————————————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Future Roadmap &amp; Enterprise Hospital Expansion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Phase 1: RFID Patient Authentication (Public Hospital Corridors)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Target Environment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: Transition from home care to ward corridors and communal hospital areas.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Implementation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: Integration of an SPI/I2C RFID reader (e.g., RC522) to the Arduino core. Patients wearing encoded RFID wristbands scan at hallway stations to receive scheduled medication on demand, reducing nursing workload.</w:t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Phase 2: Centralized Network Management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Infrastructure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: Integration of SPI-based W5500 Ethernet modules or Enterprise WPA2 Wi-Fi bridges.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Functionality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: Enables central nursing stations to monitor live dispensing status, track adherence logs, and push real-time schedule adjustments across entire hospital floors.</w:t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Phase 3: Modular Hardware Expansion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firstLine="0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Frame Design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: Physical chassis featuring standardized snap-on sliding rails.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firstLine="0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Stackable Modules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: Auxiliary 3D-printed "Servo + Rotary Wheel" and "Peristaltic Pump" modules connect via extended I2C/PWM buses, dynamically scaling solid tablet and liquid capacity without redesigning the main controller board.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firstLine="0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firstLine="0"/>
        <w:rPr>
          <w:rFonts w:ascii="Google Sans" w:cs="Google Sans" w:eastAsia="Google Sans" w:hAnsi="Google Sans"/>
          <w:color w:val="1f1f1f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32"/>
          <w:szCs w:val="32"/>
          <w:rtl w:val="0"/>
        </w:rPr>
        <w:t xml:space="preserve">EXPLODED VIEW :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firstLine="0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</w:rPr>
        <w:drawing>
          <wp:inline distB="114300" distT="114300" distL="114300" distR="114300">
            <wp:extent cx="3252788" cy="243434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2788" cy="2434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