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s5p4vk0v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OTM-002 — Remove Owner Non Resident Tenancy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og9u597c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Coded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7iyoeasmb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Owner Non Resident Tenancy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hi71p74p8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tl582wl0u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an Owner Non Resident to terminate a tenancy relationship associated with a unit they own.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remove an occupant from a unit while preserving ownership of the unit and recalculating the resulting occupancy state.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76lhma9d6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4ufzoj6pq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0xfo0941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a tenancy is not the same as vacating a unit.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tenancy relationship may end while the unit remains occupied by other active tenants.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A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B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Tenant A: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B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unit only becomes vacant when no active tenants remain.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lt0bjgd76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operates within the ownership authority chain: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-&gt;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is responsible for managing tenancy lifecycle events associated with owned units.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ns8wz64qi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decides to terminate a tenancy relationship.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of lease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relocation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of property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removal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expiry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x2aj847vi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assigned to the unit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ownership authority for the unit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access to Owner Tenancy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tenancy relationship exists and is active.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wkfpd9ep0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Tenancy Termination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selects an active tenancy and ends the tenancy relationship.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tenancy may end: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future end date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rights remain active until the tenancy end date is reached.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wah9xdj3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Requirements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Tenancy termination notifications should be issued to affected occupants.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notification schedule: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days before tenancy end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days before tenancy end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of tenancy 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sent to: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Non Resident Tenant Co-Inhabitants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p5bpkjl0i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Revocation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tenancy end date is reached: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loses access to the unit.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access granted through that tenancy relationship also becomes invalid.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Removed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Removed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t2fshlbr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Access Cascade Rule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tenancy relationship ends: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occupants dependent upon that tenancy relationship lose access.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Removing the tenancy removes access for the co-inhabitants associated with that tenancy.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6o3vvv4zg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State Recalculation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state is determined by the existence of active tenants.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B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Tenant A: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B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Tenant B: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Active Tenants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unit only becomes vacant when no active tenancy relationships remain.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keezc264y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tenancy ends: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 from call routing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 from call routing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active tenants remain: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Occupant call routing remains unchanged.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active tenants remain: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becomes eligible for call-list participation in accordance with Property Manager policy.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31jb9rzam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Foyer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terminated tenant no longer has an active Mon Foyer relationship associated with the unit.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tenancy-related household structure is no longer active.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481sunntr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OSkey Accounts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a tenancy does not remove an OSkey account.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A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Tenancy Ended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B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Resident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user retains their OSkey account and any other valid building relationships.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affected tenancy relationship is removed.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yv71mmc3c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Feed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activity remains visible in the activity feed for a limited period.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retention policy: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Days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this period: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 Feed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supports GDPR requirements and simplifies day-to-day application usage.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9o7o3km8i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tenancy lifecycle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Terminates tenancy relationships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tenancy access duration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Loses occupancy rights at tenancy end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access at tenancy end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Co-Inhabitant: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Loses access through cascade removal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call-routing participation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zts5bvtyn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tenancy relationship ends.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is recalculated.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remains unchanged.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may remain occupied or become vacant depending on the existence of other active tenants.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7do3yrkf4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associated with the tenancy is removed.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Dependent co-inhabitant access is removed.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Call-routing eligibility is recalculated.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remains associated with the unit.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tqcfpv7vw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WG-052 Create Owner Non Resident Tenant (LLD)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WG-053 Create Owner Non Resident Tenant Co-Inhabitant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LCD Occupancy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LCD Occupancy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Unit Ownership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Owner Non Resident To Owner Resident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h2nzhef6u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a tenancy does not imply ownership transfer.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a tenancy does not imply unit vacancy.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state must always be calculated from active tenancy relationships.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yamb9d6dh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