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HRIS Evaluation Matrix</w:t>
      </w:r>
    </w:p>
    <w:p>
      <w:pPr>
        <w:spacing w:after="200"/>
      </w:pPr>
      <w:r>
        <w:rPr>
          <w:rFonts w:ascii="Arial" w:cs="Arial" w:eastAsia="Arial" w:hAnsi="Arial"/>
          <w:color w:val="5b5b57"/>
          <w:sz w:val="24"/>
          <w:szCs w:val="24"/>
        </w:rPr>
        <w:t xml:space="preserve">Al Liwan Group  |  Q1 2026</w:t>
      </w:r>
    </w:p>
    <w:p>
      <w:pPr>
        <w:pBdr>
          <w:bottom w:val="single" w:color="b68a2f" w:sz="3"/>
        </w:pBdr>
        <w:spacing w:after="200" w:before="200"/>
      </w:pPr>
    </w:p>
    <w:p>
      <w:pPr>
        <w:pStyle w:val="Heading1"/>
      </w:pPr>
      <w:r>
        <w:t xml:space="preserve">Purpose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 evaluate HRIS candidates against regulatory, architectural, and operational constraints specific to Al Liwan, before feature comparison or vendor branding considerations.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Enforce early elimination of non-viable options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Align HR, IT, Security, and Corporate Strategy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Support a Phase 1 implementation with a clear Phase 2 migration path</w:t>
      </w:r>
    </w:p>
    <w:p>
      <w:pPr>
        <w:pStyle w:val="Heading1"/>
      </w:pPr>
      <w:r>
        <w:t xml:space="preserve">Evaluation Model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evaluation proceeds in three mandatory gates, followed by a comparative scorecard.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Gate failure = exclusion or deferral, regardless of vendor reputation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Passing all gates qualifies a system for shortlisting</w:t>
      </w:r>
    </w:p>
    <w:p>
      <w:pPr>
        <w:pStyle w:val="Heading1"/>
      </w:pPr>
      <w:r>
        <w:t xml:space="preserve">Gate 1: Regulatory and Data Protection Viability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Objective: Ensure compliance with UAE PDPL and ADGM DPR obligations.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3500"/>
        <w:gridCol w:w="4000"/>
        <w:gridCol w:w="1200"/>
        <w:gridCol w:w="12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77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77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77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Pass/Fail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77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b0b0b"/>
                <w:sz w:val="20"/>
                <w:szCs w:val="20"/>
              </w:rPr>
              <w:t xml:space="preserve">Data Controller / Processor Clarity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Vendor contractually acts as Data Processor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/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b0b0b"/>
                <w:sz w:val="20"/>
                <w:szCs w:val="20"/>
              </w:rPr>
              <w:t xml:space="preserve">DPA Availability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GDPR-grade Data Processing Agreement available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/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b0b0b"/>
                <w:sz w:val="20"/>
                <w:szCs w:val="20"/>
              </w:rPr>
              <w:t xml:space="preserve">Sub-processor Transparency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Full sub-processor list disclosed and governed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/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b0b0b"/>
                <w:sz w:val="20"/>
                <w:szCs w:val="20"/>
              </w:rPr>
              <w:t xml:space="preserve">Cross-Border Transfer Mechanism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Lawful transfer basis clearly documented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/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b0b0b"/>
                <w:sz w:val="20"/>
                <w:szCs w:val="20"/>
              </w:rPr>
              <w:t xml:space="preserve">Data Subject Rights Support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Access, correction, deletion workflows supported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/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b0b0b"/>
                <w:sz w:val="20"/>
                <w:szCs w:val="20"/>
              </w:rPr>
              <w:t xml:space="preserve">Breach Notification SLA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Explicit breach notification timelines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/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b0b0b"/>
                <w:sz w:val="20"/>
                <w:szCs w:val="20"/>
              </w:rPr>
              <w:t xml:space="preserve">Audit Rights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Right to audit or receive independent assurance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/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Gate Outcome: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Pass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Fail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Deferred</w:t>
      </w:r>
    </w:p>
    <w:p>
      <w:pPr>
        <w:pBdr>
          <w:bottom w:val="single" w:color="b68a2f" w:sz="3"/>
        </w:pBdr>
        <w:spacing w:after="200" w:before="200"/>
      </w:pPr>
    </w:p>
    <w:p>
      <w:pPr>
        <w:pStyle w:val="Heading1"/>
      </w:pPr>
      <w:r>
        <w:t xml:space="preserve">Gate 2: Hosting, Identity, and Architecture Fit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Objective: Validate technical and architectural compatibility with Al Liwan's Microsoft-centric environment and data residency expectations.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3500"/>
        <w:gridCol w:w="4000"/>
        <w:gridCol w:w="1200"/>
        <w:gridCol w:w="12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77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77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77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Pass/Fail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77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b0b0b"/>
                <w:sz w:val="20"/>
                <w:szCs w:val="20"/>
              </w:rPr>
              <w:t xml:space="preserve">Hosting Model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SaaS acceptable only if residency is contractually defined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/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b0b0b"/>
                <w:sz w:val="20"/>
                <w:szCs w:val="20"/>
              </w:rPr>
              <w:t xml:space="preserve">UAE Data Residency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UAE-hosted or legally defensible transfer model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/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b0b0b"/>
                <w:sz w:val="20"/>
                <w:szCs w:val="20"/>
              </w:rPr>
              <w:t xml:space="preserve">Azure Dependency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Runs on Azure or interoperates cleanly with Azure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/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b0b0b"/>
                <w:sz w:val="20"/>
                <w:szCs w:val="20"/>
              </w:rPr>
              <w:t xml:space="preserve">Tenant Control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Clear separation between vendor tenant and Al Liwan tenant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/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b0b0b"/>
                <w:sz w:val="20"/>
                <w:szCs w:val="20"/>
              </w:rPr>
              <w:t xml:space="preserve">Identity Integration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Native Entra ID (Azure AD) SSO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/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b0b0b"/>
                <w:sz w:val="20"/>
                <w:szCs w:val="20"/>
              </w:rPr>
              <w:t xml:space="preserve">MFA and RBAC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Fine-grained role-based access controls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/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b0b0b"/>
                <w:sz w:val="20"/>
                <w:szCs w:val="20"/>
              </w:rPr>
              <w:t xml:space="preserve">API Availability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Secure, documented APIs for integrations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/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b0b0b"/>
                <w:sz w:val="20"/>
                <w:szCs w:val="20"/>
              </w:rPr>
              <w:t xml:space="preserve">Logging and Monitoring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Exportable audit logs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/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Gate Outcome: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Pass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Fail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Deferred</w:t>
      </w:r>
    </w:p>
    <w:p>
      <w:pPr>
        <w:pBdr>
          <w:bottom w:val="single" w:color="b68a2f" w:sz="3"/>
        </w:pBdr>
        <w:spacing w:after="200" w:before="200"/>
      </w:pPr>
    </w:p>
    <w:p>
      <w:pPr>
        <w:pStyle w:val="Heading1"/>
      </w:pPr>
      <w:r>
        <w:t xml:space="preserve">Gate 3: Operational and Organizational Fit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Objective: Ensure the system is appropriate for a sub-100-employee organization with limited internal HR and IT bandwidth.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3500"/>
        <w:gridCol w:w="4000"/>
        <w:gridCol w:w="1200"/>
        <w:gridCol w:w="12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77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77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77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Pass/Fail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77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b0b0b"/>
                <w:sz w:val="20"/>
                <w:szCs w:val="20"/>
              </w:rPr>
              <w:t xml:space="preserve">Minimum Viable Scale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Designed for &lt;100-250 employees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/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b0b0b"/>
                <w:sz w:val="20"/>
                <w:szCs w:val="20"/>
              </w:rPr>
              <w:t xml:space="preserve">Implementation Time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&lt;90 days to production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/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b0b0b"/>
                <w:sz w:val="20"/>
                <w:szCs w:val="20"/>
              </w:rPr>
              <w:t xml:space="preserve">Configuration Complexity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No heavy custom development required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/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b0b0b"/>
                <w:sz w:val="20"/>
                <w:szCs w:val="20"/>
              </w:rPr>
              <w:t xml:space="preserve">HR Admin Load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Manageable by interim HR function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/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b0b0b"/>
                <w:sz w:val="20"/>
                <w:szCs w:val="20"/>
              </w:rPr>
              <w:t xml:space="preserve">Vendor Responsiveness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Realistic access to demos and support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/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b0b0b"/>
                <w:sz w:val="20"/>
                <w:szCs w:val="20"/>
              </w:rPr>
              <w:t xml:space="preserve">Cost Structure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Predictable, non-enterprise pricing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/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b0b0b"/>
                <w:sz w:val="20"/>
                <w:szCs w:val="20"/>
              </w:rPr>
              <w:t xml:space="preserve">Exit Path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Data export and future migration feasible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/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Gate Outcome: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Pass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Fail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Deferred</w:t>
      </w:r>
    </w:p>
    <w:p>
      <w:pPr>
        <w:pBdr>
          <w:bottom w:val="single" w:color="b68a2f" w:sz="3"/>
        </w:pBdr>
        <w:spacing w:after="200" w:before="200"/>
      </w:pPr>
    </w:p>
    <w:p>
      <w:pPr>
        <w:pStyle w:val="Heading1"/>
      </w:pPr>
      <w:r>
        <w:t xml:space="preserve">Comparative Scorecard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Only systems that pass all three gates proceed to scoring.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2800"/>
        <w:gridCol w:w="1100"/>
        <w:gridCol w:w="1400"/>
        <w:gridCol w:w="1400"/>
        <w:gridCol w:w="14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77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77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77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Vendor 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77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Vendor 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77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Vendor 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Core HR Functionality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20%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Security Maturity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20%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Microsoft Ecosystem Fit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15%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UX and Adoption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15%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Reporting and Analytics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10%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Vendor Viability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10%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Cost vs Value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10%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b0b0b"/>
                <w:sz w:val="20"/>
                <w:szCs w:val="20"/>
              </w:rPr>
              <w:t xml:space="preserve">Total Weighted Score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100%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b68a2f" w:sz="3"/>
        </w:pBdr>
        <w:spacing w:after="200" w:before="200"/>
      </w:pPr>
    </w:p>
    <w:p>
      <w:pPr>
        <w:pStyle w:val="Heading1"/>
      </w:pPr>
      <w:r>
        <w:t xml:space="preserve">Phase Strategy Alignment</w:t>
      </w:r>
    </w:p>
    <w:p>
      <w:pPr>
        <w:pStyle w:val="Heading2"/>
      </w:pPr>
      <w:r>
        <w:t xml:space="preserve">Phase 1 (2026)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Lightweight, compliant HRIS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Fast deployment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Minimal operational friction</w:t>
      </w:r>
    </w:p>
    <w:p>
      <w:pPr>
        <w:pStyle w:val="Heading2"/>
      </w:pPr>
      <w:r>
        <w:t xml:space="preserve">Phase 2 (Future)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Optional migration to enterprise HCM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Data portability preserved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 regulatory rework required</w:t>
      </w:r>
    </w:p>
    <w:p>
      <w:pPr>
        <w:pBdr>
          <w:bottom w:val="single" w:color="b68a2f" w:sz="3"/>
        </w:pBdr>
        <w:spacing w:after="200" w:before="200"/>
      </w:pPr>
    </w:p>
    <w:p>
      <w:pPr>
        <w:pStyle w:val="Heading1"/>
      </w:pPr>
      <w:r>
        <w:t xml:space="preserve">Decision Record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Recommended System: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Decision Rationale: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Known Tradeoffs: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Next Review Trigger: (e.g. 300+ employees, multi-country payroll)</w:t>
      </w:r>
    </w:p>
    <w:sectPr>
      <w:headerReference w:type="default" r:id="rId7"/>
      <w:footerReference w:type="default" r:id="rId8"/>
      <w:pgSz w:w="11906" w:h="16838" w:orient="portrait"/>
      <w:pgMar w:top="18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b5b57"/>
        <w:sz w:val="16"/>
        <w:szCs w:val="16"/>
      </w:rPr>
      <w:t xml:space="preserve">Al Liwan Group  |  Confidential</w:t>
    </w:r>
    <w:r>
      <w:rPr>
        <w:rFonts w:ascii="Arial" w:cs="Arial" w:eastAsia="Arial" w:hAnsi="Arial"/>
        <w:color w:val="5b5b57"/>
        <w:sz w:val="16"/>
        <w:szCs w:val="16"/>
      </w:rPr>
      <w:t xml:space="preserve">  |  Page </w:t>
    </w:r>
    <w:r>
      <w:rPr>
        <w:rFonts w:ascii="Arial" w:cs="Arial" w:eastAsia="Arial" w:hAnsi="Arial"/>
        <w:color w:val="5b5b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00"/>
      <w:jc w:val="right"/>
    </w:pPr>
    <w:r>
      <w:drawing>
        <wp:inline distT="0" distB="0" distL="0" distR="0">
          <wp:extent cx="914400" cy="476250"/>
          <wp:effectExtent t="0" r="0" b="0" l="0"/>
          <wp:docPr id="1" name="logo" descr="Al Liwan Group Logo" title="Al Liwan Grou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b0b0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 w:before="240"/>
      <w:jc w:val="left"/>
    </w:pPr>
    <w:rPr>
      <w:rFonts w:ascii="Arial" w:cs="Arial" w:eastAsia="Arial" w:hAnsi="Arial"/>
      <w:b/>
      <w:bCs/>
      <w:color w:val="2f577b"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f577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f577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5b5b5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0350ddc9a8eccf0130ce2a2d04c84d302115ab67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2026-03-24T12:11:16.210Z</dcterms:created>
  <dcterms:modified xsi:type="dcterms:W3CDTF">2026-03-24T12:11:16.211Z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