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Case: Darwinbox HRIS</w:t>
      </w:r>
    </w:p>
    <w:p>
      <w:pPr>
        <w:spacing w:after="80"/>
      </w:pPr>
      <w:r>
        <w:rPr>
          <w:rFonts w:ascii="Arial" w:cs="Arial" w:eastAsia="Arial" w:hAnsi="Arial"/>
          <w:color w:val="5b5b57"/>
          <w:sz w:val="24"/>
          <w:szCs w:val="24"/>
        </w:rPr>
        <w:t xml:space="preserve">Al Liwan Group  |  January 2026</w:t>
      </w:r>
    </w:p>
    <w:p>
      <w:pPr>
        <w:spacing w:after="200"/>
      </w:pPr>
      <w:r>
        <w:rPr>
          <w:rFonts w:ascii="Arial" w:cs="Arial" w:eastAsia="Arial" w:hAnsi="Arial"/>
          <w:color w:val="5b5b57"/>
          <w:sz w:val="20"/>
          <w:szCs w:val="20"/>
        </w:rPr>
        <w:t xml:space="preserve">Requested by: </w:t>
      </w:r>
      <w:r>
        <w:rPr>
          <w:rFonts w:ascii="Arial" w:cs="Arial" w:eastAsia="Arial" w:hAnsi="Arial"/>
          <w:sz w:val="20"/>
          <w:szCs w:val="20"/>
        </w:rPr>
        <w:t xml:space="preserve">David Orban, Head of IT / Tracey Batty-Jones, HR</w:t>
      </w:r>
    </w:p>
    <w:p>
      <w:pPr>
        <w:spacing w:after="80"/>
      </w:pPr>
      <w:r>
        <w:rPr>
          <w:rFonts w:ascii="Arial" w:cs="Arial" w:eastAsia="Arial" w:hAnsi="Arial"/>
          <w:color w:val="5b5b57"/>
          <w:sz w:val="20"/>
          <w:szCs w:val="20"/>
        </w:rPr>
        <w:t xml:space="preserve">Budget: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~$42,000-$60,000 USD (AED 154,140-220,200) Year 1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Liwan Group requires a lightweight HRIS system for Q1 2026 deployment that can operate until full ERP implementation (targeted Q4 2026+). Following a structured evaluation against regulatory, architectural, and operational gates, Darwinbox emerges as the only candidate that passes all three gates.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Phase 1 interim solution with a clear migration path to Dynamics 365 when the organization is ready for full ERP deployment.</w:t>
      </w:r>
    </w:p>
    <w:p>
      <w:pPr>
        <w:pStyle w:val="Heading1"/>
      </w:pPr>
      <w:r>
        <w:t xml:space="preserve">Evaluation Summary</w:t>
      </w:r>
    </w:p>
    <w:p>
      <w:pPr>
        <w:pStyle w:val="Heading2"/>
      </w:pPr>
      <w:r>
        <w:t xml:space="preserve">Gate Results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1600"/>
        <w:gridCol w:w="18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1 Reg.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2 Arch.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3 Ops.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Microsoft D365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❌ Fail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5b57"/>
                <w:sz w:val="20"/>
                <w:szCs w:val="20"/>
              </w:rPr>
              <w:t xml:space="preserve">Deferred (Phase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HiBob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❌ Fail (EU/US)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Excluded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Darwinbox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20"/>
                <w:szCs w:val="20"/>
              </w:rPr>
              <w:t xml:space="preserve">Qualified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BambooHR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❌ Fail (US)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Excluded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HiBob and BambooHR fail on UAE data residency — neither offers Middle East hosting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Dynamics 365 fails Gate 3 — requires significant build effort, not suitable for Q1 HRIS-only deployment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Darwinbox is the only candidate passing all three gates.</w:t>
      </w:r>
    </w:p>
    <w:p>
      <w:pPr>
        <w:pStyle w:val="Heading1"/>
      </w:pPr>
      <w:r>
        <w:t xml:space="preserve">Darwinbox in Regulated UAE Organizations</w:t>
      </w:r>
    </w:p>
    <w:p>
      <w:pPr>
        <w:pStyle w:val="Heading2"/>
      </w:pPr>
      <w:r>
        <w:t xml:space="preserve">Regional Presence &amp; Credentials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Regional Office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Dubai International Financial Centre (DIFC)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GCC 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UAE, Saudi Arabia, Bahrain, Kuwait, Oman, Qatar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Regional 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Lulu Group, Aramex, Mobily Infotech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Global 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Nivea, Starbucks, Sephora, Zara, AXA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Scale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1.5M+ employees across 650+ enterprises globally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Unicorn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Achieved in 2023 with $72M funding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Regional Partner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PwC Middle East (preferred implementation partner)</w:t>
            </w:r>
          </w:p>
        </w:tc>
      </w:tr>
    </w:tbl>
    <w:p>
      <w:pPr>
        <w:pStyle w:val="Heading2"/>
      </w:pPr>
      <w:r>
        <w:t xml:space="preserve">Security &amp;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16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Certified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Information security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Certified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Security controls attestation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ISO 27701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Certified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Privacy information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Compliant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Data protection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UAE Labor Law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✅ Supported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GCC-specific compliance</w:t>
            </w:r>
          </w:p>
        </w:tc>
      </w:tr>
    </w:tbl>
    <w:p>
      <w:pPr>
        <w:pStyle w:val="Heading1"/>
      </w:pPr>
      <w:r>
        <w:t xml:space="preserve">Cost Analysis</w:t>
      </w:r>
    </w:p>
    <w:p>
      <w:pPr>
        <w:pStyle w:val="Heading2"/>
      </w:pPr>
      <w:r>
        <w:t xml:space="preserve">Year 1 Total Cost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2000"/>
        <w:gridCol w:w="24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(AED)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$10,000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91,750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$27,000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$42,000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154,140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$18,000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$42,000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$60,000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220,200</w:t>
            </w:r>
          </w:p>
        </w:tc>
      </w:tr>
    </w:tbl>
    <w:p>
      <w:pPr>
        <w:pStyle w:val="Heading2"/>
      </w:pPr>
      <w:r>
        <w:t xml:space="preserve">Ongoing Annual Cost (Year 2+)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2700"/>
        <w:gridCol w:w="24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Licensing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$10,000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Baseline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$3,000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Growth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$22,500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$4,500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$27,000</w:t>
            </w:r>
          </w:p>
        </w:tc>
      </w:tr>
    </w:tbl>
    <w:p>
      <w:pPr>
        <w:pStyle w:val="Heading1"/>
      </w:pPr>
      <w:r>
        <w:t xml:space="preserve">Implementation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Production by end of Q1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16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Week 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 weeks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Contract, environment setup, data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Week 3-6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4 weeks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Configuration, data migration, SSO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Week 7-8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 weeks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UAT, training, go-live preparation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Week 9-10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 weeks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Go-live, hypercare support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~10 weeks (within 90-day Gate 3 requirement)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1400"/>
        <w:gridCol w:w="1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Implementation 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PwC partnership provides experienced local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Integration 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Native Entra ID SSO support; documented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Clean data export; API-first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Feature gaps vs D365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Phase 1 focuses on core HR; advanced in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Regional support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DIFC office; PwC local partner</w:t>
            </w:r>
          </w:p>
        </w:tc>
      </w:tr>
    </w:tbl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Darwinbox HRIS for Phase 1 deployment.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formal quote from Darwinbox for 56-75 employees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Engage PwC Middle East for implementation scoping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Schedule technical demo with IT team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Entra ID SSO integration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Target contract signature by end of January 2026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5b57"/>
        <w:sz w:val="16"/>
        <w:szCs w:val="16"/>
      </w:rPr>
      <w:t xml:space="preserve">Al Liwan Group  |  Confidential</w:t>
    </w:r>
    <w:r>
      <w:rPr>
        <w:rFonts w:ascii="Arial" w:cs="Arial" w:eastAsia="Arial" w:hAnsi="Arial"/>
        <w:color w:val="5b5b57"/>
        <w:sz w:val="16"/>
        <w:szCs w:val="16"/>
      </w:rPr>
      <w:t xml:space="preserve">  |  Page </w:t>
    </w:r>
    <w:r>
      <w:rPr>
        <w:rFonts w:ascii="Arial" w:cs="Arial" w:eastAsia="Arial" w:hAnsi="Arial"/>
        <w:color w:val="5b5b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drawing>
        <wp:inline distT="0" distB="0" distL="0" distR="0">
          <wp:extent cx="914400" cy="476250"/>
          <wp:effectExtent t="0" r="0" b="0" l="0"/>
          <wp:docPr id="1" name="logo" descr="Al Liwan Group Logo" title="Al Liwan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left"/>
    </w:pPr>
    <w:rPr>
      <w:rFonts w:ascii="Arial" w:cs="Arial" w:eastAsia="Arial" w:hAnsi="Arial"/>
      <w:b/>
      <w:bCs/>
      <w:color w:val="2f577b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7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7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5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50ddc9a8eccf0130ce2a2d04c84d302115ab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2026-03-24T12:11:16.216Z</dcterms:created>
  <dcterms:modified xsi:type="dcterms:W3CDTF">2026-03-24T12:11:16.216Z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