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Noto Sans CJK KR" w:hAnsi="Noto Sans CJK KR" w:eastAsia="Noto Sans CJK KR"/>
          <w:b/>
          <w:color w:val="17324D"/>
          <w:sz w:val="50"/>
        </w:rPr>
        <w:t>시퀀스 다이어그램 및 클래스 다이어그램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667788"/>
          <w:sz w:val="24"/>
        </w:rPr>
        <w:t>Behavioral &amp; Structural UML Design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산출물 번호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FT-UML-001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문서 버전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0.1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문서 상태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제안 단계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작성자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김범수</w:t>
            </w:r>
          </w:p>
        </w:tc>
      </w:tr>
      <w:tr>
        <w:tc>
          <w:tcPr>
            <w:tcW w:type="dxa" w:w="5083"/>
            <w:shd w:fill="17324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최초 생성일</w:t>
            </w:r>
          </w:p>
        </w:tc>
        <w:tc>
          <w:tcPr>
            <w:tcW w:type="dxa" w:w="5083"/>
          </w:tcPr>
          <w:p>
            <w:r>
              <w:rPr>
                <w:rFonts w:ascii="Noto Sans CJK KR" w:hAnsi="Noto Sans CJK KR" w:eastAsia="Noto Sans CJK KR"/>
                <w:b w:val="0"/>
                <w:color w:val="18222C"/>
                <w:sz w:val="18"/>
              </w:rPr>
              <w:t>2026년 10월 11일</w:t>
            </w:r>
          </w:p>
        </w:tc>
      </w:tr>
    </w:tbl>
    <w:p>
      <w:r>
        <w:br w:type="page"/>
      </w:r>
    </w:p>
    <w:p>
      <w:pPr>
        <w:pStyle w:val="Heading1"/>
      </w:pPr>
      <w:r>
        <w:t>0.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92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문서 목적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Behavioral &amp; Structural UML Design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기준 문서</w:t>
            </w:r>
          </w:p>
        </w:tc>
        <w:tc>
          <w:tcPr>
            <w:tcW w:type="dxa" w:w="792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RD v0.5, SRS v0.5, DCD v0.4, pending_decisions.md v0.28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상태 해석</w:t>
            </w:r>
          </w:p>
        </w:tc>
        <w:tc>
          <w:tcPr>
            <w:tcW w:type="dxa" w:w="792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설계 초안. TBD와 미결정 사항은 구현 기준으로 확정되지 않음.</w:t>
            </w:r>
          </w:p>
        </w:tc>
      </w:tr>
    </w:tbl>
    <w:p>
      <w:pPr>
        <w:spacing w:after="40"/>
      </w:pPr>
    </w:p>
    <w:p>
      <w:pPr>
        <w:pStyle w:val="Heading2"/>
      </w:pPr>
      <w:r>
        <w:t>0.1 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7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수정일</w:t>
            </w:r>
          </w:p>
        </w:tc>
        <w:tc>
          <w:tcPr>
            <w:tcW w:type="dxa" w:w="100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버전</w:t>
            </w:r>
          </w:p>
        </w:tc>
        <w:tc>
          <w:tcPr>
            <w:tcW w:type="dxa" w:w="604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변경 내용</w:t>
            </w:r>
          </w:p>
        </w:tc>
        <w:tc>
          <w:tcPr>
            <w:tcW w:type="dxa" w:w="17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작성/승인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2026-10-11</w:t>
            </w:r>
          </w:p>
        </w:tc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0.1</w:t>
            </w:r>
          </w:p>
        </w:tc>
        <w:tc>
          <w:tcPr>
            <w:tcW w:type="dxa" w:w="60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설계 단계 최초 초안 작성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프로젝트 수행자</w:t>
            </w:r>
          </w:p>
        </w:tc>
      </w:tr>
    </w:tbl>
    <w:p>
      <w:pPr>
        <w:spacing w:after="40"/>
      </w:pPr>
    </w:p>
    <w:p>
      <w:pPr>
        <w:pStyle w:val="Heading2"/>
      </w:pPr>
      <w:r>
        <w:t>0.2 작성 원칙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확정된 고객 요청과 분석 산출물만 설계 기준으로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수치 미확정은 TBD, 규칙·로직 미확정은 미결정 사항으로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본문에서 생략한 상세도 미결정사항 목록에 남겨 최종 설계 누락으로 오인되지 않게 한다.</w:t>
      </w:r>
    </w:p>
    <w:p>
      <w:pPr>
        <w:pStyle w:val="Heading1"/>
      </w:pPr>
      <w:r>
        <w:t>1. 문서 범위와 표기 규칙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color w:val="18222C"/>
          <w:sz w:val="19"/>
        </w:rPr>
        <w:t>핵심 기능 네 개를 대상으로 행위적 관점과 구조적 관점을 한 문서에서 연결한다. 행위적 관점은 시퀀스 다이어그램을 기본으로 상태·시간 제약을 하단 오버레이로 추가한다. 구조적 관점은 패키지·컴포넌트·클래스·객체를 Depth별로 한 도화지에 배치한다.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Depth</w:t>
            </w:r>
          </w:p>
        </w:tc>
        <w:tc>
          <w:tcPr>
            <w:tcW w:type="dxa" w:w="244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명칭</w:t>
            </w:r>
          </w:p>
        </w:tc>
        <w:tc>
          <w:tcPr>
            <w:tcW w:type="dxa" w:w="691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요소·표현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Context &amp; Boundary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Package/Component. 이름과 제공·요구 인터페이스만 표시</w:t>
            </w:r>
          </w:p>
        </w:tc>
      </w:tr>
      <w:tr>
        <w:tc>
          <w:tcPr>
            <w:tcW w:type="dxa" w:w="100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2</w:t>
            </w:r>
          </w:p>
        </w:tc>
        <w:tc>
          <w:tcPr>
            <w:tcW w:type="dxa" w:w="244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Structural Blueprint</w:t>
            </w:r>
          </w:p>
        </w:tc>
        <w:tc>
          <w:tcPr>
            <w:tcW w:type="dxa" w:w="691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핵심 Class는 속성·연산, 보조 Class는 Elision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Runtime Snapshot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Object Instance + 실제 Slot 값 + 객체 Link 메시지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패키지 안에 컴포넌트, 컴포넌트 안에 클래스가 위치하는 계층을 사용한다.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설계(클래스)와 실행(객체) 영역은 점선 경계로 분리하고 «instantiate» 점선 화살표로 연결한다.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객체 Link에는 통신 다이어그램식 순서 번호를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중심 기능 밖의 외부 컴포넌트는 내부를 펼치지 않고 제공/요구 인터페이스 경계로만 표시한다.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18222C"/>
          <w:sz w:val="19"/>
        </w:rPr>
        <w:t>Use Case Diagram은 구현 또는 이후 산출물로 보류하고 본 문서에서 제외한다.</w:t>
      </w:r>
    </w:p>
    <w:p>
      <w:pPr>
        <w:pStyle w:val="Heading1"/>
      </w:pPr>
      <w:r>
        <w:t>2. 기능별 통합 다이어그램</w:t>
      </w:r>
    </w:p>
    <w:p>
      <w:pPr>
        <w:pStyle w:val="Heading2"/>
      </w:pPr>
      <w:r>
        <w:t>2.1 수집·표준화·품질 판정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25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olle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667788"/>
          <w:sz w:val="17"/>
        </w:rPr>
        <w:t>그림 1. 수집·표준화·품질 판정 — 시퀀스 + 상태·타이밍 오버레이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76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_coll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7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667788"/>
          <w:sz w:val="17"/>
        </w:rPr>
        <w:t>그림 2. 수집·표준화·품질 판정 — Depth 1~3 통합 구조도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color w:val="18222C"/>
          <w:sz w:val="19"/>
        </w:rPr>
        <w:t>결손 버퍼 이후 지연 도착은 기존 결과에 삽입하지 않고 LATE_AFTER_GAP Finding과 새 derived_version으로 처리한다. 매핑 규칙 JSON과 재처리 범위는 미결정 사항이다.</w:t>
      </w:r>
    </w:p>
    <w:p>
      <w:pPr>
        <w:pStyle w:val="Heading2"/>
      </w:pPr>
      <w:r>
        <w:t>2.2 조리 작업·평가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25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co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667788"/>
          <w:sz w:val="17"/>
        </w:rPr>
        <w:t>그림 3. 조리 작업·평가 — 시퀀스 + 상태·타이밍 오버레이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76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_co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7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667788"/>
          <w:sz w:val="17"/>
        </w:rPr>
        <w:t>그림 4. 조리 작업·평가 — Depth 1~3 통합 구조도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color w:val="18222C"/>
          <w:sz w:val="19"/>
        </w:rPr>
        <w:t>작업 상태 전이는 PENDING ↔ READY → RUNNING ↔ PAUSED → COMPLETED/FAILED/CANCELED를 기준으로 한다. 평가 대기는 작업 상태가 아니라 ASSESSMENT_INCOMPLETE 등 별도 판정으로 표현한다.</w:t>
      </w:r>
    </w:p>
    <w:p>
      <w:pPr>
        <w:pStyle w:val="Heading2"/>
      </w:pPr>
      <w:r>
        <w:t>2.3 AI 권고 생성·검토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25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667788"/>
          <w:sz w:val="17"/>
        </w:rPr>
        <w:t>그림 5. AI 권고 생성·검토 — 시퀀스 + 상태·타이밍 오버레이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763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_a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7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667788"/>
          <w:sz w:val="17"/>
        </w:rPr>
        <w:t>그림 6. AI 권고 생성·검토 — Depth 1~3 통합 구조도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color w:val="18222C"/>
          <w:sz w:val="19"/>
        </w:rPr>
        <w:t>자격증명 평문은 AI Gateway 경계를 벗어나지 않는다. Tier 1 한도 초과 시 자동 다운그레이드 대신 대기 또는 명시적 저지연 전환 선택을 제공한다.</w:t>
      </w:r>
    </w:p>
    <w:p>
      <w:pPr>
        <w:pStyle w:val="Heading2"/>
      </w:pPr>
      <w:r>
        <w:t>2.4 품질 검토·재처리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258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re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667788"/>
          <w:sz w:val="17"/>
        </w:rPr>
        <w:t>그림 7. 품질 검토·재처리 — 시퀀스 + 상태·타이밍 오버레이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763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_re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76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KR" w:hAnsi="Noto Sans CJK KR" w:eastAsia="Noto Sans CJK KR"/>
          <w:b/>
          <w:color w:val="667788"/>
          <w:sz w:val="17"/>
        </w:rPr>
        <w:t>그림 8. 품질 검토·재처리 — Depth 1~3 통합 구조도</w:t>
      </w:r>
    </w:p>
    <w:p>
      <w:pPr>
        <w:spacing w:after="100" w:line="276" w:lineRule="auto"/>
      </w:pPr>
      <w:r>
        <w:rPr>
          <w:rFonts w:ascii="Noto Sans CJK KR" w:hAnsi="Noto Sans CJK KR" w:eastAsia="Noto Sans CJK KR"/>
          <w:b w:val="0"/>
          <w:color w:val="18222C"/>
          <w:sz w:val="19"/>
        </w:rPr>
        <w:t>최초 자동 품질 판정을 덮어쓰지 않는다. 재처리는 parent_version_id를 가진 새 파생 버전을 만들고 AS_PROCESSED/LATEST_RESTATED/AS_OF_SYSTEM_TIME View를 구분한다.</w:t>
      </w:r>
    </w:p>
    <w:p>
      <w:r>
        <w:br w:type="page"/>
      </w:r>
    </w:p>
    <w:p>
      <w:pPr>
        <w:pStyle w:val="Heading1"/>
      </w:pPr>
      <w:r>
        <w:t>3. 기능 간 관계와 추적성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기능</w:t>
            </w:r>
          </w:p>
        </w:tc>
        <w:tc>
          <w:tcPr>
            <w:tcW w:type="dxa" w:w="259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입력</w:t>
            </w:r>
          </w:p>
        </w:tc>
        <w:tc>
          <w:tcPr>
            <w:tcW w:type="dxa" w:w="273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주요 출력</w:t>
            </w:r>
          </w:p>
        </w:tc>
        <w:tc>
          <w:tcPr>
            <w:tcW w:type="dxa" w:w="3024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관련 분석 기준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수집·표준화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장비·파일 원천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표준 이벤트·Finding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SRS 데이터/인터페이스, DCD 매핑/품질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조리 작업·평가</w:t>
            </w:r>
          </w:p>
        </w:tc>
        <w:tc>
          <w:tcPr>
            <w:tcW w:type="dxa" w:w="259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레시피·시계열·운영자 입력</w:t>
            </w:r>
          </w:p>
        </w:tc>
        <w:tc>
          <w:tcPr>
            <w:tcW w:type="dxa" w:w="27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작업·판정·평가</w:t>
            </w:r>
          </w:p>
        </w:tc>
        <w:tc>
          <w:tcPr>
            <w:tcW w:type="dxa" w:w="3024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PEND-013/014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AI 권고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평가·시계열·모델정책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후보 레시피·근거</w:t>
            </w:r>
          </w:p>
        </w:tc>
        <w:tc>
          <w:tcPr>
            <w:tcW w:type="dxa" w:w="3024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PEND-012/016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품질 재처리</w:t>
            </w:r>
          </w:p>
        </w:tc>
        <w:tc>
          <w:tcPr>
            <w:tcW w:type="dxa" w:w="259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Finding·검토결과</w:t>
            </w:r>
          </w:p>
        </w:tc>
        <w:tc>
          <w:tcPr>
            <w:tcW w:type="dxa" w:w="273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파생 버전·감사이력</w:t>
            </w:r>
          </w:p>
        </w:tc>
        <w:tc>
          <w:tcPr>
            <w:tcW w:type="dxa" w:w="3024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PEND-009/010</w:t>
            </w:r>
          </w:p>
        </w:tc>
      </w:tr>
    </w:tbl>
    <w:p>
      <w:pPr>
        <w:spacing w:after="40"/>
      </w:pPr>
    </w:p>
    <w:p>
      <w:pPr>
        <w:pStyle w:val="Heading1"/>
      </w:pPr>
      <w:r>
        <w:t>4. 상태·타이밍 공통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8352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규칙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결손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gap_deadline = 최초 감지 단조시각 + 5초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연결 상실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5초 수집주기에서 30초 연속 결손 시 SENSOR_LOST/DISCONNECTED 확정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업무 시간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검증된 event_occurred_at 기반 effective_time, fallback 근거 기록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시스템 시간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event_received_at / system_created_at으로 인지 시점 추적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AI 작업</w:t>
            </w:r>
          </w:p>
        </w:tc>
        <w:tc>
          <w:tcPr>
            <w:tcW w:type="dxa" w:w="8352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ENQUEUED→PROCESSING→COMPLETED/FAILED/EXPIRED_RETRY_REQUIRED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품질 검토</w:t>
            </w:r>
          </w:p>
        </w:tc>
        <w:tc>
          <w:tcPr>
            <w:tcW w:type="dxa" w:w="8352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VALID는 NOT_REQUIRED; WARNING/QUARANTINED만 PENDING 검토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미결정 사항 및 생략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1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현재 처리</w:t>
            </w:r>
          </w:p>
        </w:tc>
        <w:tc>
          <w:tcPr>
            <w:tcW w:type="dxa" w:w="3456"/>
            <w:shd w:fill="17324D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확정 시점/영향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전체 기능 범위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4개 핵심 기능만 작성. 인증·분석·관리·백업은 다이어그램 생략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기능 상세 확정 후 증분 작성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메뉴별 변형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돈까스·제육·고등어의 단계별 시퀀스는 상세 복귀 규칙 미결정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PEND-013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평가 클래스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척도·버전·재평가 구조가 미결정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PEND-014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AI 레지스트리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custom model 심사·상태·동의 객체가 미결정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PEND-012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물리 클래스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실제 언어 타입·ORM annotation·method signature 생략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구현 기술선정 후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Use Case</w:t>
            </w:r>
          </w:p>
        </w:tc>
        <w:tc>
          <w:tcPr>
            <w:tcW w:type="dxa" w:w="5328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사용자 요청에 따라 본 문서에서 제외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20"/>
            </w:pPr>
            <w:r>
              <w:rPr>
                <w:rFonts w:ascii="Noto Sans CJK KR" w:hAnsi="Noto Sans CJK KR" w:eastAsia="Noto Sans CJK KR"/>
                <w:b w:val="0"/>
                <w:color w:val="18222C"/>
                <w:sz w:val="16"/>
              </w:rPr>
              <w:t>구현 또는 이후 산출물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788"/>
        <w:sz w:val="16"/>
      </w:rPr>
      <w:t xml:space="preserve">FT-UML-001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667788"/>
        <w:sz w:val="16"/>
      </w:rPr>
      <w:t>Foodtech AI Recipe Agent  |  시퀀스 다이어그램 및 클래스 다이어그램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1822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6F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22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