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left"/>
      </w:pPr>
      <w:r>
        <w:rPr>
          <w:rFonts w:ascii="Noto Sans CJK KR" w:hAnsi="Noto Sans CJK KR" w:eastAsia="Noto Sans CJK KR" w:cs="Noto Sans CJK KR"/>
          <w:b/>
          <w:color w:val="17324D"/>
          <w:sz w:val="44"/>
        </w:rPr>
        <w:t>개발표준정의서</w:t>
      </w:r>
    </w:p>
    <w:p>
      <w:pPr>
        <w:jc w:val="left"/>
      </w:pPr>
      <w:r>
        <w:rPr>
          <w:rFonts w:ascii="Noto Sans CJK KR" w:hAnsi="Noto Sans CJK KR" w:eastAsia="Noto Sans CJK KR" w:cs="Noto Sans CJK KR"/>
          <w:b w:val="0"/>
          <w:color w:val="667788"/>
          <w:sz w:val="24"/>
        </w:rPr>
        <w:t>Development Standards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산출물 번호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FT-DEVSTD-001</w:t>
            </w:r>
          </w:p>
        </w:tc>
      </w:tr>
      <w:tr>
        <w:tc>
          <w:tcPr>
            <w:tcW w:type="dxa" w:w="5083"/>
            <w:shd w:fill="17324D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문서 버전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KR" w:hAnsi="Noto Sans CJK KR"/>
                <w:sz w:val="20"/>
              </w:rPr>
              <w:t>0.4</w:t>
            </w:r>
          </w:p>
        </w:tc>
      </w:tr>
      <w:tr>
        <w:tc>
          <w:tcPr>
            <w:tcW w:type="dxa" w:w="5083"/>
            <w:shd w:fill="17324D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문서 상태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제안 단계</w:t>
            </w:r>
          </w:p>
        </w:tc>
      </w:tr>
      <w:tr>
        <w:tc>
          <w:tcPr>
            <w:tcW w:type="dxa" w:w="5083"/>
            <w:shd w:fill="17324D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김범수</w:t>
            </w:r>
          </w:p>
        </w:tc>
      </w:tr>
      <w:tr>
        <w:tc>
          <w:tcPr>
            <w:tcW w:type="dxa" w:w="5083"/>
            <w:shd w:fill="17324D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최초 생성일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2026년 10월 11일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0.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92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문서 목적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Development Standards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기준 문서</w:t>
            </w:r>
          </w:p>
        </w:tc>
        <w:tc>
          <w:tcPr>
            <w:tcW w:type="dxa" w:w="7920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RD v0.7, SRS v0.7, DCD v0.6, pending_decisions.md v0.48; 4.2·4.3 검증 v0.2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상태 해석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설계 초안. TBD와 미결정 사항은 구현 기준으로 확정되지 않음.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0.1 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수정일</w:t>
            </w:r>
          </w:p>
        </w:tc>
        <w:tc>
          <w:tcPr>
            <w:tcW w:type="dxa" w:w="100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604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17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작성/승인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2026-10-11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0.1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설계 단계 최초 초안 작성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프로젝트 수행자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2026-10-23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0.2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승인된 설계 방향과 남은 검증 게이트 반영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프로젝트 수행자</w:t>
            </w:r>
          </w:p>
        </w:tc>
      </w:tr>
      <w:tr>
        <w:tc>
          <w:tcPr>
            <w:tcW w:type="dxa" w:w="2541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2026-10-23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0.3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글꼴·크기·정렬 일관성 정비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프로젝트 수행자</w:t>
            </w:r>
          </w:p>
        </w:tc>
      </w:tr>
      <w:tr>
        <w:tc>
          <w:tcPr>
            <w:tcW w:type="dxa" w:w="2541"/>
          </w:tcPr>
          <w:p>
            <w:r>
              <w:rPr>
                <w:rFonts w:ascii="Noto Sans CJK KR" w:hAnsi="Noto Sans CJK KR"/>
                <w:sz w:val="20"/>
              </w:rPr>
              <w:t>2026-10-23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/>
                <w:sz w:val="20"/>
              </w:rPr>
              <w:t>0.4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/>
                <w:sz w:val="20"/>
              </w:rPr>
              <w:t>Mock C# 주 구현과 C/C++ 예외 적용·연동 검증 기준 반영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/>
                <w:sz w:val="20"/>
              </w:rPr>
              <w:t>프로젝트 수행자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0.2 작성 원칙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확정된 고객 요청과 분석 산출물만 설계 기준으로 사용한다.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수치 미확정은 TBD, 규칙·로직 미확정은 미결정 사항으로 표시한다.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본문에서 생략한 상세도 미결정사항 목록에 남겨 최종 설계 누락으로 오인되지 않게 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1. 목적과 적용 우선순위</w:t>
      </w:r>
    </w:p>
    <w:p>
      <w:pPr>
        <w:spacing w:after="100" w:line="276" w:lineRule="auto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분석·설계·구현·시험에서 코드, 데이터, API, 보안, 형상관리의 일관성을 확보한다. 충돌 시 보안·법적 요구사항, SRS, 본 문서, 팀별 규칙 순으로 적용한다.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2. 기준 기술과 미확정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53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288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서버 OS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Debian 13 stable, no GUI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확정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 orchestration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LangChain → LiteLLM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구조 확정, 버전 TBD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로컬 AI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Ollama llama3.1:8b 기본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확정, 런타임 버전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Backend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Python 권고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언어·프레임워크 최종 버전 TBD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Frontend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TypeScript 권고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프레임워크·빌드 도구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DB/Store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20"/>
              </w:rPr>
              <w:t>DynamoDB 중심 NoSQL 모델과 S3 분리 저장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물리 배치별 확정 필요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IaC/CI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도구 미결정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본 초안에서 규칙만 제시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KR" w:hAnsi="Noto Sans CJK KR"/>
                <w:sz w:val="20"/>
              </w:rPr>
              <w:t>Mock 프로그램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Noto Sans CJK KR" w:hAnsi="Noto Sans CJK KR"/>
                <w:sz w:val="20"/>
              </w:rPr>
              <w:t>C# 주 구현; C/C++은 C#·.NET 사용 불가 OS 또는 구형 장비·라이브러리 연동 경계에 한정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KR" w:hAnsi="Noto Sans CJK KR"/>
                <w:sz w:val="20"/>
              </w:rPr>
              <w:t>원칙 확정, 런타임·UI·네이티브 대상 TBD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3. 공통 코딩 규칙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소스 파일은 UTF-8(무 BOM), 줄바꿈 LF, 마지막 줄 개행을 사용한다.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함수와 클래스는 단일 책임을 유지하고 외부 I/O, 도메인 규칙, 저장 로직을 분리한다.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시간은 UTC 저장을 기본으로 하며 표시 시 사용자 시간대로 변환한다. event_occurred_at과 effective_time은 별도 물리 컬럼이다.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부동소수점 대신 단위·금액·품질 계산은 Decimal 계열을 사용한다. 기본 측정값 저장은 DECIMAL(12,4) 논리형을 따른다.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매직 넘버·문자열을 금지하고 코드집합·설정·버전이 있는 규칙으로 관리한다.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예외를 삼키지 않으며 사용자 오류, 도메인 오류, 외부 연계 오류, 일시 오류를 구분한다.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4. 네이밍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규칙</w:t>
            </w:r>
          </w:p>
        </w:tc>
        <w:tc>
          <w:tcPr>
            <w:tcW w:type="dxa" w:w="417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Python 모듈/함수/변수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snake_case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calculate_recovery_time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Python 클래스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PascalCase</w:t>
            </w:r>
          </w:p>
        </w:tc>
        <w:tc>
          <w:tcPr>
            <w:tcW w:type="dxa" w:w="417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CookingJobService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TypeScript 변수/함수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camelCase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effectiveTimeBasis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TypeScript 타입/컴포넌트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PascalCase</w:t>
            </w:r>
          </w:p>
        </w:tc>
        <w:tc>
          <w:tcPr>
            <w:tcW w:type="dxa" w:w="417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QualityReviewPanel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20"/>
              </w:rPr>
              <w:t>DynamoDB 테이블/Attribute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snake_case 단수형 테이블 권고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cooking_job, event_id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REST 리소스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소문자 복수 명사, kebab-case</w:t>
            </w:r>
          </w:p>
        </w:tc>
        <w:tc>
          <w:tcPr>
            <w:tcW w:type="dxa" w:w="417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/api/v1/cooking-jobs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이벤트 타입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UPPER_SNAKE_CASE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PROCESS_FAILURE_DETECTED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환경변수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UPPER_SNAKE_CASE</w:t>
            </w:r>
          </w:p>
        </w:tc>
        <w:tc>
          <w:tcPr>
            <w:tcW w:type="dxa" w:w="417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AI_GATEWAY_TIMEOUT_MS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불변 ID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도메인 접두어 + UUID/ULID 후보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evt_…, job_… (형식 TBD)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KR" w:hAnsi="Noto Sans CJK KR"/>
                <w:sz w:val="20"/>
              </w:rPr>
              <w:t>C# 타입·메서드·공개 속성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/>
                <w:sz w:val="20"/>
              </w:rPr>
              <w:t>PascalCase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Noto Sans CJK KR" w:hAnsi="Noto Sans CJK KR"/>
                <w:sz w:val="20"/>
              </w:rPr>
              <w:t>MockScenarioRunner, StartScenario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KR" w:hAnsi="Noto Sans CJK KR"/>
                <w:sz w:val="20"/>
              </w:rPr>
              <w:t>C# 지역 변수·매개변수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/>
                <w:sz w:val="20"/>
              </w:rPr>
              <w:t>camelCase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Noto Sans CJK KR" w:hAnsi="Noto Sans CJK KR"/>
                <w:sz w:val="20"/>
              </w:rPr>
              <w:t>fixtureId, sourceProfile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KR" w:hAnsi="Noto Sans CJK KR"/>
                <w:sz w:val="20"/>
              </w:rPr>
              <w:t>C/C++ 연동 경계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/>
                <w:sz w:val="20"/>
              </w:rPr>
              <w:t>C# 호출부와 네이티브 구현의 계약을 분리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Noto Sans CJK KR" w:hAnsi="Noto Sans CJK KR"/>
                <w:sz w:val="20"/>
              </w:rPr>
              <w:t>입력·출력·오류·메모리 소유권은 대상 확인 후 정의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5. 디렉터리·패키지·의존성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460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책임</w:t>
            </w:r>
          </w:p>
        </w:tc>
        <w:tc>
          <w:tcPr>
            <w:tcW w:type="dxa" w:w="3312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허용 의존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presentation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HTTP/SSE/UI adapter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application contract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application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use case, transaction, orchestration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domain + ports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domain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entity, value object, rule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표준 라이브러리만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infrastructure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DB, queue, provider adapter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application ports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shared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관측·시간·ID 등 최소 공통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순환 의존 금지</w:t>
            </w:r>
          </w:p>
        </w:tc>
      </w:tr>
    </w:tbl>
    <w:p>
      <w:pPr>
        <w:spacing w:after="40"/>
      </w:pPr>
    </w:p>
    <w:p>
      <w:pPr>
        <w:spacing w:after="100" w:line="276" w:lineRule="auto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실제 monorepo/다중 저장소 여부와 폴더명은 미결정 사항이다. 위 계층 경계만 구현 공통 규칙으로 적용한다.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6. Python 표준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PEP 8과 타입 힌트를 기본으로 하며 public 함수는 입력·반환 타입을 명시한다.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formatter/linter/type checker/test runner는 Black·Ruff·mypy·pytest 계열을 권고하되 버전과 정확한 조합은 Spike 후 확정한다.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Pydantic 등 검증 라이브러리 사용 여부는 프레임워크 결정과 함께 확정한다.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datetime은 timezone-aware만 허용하고 naive datetime은 경계 계층에서 거부한다.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Decimal 생성은 문자열 기반으로 하며 float에서 직접 생성하지 않는다.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7. TypeScript·웹 표준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TypeScript strict 모드를 사용하고 any는 승인된 경계 adapter 외 금지한다.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컴포넌트는 표시와 데이터 접근을 분리하고 API DTO를 화면 상태 모델로 직접 사용하지 않는다.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API 키 입력 화면에는 서드파티 스크립트를 로드하지 않고 CSP를 적용한다.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password 입력·autocomplete 제어를 적용하며 전송 완료 직후 브라우저 상태에서 자격증명 값을 제거한다.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접근성 라벨, 키보드 이동, 오류 메시지 연결을 필수로 한다. 최소 1366×768을 검증한다.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8. API·이벤트·스키마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352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표준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API 버전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경로 기반 /api/v1 권고. 변경 정책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Content-Type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application/json; UTF-8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멱등성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생성·재처리 명령은 idempotency key 사용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오류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machine code + user message + trace id; 비밀·원문 payload 제외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페이징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cursor 방식 권고; limit 상한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이벤트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event_id, source_id, occurred/received/effective/system time, schema_version 포함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스키마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JSON Schema / XSD / CSV 열 스키마, 버전 불변성 유지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원본·파생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raw/first-derived/latest-restated를 분리하고 덮어쓰기 금지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9. 데이터베이스·마이그레이션 표준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DynamoDB PK/SK는 승인된 접근 패턴과 tenant 격리 기준으로 정한다. 식별·중복 무결성은 조건부 Put/Update와 애플리케이션 검증으로 보완한다.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DynamoDB에는 물리 FK가 없다. 감사·판정 근거는 애플리케이션 참조 검사와 삭제 제한을 적용한다.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스키마 변경은 forward-only migration과 rollback/runbook을 함께 작성한다.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이중 시간축 Item은 effective_from/to와 system_created_at/superseded_at을 분리한다.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다형성 Reference Attribute는 대상 Item Entity Type, 존재·소유권 검증과 정기 무결성 검사로 보완한다.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DynamoDB 키·인덱스는 접근 패턴 표를 먼저 승인한 뒤 구현한다.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10. 비동기·멱등성·재처리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SQS 메시지에는 식별자와 만료 메타데이터만 포함하고 민감 payload를 싣지 않는다.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Consumer는 at-least-once 전달을 전제로 business_dedup_key와 payload_hash로 멱등성을 보장한다.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격리 데이터는 원본을 직접 VALID로 변경하지 않고 REPROCESS_REQUESTED로 새 파생 버전을 생성한다.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재시도는 오류 분류, 최대 횟수, backoff/jitter, DLQ 전환을 명시한다. AI 작업 최대 재시도는 2회다.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11. AI 구현 표준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LLM 호출은 전용 AI Gateway를 통해서만 수행하고 일반 서비스가 자격증명을 복호화하지 않는다.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프롬프트는 코드와 동일하게 버전 관리하고 모델 변경 시 Golden Dataset 회귀시험을 거친다.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구조화 출력 스키마를 강제하고 파싱 실패 시 승인된 재시도 정책을 적용한다.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Tier 1 작업의 자동 저등급 전환을 금지하고 사용자 Action Button 동의를 기록한다.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모델 자체 신뢰도와 플랫폼 데이터 완전성을 별도 필드로 표시한다.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권고는 후보 레시피 버전이며 장비에 자동 적용하지 않는다.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12. 보안·로그·관측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864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필수 규칙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Secret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코드·환경파일·로그에 평문 금지; KMS envelope encryption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권한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서비스별 IAM Role, deny-by-default, 정기 검토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로그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구조화 JSON, trace_id, 원문 ID/API 키/프롬프트 마스킹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감사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append-only 이벤트, 이전 digest 연결, 별도 S3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개인정보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목적별 최소수집, 30/90일 등 보존정책 적용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외부 전송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민감정보·기밀 분류 후 허용 공급자만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관측</w:t>
            </w:r>
          </w:p>
        </w:tc>
        <w:tc>
          <w:tcPr>
            <w:tcW w:type="dxa" w:w="864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latency/error/queue age/cost/quality 상태를 분리 계측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13. 시험·형상관리·리뷰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단위시험은 도메인 규칙과 변환 경계를 우선하며 외부 공급자는 계약 테스트와 Mock으로 분리한다.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PR은 최소 1인 리뷰를 권고하고 보안·스키마·비용 변경은 체크리스트 승인을 요구한다.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커밋 형식은 Conventional Commits 계열을 권고하나 정확한 규칙은 저장소 생성 시 확정한다.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릴리스 태그와 산출물 버전을 연결하고 DB/매핑/프롬프트/모델 버전을 독립 추적한다.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CI 게이트의 커버리지·복잡도·정적분석 임계치는 테스트 계획 전 TBD다.</w:t>
      </w:r>
    </w:p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미결정 사항 및 생략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3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현재 처리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확정 시점/영향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도구 버전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언어·프레임워크·formatter·linter·test runner 버전을 지정하지 않음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기술검증 후 구현 전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저장소 구조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monorepo 여부와 실제 폴더명을 생략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구현 착수 전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CI/CD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플랫폼·브랜치·배포 승인 흐름 미결정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구현 착수 전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API 상세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OpenAPI 템플릿·오류코드 전체 목록 미결정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SAD 인터페이스 상세와 함께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품질 게이트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coverage·복잡도·취약점 임계치 TBD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테스트 계획 전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KR" w:hAnsi="Noto Sans CJK KR"/>
                <w:sz w:val="20"/>
              </w:rPr>
              <w:t>Mock 실행 도구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Noto Sans CJK KR" w:hAnsi="Noto Sans CJK KR"/>
                <w:sz w:val="20"/>
              </w:rPr>
              <w:t>.NET 런타임·UI 방식, 프로토콜 구현체, C/C++ 적용 대상과 툴체인 미결정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PEND-006·007 초기 구현 계약 및 대상별 검증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최신 승인 방향과 검증 게이트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표준 주제</w:t>
            </w:r>
          </w:p>
        </w:tc>
        <w:tc>
          <w:tcPr>
            <w:tcW w:type="dxa" w:w="792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추가 규칙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평가·분석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7개 항목 점수·관찰 근거·척도/산식 버전을 값 객체로 분리. 수정은 새 버전, 집계 재계산은 새 결과 버전.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</w:t>
            </w:r>
          </w:p>
        </w:tc>
        <w:tc>
          <w:tcPr>
            <w:tcW w:type="dxa" w:w="792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키 버전·모델 시험/검증/승인·실행 동의는 별도 aggregate와 append-only 이력. Gateway는 서버 측 정책 검증.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수집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수신 ID, 업무 중복 키, 내용 해시는 독립 필드. 스키마 버전 있는 입력만 해시; RFC 8785는 재검증 전 초안.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개인정보</w:t>
            </w:r>
          </w:p>
        </w:tc>
        <w:tc>
          <w:tcPr>
            <w:tcW w:type="dxa" w:w="792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목적별 HMAC 길이 접두 직렬화와 단일 감사 Writer는 후보. 실제 구현·저장소에서 교차 검증한 뒤 고정.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검증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4.2 물리 구조, 4.3 구현체, 4.4 대표 데이터·시험, 4.5 부하, 4.6 운영값의 게이트를 구분.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KR" w:hAnsi="Noto Sans CJK KR"/>
                <w:sz w:val="20"/>
              </w:rPr>
              <w:t>Mock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KR" w:hAnsi="Noto Sans CJK KR"/>
                <w:sz w:val="20"/>
              </w:rPr>
              <w:t>C#을 기본으로 생성기·제어 UI와 프로토콜 endpoint를 구현한다. C/C++은 C# 사용 불가 사유가 확인된 경계에만 적용하고, 언어 간 값·시각·오류·메모리 계약과 동일 fixture의 결과를 검증한다.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b w:val="0"/>
        <w:color w:val="667788"/>
        <w:sz w:val="20"/>
      </w:rPr>
      <w:t xml:space="preserve">FT-DEVSTD-001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b w:val="0"/>
        <w:color w:val="667788"/>
        <w:sz w:val="20"/>
      </w:rPr>
      <w:t>Foodtech AI Recipe Agent  |  개발표준정의서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822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KR" w:hAnsi="Noto Sans CJK KR" w:eastAsia="Noto Sans CJK KR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KR" w:hAnsi="Noto Sans CJK KR" w:eastAsia="Noto Sans CJK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KR" w:hAnsi="Noto Sans CJK KR" w:eastAsia="Noto Sans CJK KR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KR" w:hAnsi="Noto Sans CJK KR" w:eastAsia="Noto Sans CJK KR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KR" w:hAnsi="Noto Sans CJK KR" w:eastAsia="Noto Sans CJK KR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KR" w:hAnsi="Noto Sans CJK KR" w:eastAsia="Noto Sans CJK KR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KR" w:hAnsi="Noto Sans CJK KR" w:eastAsia="Noto Sans CJK KR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KR" w:hAnsi="Noto Sans CJK KR" w:eastAsia="Noto Sans CJK KR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KR" w:hAnsi="Noto Sans CJK KR" w:eastAsia="Noto Sans CJK KR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KR" w:hAnsi="Noto Sans CJK KR" w:eastAsia="Noto Sans CJK KR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KR" w:hAnsi="Noto Sans CJK KR" w:eastAsia="Noto Sans CJK KR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KR" w:hAnsi="Noto Sans CJK KR" w:eastAsia="Noto Sans CJK KR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KR" w:hAnsi="Noto Sans CJK KR" w:eastAsia="Noto Sans CJK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KR" w:hAnsi="Noto Sans CJK KR" w:eastAsia="Noto Sans CJK KR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KR" w:hAnsi="Noto Sans CJK KR" w:eastAsia="Noto Sans CJK KR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KR" w:hAnsi="Noto Sans CJK KR" w:eastAsia="Noto Sans CJK KR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