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left"/>
      </w:pPr>
      <w:r>
        <w:rPr>
          <w:rFonts w:ascii="Noto Sans CJK KR" w:hAnsi="Noto Sans CJK KR" w:eastAsia="Noto Sans CJK KR" w:cs="Noto Sans CJK KR"/>
          <w:b/>
          <w:color w:val="17324D"/>
          <w:sz w:val="44"/>
        </w:rPr>
        <w:t>시스템 아키텍처 정의서</w:t>
      </w:r>
    </w:p>
    <w:p>
      <w:pPr>
        <w:jc w:val="left"/>
      </w:pPr>
      <w:r>
        <w:rPr>
          <w:rFonts w:ascii="Noto Sans CJK KR" w:hAnsi="Noto Sans CJK KR" w:eastAsia="Noto Sans CJK KR" w:cs="Noto Sans CJK KR"/>
          <w:b w:val="0"/>
          <w:color w:val="667788"/>
          <w:sz w:val="24"/>
        </w:rPr>
        <w:t>System Architecture Definition Document (SAD)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산출물 번호</w:t>
            </w:r>
          </w:p>
        </w:tc>
        <w:tc>
          <w:tcPr>
            <w:tcW w:type="dxa" w:w="5083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FT-SAD-001</w:t>
            </w:r>
          </w:p>
        </w:tc>
      </w:tr>
      <w:tr>
        <w:tc>
          <w:tcPr>
            <w:tcW w:type="dxa" w:w="5083"/>
            <w:shd w:fill="17324D"/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문서 버전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Noto Sans CJK KR" w:hAnsi="Noto Sans CJK KR" w:eastAsia="Noto Sans CJK KR" w:cs="Noto Sans CJK KR"/>
                <w:sz w:val="20"/>
              </w:rPr>
              <w:t>0.3</w:t>
            </w:r>
          </w:p>
        </w:tc>
      </w:tr>
      <w:tr>
        <w:tc>
          <w:tcPr>
            <w:tcW w:type="dxa" w:w="5083"/>
            <w:shd w:fill="17324D"/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문서 상태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제안 단계</w:t>
            </w:r>
          </w:p>
        </w:tc>
      </w:tr>
      <w:tr>
        <w:tc>
          <w:tcPr>
            <w:tcW w:type="dxa" w:w="5083"/>
            <w:shd w:fill="17324D"/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작성자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김범수</w:t>
            </w:r>
          </w:p>
        </w:tc>
      </w:tr>
      <w:tr>
        <w:tc>
          <w:tcPr>
            <w:tcW w:type="dxa" w:w="5083"/>
            <w:shd w:fill="17324D"/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최초 생성일</w:t>
            </w:r>
          </w:p>
        </w:tc>
        <w:tc>
          <w:tcPr>
            <w:tcW w:type="dxa" w:w="5083"/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2026년 10월 11일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Noto Sans CJK KR" w:hAnsi="Noto Sans CJK KR" w:eastAsia="Noto Sans CJK KR" w:cs="Noto Sans CJK KR"/>
          <w:sz w:val="26"/>
        </w:rPr>
        <w:t>0. 문서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920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문서 목적</w:t>
            </w:r>
          </w:p>
        </w:tc>
        <w:tc>
          <w:tcPr>
            <w:tcW w:type="dxa" w:w="792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System Architecture Definition Document (SAD)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기준 문서</w:t>
            </w:r>
          </w:p>
        </w:tc>
        <w:tc>
          <w:tcPr>
            <w:tcW w:type="dxa" w:w="7920"/>
            <w:vAlign w:val="center"/>
            <w:shd w:fill="F4F7F9"/>
          </w:tcPr>
          <w:p>
            <w:r>
              <w:rPr>
                <w:rFonts w:ascii="Noto Sans CJK KR" w:hAnsi="Noto Sans CJK KR"/>
                <w:sz w:val="20"/>
              </w:rPr>
              <w:t>RD v0.7, SRS v0.7, DCD v0.6, pending_decisions.md v0.48; 4.2·4.3 검증 v0.2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상태 해석</w:t>
            </w:r>
          </w:p>
        </w:tc>
        <w:tc>
          <w:tcPr>
            <w:tcW w:type="dxa" w:w="792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설계 초안. TBD와 미결정 사항은 구현 기준으로 확정되지 않음.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rPr>
          <w:rFonts w:ascii="Noto Sans CJK KR" w:hAnsi="Noto Sans CJK KR" w:eastAsia="Noto Sans CJK KR" w:cs="Noto Sans CJK KR"/>
          <w:sz w:val="22"/>
        </w:rPr>
        <w:t>0.1 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728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수정일</w:t>
            </w:r>
          </w:p>
        </w:tc>
        <w:tc>
          <w:tcPr>
            <w:tcW w:type="dxa" w:w="1008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6048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변경 내용</w:t>
            </w:r>
          </w:p>
        </w:tc>
        <w:tc>
          <w:tcPr>
            <w:tcW w:type="dxa" w:w="1728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작성/승인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2026-10-11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0.1</w:t>
            </w:r>
          </w:p>
        </w:tc>
        <w:tc>
          <w:tcPr>
            <w:tcW w:type="dxa" w:w="604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설계 단계 최초 초안 작성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프로젝트 수행자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2026-10-23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0.2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승인된 설계 방향과 남은 검증 게이트 반영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Noto Sans CJK KR" w:hAnsi="Noto Sans CJK KR" w:eastAsia="Noto Sans CJK KR" w:cs="Noto Sans CJK KR"/>
                <w:b w:val="0"/>
                <w:color w:val="000000"/>
                <w:sz w:val="20"/>
              </w:rPr>
              <w:t>프로젝트 수행자</w:t>
            </w:r>
          </w:p>
        </w:tc>
      </w:tr>
      <w:tr>
        <w:tc>
          <w:tcPr>
            <w:tcW w:type="dxa" w:w="2541"/>
          </w:tcPr>
          <w:p>
            <w:r>
              <w:rPr>
                <w:rFonts w:ascii="Noto Sans CJK KR" w:hAnsi="Noto Sans CJK KR" w:eastAsia="Noto Sans CJK KR" w:cs="Noto Sans CJK KR"/>
                <w:sz w:val="20"/>
              </w:rPr>
              <w:t>2026-10-23</w:t>
            </w:r>
          </w:p>
        </w:tc>
        <w:tc>
          <w:tcPr>
            <w:tcW w:type="dxa" w:w="2541"/>
          </w:tcPr>
          <w:p>
            <w:r>
              <w:rPr>
                <w:rFonts w:ascii="Noto Sans CJK KR" w:hAnsi="Noto Sans CJK KR" w:eastAsia="Noto Sans CJK KR" w:cs="Noto Sans CJK KR"/>
                <w:sz w:val="20"/>
              </w:rPr>
              <w:t>0.3</w:t>
            </w:r>
          </w:p>
        </w:tc>
        <w:tc>
          <w:tcPr>
            <w:tcW w:type="dxa" w:w="2541"/>
          </w:tcPr>
          <w:p>
            <w:r>
              <w:rPr>
                <w:rFonts w:ascii="Noto Sans CJK KR" w:hAnsi="Noto Sans CJK KR"/>
                <w:sz w:val="20"/>
              </w:rPr>
              <w:t>글꼴·크기·정렬 일관성 정비 및 Mock 구현 언어·구성요소 경계 보정</w:t>
            </w:r>
          </w:p>
        </w:tc>
        <w:tc>
          <w:tcPr>
            <w:tcW w:type="dxa" w:w="2541"/>
          </w:tcPr>
          <w:p>
            <w:r>
              <w:rPr>
                <w:rFonts w:ascii="Noto Sans CJK KR" w:hAnsi="Noto Sans CJK KR" w:eastAsia="Noto Sans CJK KR" w:cs="Noto Sans CJK KR"/>
                <w:sz w:val="20"/>
              </w:rPr>
              <w:t>프로젝트 수행자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rPr>
          <w:rFonts w:ascii="Noto Sans CJK KR" w:hAnsi="Noto Sans CJK KR" w:eastAsia="Noto Sans CJK KR" w:cs="Noto Sans CJK KR"/>
          <w:sz w:val="22"/>
        </w:rPr>
        <w:t>0.2 작성 원칙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확정된 고객 요청과 분석 산출물만 설계 기준으로 사용한다.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수치 미확정은 TBD, 규칙·로직 미확정은 미결정 사항으로 표시한다.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본문에서 생략한 상세도 미결정사항 목록에 남겨 최종 설계 누락으로 오인되지 않게 한다.</w:t>
      </w:r>
    </w:p>
    <w:p>
      <w:pPr>
        <w:pStyle w:val="Heading1"/>
        <w:jc w:val="left"/>
      </w:pPr>
      <w:r>
        <w:rPr>
          <w:rFonts w:ascii="Noto Sans CJK KR" w:hAnsi="Noto Sans CJK KR" w:eastAsia="Noto Sans CJK KR" w:cs="Noto Sans CJK KR"/>
          <w:sz w:val="26"/>
        </w:rPr>
        <w:t>1. 목적과 범위</w:t>
      </w:r>
    </w:p>
    <w:p>
      <w:pPr>
        <w:spacing w:after="100" w:line="276" w:lineRule="auto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플랫폼의 시스템 경계, 논리·배포 구성, 데이터 흐름, 외부 연계, 보안·운영 구조와 프로그램·모듈 책임을 정의한다. 물리 용량·리전·세부 네트워크는 기술검증 전이므로 초안 범위에서 제외한다.</w:t>
      </w:r>
    </w:p>
    <w:p>
      <w:pPr>
        <w:pStyle w:val="Heading1"/>
        <w:jc w:val="left"/>
      </w:pPr>
      <w:r>
        <w:rPr>
          <w:rFonts w:ascii="Noto Sans CJK KR" w:hAnsi="Noto Sans CJK KR" w:eastAsia="Noto Sans CJK KR" w:cs="Noto Sans CJK KR"/>
          <w:sz w:val="26"/>
        </w:rPr>
        <w:t>2. 아키텍처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원칙</w:t>
            </w:r>
          </w:p>
        </w:tc>
        <w:tc>
          <w:tcPr>
            <w:tcW w:type="dxa" w:w="7920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설계 적용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읽기 전용 장비 연계</w:t>
            </w:r>
          </w:p>
        </w:tc>
        <w:tc>
          <w:tcPr>
            <w:tcW w:type="dxa" w:w="792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장비 제어·프로그램 배포 없이 조회·수집만 수행</w:t>
            </w:r>
          </w:p>
        </w:tc>
      </w:tr>
      <w:tr>
        <w:tc>
          <w:tcPr>
            <w:tcW w:type="dxa" w:w="2304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원본 불변</w:t>
            </w:r>
          </w:p>
        </w:tc>
        <w:tc>
          <w:tcPr>
            <w:tcW w:type="dxa" w:w="7920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원천 payload와 최초 매핑 결과를 덮어쓰지 않고 파생 버전 생성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비동기 격리</w:t>
            </w:r>
          </w:p>
        </w:tc>
        <w:tc>
          <w:tcPr>
            <w:tcW w:type="dxa" w:w="792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수집·표준화·AI 작업을 큐와 Claim Check로 분리</w:t>
            </w:r>
          </w:p>
        </w:tc>
      </w:tr>
      <w:tr>
        <w:tc>
          <w:tcPr>
            <w:tcW w:type="dxa" w:w="2304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최소권한</w:t>
            </w:r>
          </w:p>
        </w:tc>
        <w:tc>
          <w:tcPr>
            <w:tcW w:type="dxa" w:w="7920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자격증명 복호화는 AI Gateway Role만 허용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사람 중심 승인</w:t>
            </w:r>
          </w:p>
        </w:tc>
        <w:tc>
          <w:tcPr>
            <w:tcW w:type="dxa" w:w="792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AI 권고는 후보 레시피로 생성하고 운영자가 승인/거부</w:t>
            </w:r>
          </w:p>
        </w:tc>
      </w:tr>
      <w:tr>
        <w:tc>
          <w:tcPr>
            <w:tcW w:type="dxa" w:w="2304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시간축 추적</w:t>
            </w:r>
          </w:p>
        </w:tc>
        <w:tc>
          <w:tcPr>
            <w:tcW w:type="dxa" w:w="7920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Effective Time과 System Time을 분리해 감사 재현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환경 분리</w:t>
            </w:r>
          </w:p>
        </w:tc>
        <w:tc>
          <w:tcPr>
            <w:tcW w:type="dxa" w:w="792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로컬 개발 → 클라우드 시험 → 클라우드 운영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Noto Sans CJK KR" w:hAnsi="Noto Sans CJK KR" w:eastAsia="Noto Sans CJK KR" w:cs="Noto Sans CJK KR"/>
          <w:sz w:val="26"/>
        </w:rPr>
        <w:t>3. 시스템 컨텍스트와 논리 구조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3670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7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Noto Sans CJK KR" w:hAnsi="Noto Sans CJK KR" w:eastAsia="Noto Sans CJK KR" w:cs="Noto Sans CJK KR"/>
          <w:b/>
          <w:color w:val="667788"/>
          <w:sz w:val="20"/>
        </w:rPr>
        <w:t>그림 1. 논리 아키텍처 및 신뢰 경계</w:t>
      </w:r>
    </w:p>
    <w:p>
      <w:pPr>
        <w:pStyle w:val="Heading2"/>
        <w:jc w:val="left"/>
      </w:pPr>
      <w:r>
        <w:rPr>
          <w:rFonts w:ascii="Noto Sans CJK KR" w:hAnsi="Noto Sans CJK KR" w:eastAsia="Noto Sans CJK KR" w:cs="Noto Sans CJK KR"/>
          <w:sz w:val="22"/>
        </w:rPr>
        <w:t>3.1 핵심 데이터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584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160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입력</w:t>
            </w:r>
          </w:p>
        </w:tc>
        <w:tc>
          <w:tcPr>
            <w:tcW w:type="dxa" w:w="3168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처리</w:t>
            </w:r>
          </w:p>
        </w:tc>
        <w:tc>
          <w:tcPr>
            <w:tcW w:type="dxa" w:w="3168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출력/보존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수집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REST·MQTT·OPC UA·파일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인증·형식 검증·수신 봉투 생성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Ingestion Envelope / 직접 격리</w:t>
            </w:r>
          </w:p>
        </w:tc>
      </w:tr>
      <w:tr>
        <w:tc>
          <w:tcPr>
            <w:tcW w:type="dxa" w:w="1584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순서 복원</w:t>
            </w:r>
          </w:p>
        </w:tc>
        <w:tc>
          <w:tcPr>
            <w:tcW w:type="dxa" w:w="2160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장비별 sequence</w:t>
            </w:r>
          </w:p>
        </w:tc>
        <w:tc>
          <w:tcPr>
            <w:tcW w:type="dxa" w:w="316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MessageGroup·5초 결손 버퍼</w:t>
            </w:r>
          </w:p>
        </w:tc>
        <w:tc>
          <w:tcPr>
            <w:tcW w:type="dxa" w:w="316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정렬 이벤트 또는 DATA_GAP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표준화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원천 이벤트·매핑 버전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조건·코드·단위 변환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표준 이벤트·파생 버전</w:t>
            </w:r>
          </w:p>
        </w:tc>
      </w:tr>
      <w:tr>
        <w:tc>
          <w:tcPr>
            <w:tcW w:type="dxa" w:w="1584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품질</w:t>
            </w:r>
          </w:p>
        </w:tc>
        <w:tc>
          <w:tcPr>
            <w:tcW w:type="dxa" w:w="2160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표준값·시계열</w:t>
            </w:r>
          </w:p>
        </w:tc>
        <w:tc>
          <w:tcPr>
            <w:tcW w:type="dxa" w:w="316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Two-Tier 규칙</w:t>
            </w:r>
          </w:p>
        </w:tc>
        <w:tc>
          <w:tcPr>
            <w:tcW w:type="dxa" w:w="316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VALID/WARNING/QUARANTINED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업무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공정·안전·품질 입력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작업·평가·레시피 버전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조리 결과·후보 레시피</w:t>
            </w:r>
          </w:p>
        </w:tc>
      </w:tr>
      <w:tr>
        <w:tc>
          <w:tcPr>
            <w:tcW w:type="dxa" w:w="1584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AI</w:t>
            </w:r>
          </w:p>
        </w:tc>
        <w:tc>
          <w:tcPr>
            <w:tcW w:type="dxa" w:w="2160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정책 통과 데이터</w:t>
            </w:r>
          </w:p>
        </w:tc>
        <w:tc>
          <w:tcPr>
            <w:tcW w:type="dxa" w:w="316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Tier·한도·보안 라우팅</w:t>
            </w:r>
          </w:p>
        </w:tc>
        <w:tc>
          <w:tcPr>
            <w:tcW w:type="dxa" w:w="316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구조화 권고·근거·버전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Noto Sans CJK KR" w:hAnsi="Noto Sans CJK KR" w:eastAsia="Noto Sans CJK KR" w:cs="Noto Sans CJK KR"/>
          <w:sz w:val="26"/>
        </w:rPr>
        <w:t>4. 프로그램 및 모듈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152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프로그램/모듈</w:t>
            </w:r>
          </w:p>
        </w:tc>
        <w:tc>
          <w:tcPr>
            <w:tcW w:type="dxa" w:w="3312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책임</w:t>
            </w:r>
          </w:p>
        </w:tc>
        <w:tc>
          <w:tcPr>
            <w:tcW w:type="dxa" w:w="2160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주요 의존성</w:t>
            </w:r>
          </w:p>
        </w:tc>
        <w:tc>
          <w:tcPr>
            <w:tcW w:type="dxa" w:w="1728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WEB-001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KR" w:hAnsi="Noto Sans CJK KR"/>
                <w:sz w:val="20"/>
              </w:rPr>
              <w:t>Customer Web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Noto Sans CJK KR" w:hAnsi="Noto Sans CJK KR"/>
                <w:sz w:val="20"/>
              </w:rPr>
              <w:t>고객 채팅·작업·레시피·평가 화면과 권한 기반 메뉴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KR" w:hAnsi="Noto Sans CJK KR"/>
                <w:sz w:val="20"/>
              </w:rPr>
              <w:t>Business API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KR" w:hAnsi="Noto Sans CJK KR"/>
                <w:sz w:val="20"/>
              </w:rPr>
              <w:t>프레임워크 TBD</w:t>
            </w:r>
          </w:p>
        </w:tc>
      </w:tr>
      <w:tr>
        <w:tc>
          <w:tcPr>
            <w:tcW w:type="dxa" w:w="1152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API-001</w:t>
            </w:r>
          </w:p>
        </w:tc>
        <w:tc>
          <w:tcPr>
            <w:tcW w:type="dxa" w:w="2160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Business API</w:t>
            </w:r>
          </w:p>
        </w:tc>
        <w:tc>
          <w:tcPr>
            <w:tcW w:type="dxa" w:w="3312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작업·레시피·평가·조회</w:t>
            </w:r>
          </w:p>
        </w:tc>
        <w:tc>
          <w:tcPr>
            <w:tcW w:type="dxa" w:w="2160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Web, Domain Services</w:t>
            </w:r>
          </w:p>
        </w:tc>
        <w:tc>
          <w:tcPr>
            <w:tcW w:type="dxa" w:w="172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버전 전략 TBD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ING-001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Collection Adapter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REST/MQTT/OPC UA 수집·검증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SQS FIFO, Ingestion DLQ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ECS Fargate 후보</w:t>
            </w:r>
          </w:p>
        </w:tc>
      </w:tr>
      <w:tr>
        <w:tc>
          <w:tcPr>
            <w:tcW w:type="dxa" w:w="1152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SEQ-001</w:t>
            </w:r>
          </w:p>
        </w:tc>
        <w:tc>
          <w:tcPr>
            <w:tcW w:type="dxa" w:w="2160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Resequencer Worker</w:t>
            </w:r>
          </w:p>
        </w:tc>
        <w:tc>
          <w:tcPr>
            <w:tcW w:type="dxa" w:w="3312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장비별 순서·결손 버퍼</w:t>
            </w:r>
          </w:p>
        </w:tc>
        <w:tc>
          <w:tcPr>
            <w:tcW w:type="dxa" w:w="2160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DynamoDB, SQS FIFO</w:t>
            </w:r>
          </w:p>
        </w:tc>
        <w:tc>
          <w:tcPr>
            <w:tcW w:type="dxa" w:w="172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단조시계 사용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MAP-001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Standardization Worker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매핑·단위·코드 변환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Rule Catalog, Event Store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규칙 JSON 상세 TBD</w:t>
            </w:r>
          </w:p>
        </w:tc>
      </w:tr>
      <w:tr>
        <w:tc>
          <w:tcPr>
            <w:tcW w:type="dxa" w:w="1152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DQ-001</w:t>
            </w:r>
          </w:p>
        </w:tc>
        <w:tc>
          <w:tcPr>
            <w:tcW w:type="dxa" w:w="2160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Data Quality Engine</w:t>
            </w:r>
          </w:p>
        </w:tc>
        <w:tc>
          <w:tcPr>
            <w:tcW w:type="dxa" w:w="3312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Finding·종합판정·격리</w:t>
            </w:r>
          </w:p>
        </w:tc>
        <w:tc>
          <w:tcPr>
            <w:tcW w:type="dxa" w:w="2160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Quality Store, DLQ</w:t>
            </w:r>
          </w:p>
        </w:tc>
        <w:tc>
          <w:tcPr>
            <w:tcW w:type="dxa" w:w="172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하드/소프트 분리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COOK-001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Cooking Service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작업·단계·판정·평가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Recipe, Assessment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메뉴별 복귀 규칙 TBD</w:t>
            </w:r>
          </w:p>
        </w:tc>
      </w:tr>
      <w:tr>
        <w:tc>
          <w:tcPr>
            <w:tcW w:type="dxa" w:w="1152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AI-001</w:t>
            </w:r>
          </w:p>
        </w:tc>
        <w:tc>
          <w:tcPr>
            <w:tcW w:type="dxa" w:w="2160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AI Gateway</w:t>
            </w:r>
          </w:p>
        </w:tc>
        <w:tc>
          <w:tcPr>
            <w:tcW w:type="dxa" w:w="3312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복호화·정책·LiteLLM 호출</w:t>
            </w:r>
          </w:p>
        </w:tc>
        <w:tc>
          <w:tcPr>
            <w:tcW w:type="dxa" w:w="2160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KMS, Model Provider</w:t>
            </w:r>
          </w:p>
        </w:tc>
        <w:tc>
          <w:tcPr>
            <w:tcW w:type="dxa" w:w="172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유일 복호화 주체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AI-002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Recommendation Worker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Claim·재시도·후보 생성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SQS, DynamoDB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최대 2회 재시도</w:t>
            </w:r>
          </w:p>
        </w:tc>
      </w:tr>
      <w:tr>
        <w:tc>
          <w:tcPr>
            <w:tcW w:type="dxa" w:w="1152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SEC-001</w:t>
            </w:r>
          </w:p>
        </w:tc>
        <w:tc>
          <w:tcPr>
            <w:tcW w:type="dxa" w:w="2160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Credential Registration</w:t>
            </w:r>
          </w:p>
        </w:tc>
        <w:tc>
          <w:tcPr>
            <w:tcW w:type="dxa" w:w="3312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공개키 수신·암호화·저장</w:t>
            </w:r>
          </w:p>
        </w:tc>
        <w:tc>
          <w:tcPr>
            <w:tcW w:type="dxa" w:w="2160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KMS Encrypt only</w:t>
            </w:r>
          </w:p>
        </w:tc>
        <w:tc>
          <w:tcPr>
            <w:tcW w:type="dxa" w:w="172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복호화 금지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AUD-001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Audit Writer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append-only 객체·hash chain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Audit S3/WORM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직렬화 규칙 TBD</w:t>
            </w:r>
          </w:p>
        </w:tc>
      </w:tr>
      <w:tr>
        <w:tc>
          <w:tcPr>
            <w:tcW w:type="dxa" w:w="1152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ANA-001</w:t>
            </w:r>
          </w:p>
        </w:tc>
        <w:tc>
          <w:tcPr>
            <w:tcW w:type="dxa" w:w="2160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Analytics Service</w:t>
            </w:r>
          </w:p>
        </w:tc>
        <w:tc>
          <w:tcPr>
            <w:tcW w:type="dxa" w:w="3312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운영·품질 집계</w:t>
            </w:r>
          </w:p>
        </w:tc>
        <w:tc>
          <w:tcPr>
            <w:tcW w:type="dxa" w:w="2160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Ledger, Event Views</w:t>
            </w:r>
          </w:p>
        </w:tc>
        <w:tc>
          <w:tcPr>
            <w:tcW w:type="dxa" w:w="172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산식 미결정</w:t>
            </w:r>
          </w:p>
        </w:tc>
      </w:tr>
      <w:tr>
        <w:tc>
          <w:tcPr>
            <w:tcW w:type="dxa" w:w="1152"/>
            <w:vAlign w:val="center"/>
            <w:shd w:fill="F4F7F9"/>
          </w:tcPr>
          <w:p>
            <w:r>
              <w:rPr>
                <w:rFonts w:ascii="Noto Sans CJK KR" w:hAnsi="Noto Sans CJK KR"/>
                <w:sz w:val="20"/>
              </w:rPr>
              <w:t>WEB-002</w:t>
            </w:r>
          </w:p>
        </w:tc>
        <w:tc>
          <w:tcPr>
            <w:tcW w:type="dxa" w:w="2160"/>
            <w:vAlign w:val="center"/>
            <w:shd w:fill="F4F7F9"/>
          </w:tcPr>
          <w:p>
            <w:r>
              <w:rPr>
                <w:rFonts w:ascii="Noto Sans CJK KR" w:hAnsi="Noto Sans CJK KR"/>
                <w:sz w:val="20"/>
              </w:rPr>
              <w:t>Admin Web</w:t>
            </w:r>
          </w:p>
        </w:tc>
        <w:tc>
          <w:tcPr>
            <w:tcW w:type="dxa" w:w="3312"/>
            <w:vAlign w:val="center"/>
            <w:shd w:fill="F4F7F9"/>
          </w:tcPr>
          <w:p>
            <w:r>
              <w:rPr>
                <w:rFonts w:ascii="Noto Sans CJK KR" w:hAnsi="Noto Sans CJK KR"/>
                <w:sz w:val="20"/>
              </w:rPr>
              <w:t>프로젝트 수행자용 운영·설정·검증·감사 화면</w:t>
            </w:r>
          </w:p>
        </w:tc>
        <w:tc>
          <w:tcPr>
            <w:tcW w:type="dxa" w:w="2160"/>
            <w:vAlign w:val="center"/>
            <w:shd w:fill="F4F7F9"/>
          </w:tcPr>
          <w:p>
            <w:r>
              <w:rPr>
                <w:rFonts w:ascii="Noto Sans CJK KR" w:hAnsi="Noto Sans CJK KR"/>
                <w:sz w:val="20"/>
              </w:rPr>
              <w:t>Business API</w:t>
            </w:r>
          </w:p>
        </w:tc>
        <w:tc>
          <w:tcPr>
            <w:tcW w:type="dxa" w:w="1728"/>
            <w:vAlign w:val="center"/>
            <w:shd w:fill="F4F7F9"/>
          </w:tcPr>
          <w:p>
            <w:r>
              <w:rPr>
                <w:rFonts w:ascii="Noto Sans CJK KR" w:hAnsi="Noto Sans CJK KR"/>
                <w:sz w:val="20"/>
              </w:rPr>
              <w:t>고객 웹과 화면·접근권한 분리</w:t>
            </w:r>
          </w:p>
        </w:tc>
      </w:tr>
      <w:tr>
        <w:tc>
          <w:tcPr>
            <w:tcW w:type="dxa" w:w="1152"/>
            <w:vAlign w:val="center"/>
            <w:shd w:fill="F4F7F9"/>
          </w:tcPr>
          <w:p>
            <w:r>
              <w:rPr>
                <w:rFonts w:ascii="Noto Sans CJK KR" w:hAnsi="Noto Sans CJK KR"/>
                <w:sz w:val="20"/>
              </w:rPr>
              <w:t>MOCK-001</w:t>
            </w:r>
          </w:p>
        </w:tc>
        <w:tc>
          <w:tcPr>
            <w:tcW w:type="dxa" w:w="2160"/>
            <w:vAlign w:val="center"/>
            <w:shd w:fill="F4F7F9"/>
          </w:tcPr>
          <w:p>
            <w:r>
              <w:rPr>
                <w:rFonts w:ascii="Noto Sans CJK KR" w:hAnsi="Noto Sans CJK KR"/>
                <w:sz w:val="20"/>
              </w:rPr>
              <w:t>Mock Controller / Simulator</w:t>
            </w:r>
          </w:p>
        </w:tc>
        <w:tc>
          <w:tcPr>
            <w:tcW w:type="dxa" w:w="3312"/>
            <w:vAlign w:val="center"/>
            <w:shd w:fill="F4F7F9"/>
          </w:tcPr>
          <w:p>
            <w:r>
              <w:rPr>
                <w:rFonts w:ascii="Noto Sans CJK KR" w:hAnsi="Noto Sans CJK KR"/>
                <w:sz w:val="20"/>
              </w:rPr>
              <w:t>별도 제어 UI·합성 fixture 생성·읽기 전용 Mock endpoint 제공</w:t>
            </w:r>
          </w:p>
        </w:tc>
        <w:tc>
          <w:tcPr>
            <w:tcW w:type="dxa" w:w="2160"/>
            <w:vAlign w:val="center"/>
            <w:shd w:fill="F4F7F9"/>
          </w:tcPr>
          <w:p>
            <w:r>
              <w:rPr>
                <w:rFonts w:ascii="Noto Sans CJK KR" w:hAnsi="Noto Sans CJK KR"/>
                <w:sz w:val="20"/>
              </w:rPr>
              <w:t>REST·MQTT·OPC UA 수집 계약</w:t>
            </w:r>
          </w:p>
        </w:tc>
        <w:tc>
          <w:tcPr>
            <w:tcW w:type="dxa" w:w="1728"/>
            <w:vAlign w:val="center"/>
            <w:shd w:fill="F4F7F9"/>
          </w:tcPr>
          <w:p>
            <w:r>
              <w:rPr>
                <w:rFonts w:ascii="Noto Sans CJK KR" w:hAnsi="Noto Sans CJK KR"/>
                <w:sz w:val="20"/>
              </w:rPr>
              <w:t>C# 주 구현; C/C++은 C# 불가 경계에 한정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Noto Sans CJK KR" w:hAnsi="Noto Sans CJK KR" w:eastAsia="Noto Sans CJK KR" w:cs="Noto Sans CJK KR"/>
          <w:sz w:val="26"/>
        </w:rPr>
        <w:t>5. 배포 아키텍처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35848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84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Noto Sans CJK KR" w:hAnsi="Noto Sans CJK KR" w:eastAsia="Noto Sans CJK KR" w:cs="Noto Sans CJK KR"/>
          <w:b/>
          <w:color w:val="667788"/>
          <w:sz w:val="20"/>
        </w:rPr>
        <w:t>그림 2. 환경 분리와 배포 관점</w:t>
      </w:r>
    </w:p>
    <w:p>
      <w:pPr>
        <w:pStyle w:val="Heading2"/>
        <w:jc w:val="left"/>
      </w:pPr>
      <w:r>
        <w:rPr>
          <w:rFonts w:ascii="Noto Sans CJK KR" w:hAnsi="Noto Sans CJK KR" w:eastAsia="Noto Sans CJK KR" w:cs="Noto Sans CJK KR"/>
          <w:sz w:val="22"/>
        </w:rPr>
        <w:t>5.1 운영 구성 후보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5328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기준 구성</w:t>
            </w:r>
          </w:p>
        </w:tc>
        <w:tc>
          <w:tcPr>
            <w:tcW w:type="dxa" w:w="3168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확정 수준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컴퓨팅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ECS Fargate 등 관리형 컨테이너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후보—세부 서비스·오토스케일 TBD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메시징</w:t>
            </w:r>
          </w:p>
        </w:tc>
        <w:tc>
          <w:tcPr>
            <w:tcW w:type="dxa" w:w="532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SQS FIFO, AI SQS + DLQ</w:t>
            </w:r>
          </w:p>
        </w:tc>
        <w:tc>
          <w:tcPr>
            <w:tcW w:type="dxa" w:w="316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상위 구조 확정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키·값 저장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DynamoDB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용도 확정, 키·인덱스·capacity 미결정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객체 저장</w:t>
            </w:r>
          </w:p>
        </w:tc>
        <w:tc>
          <w:tcPr>
            <w:tcW w:type="dxa" w:w="532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프롬프트 S3 / 감사 S3 분리</w:t>
            </w:r>
          </w:p>
        </w:tc>
        <w:tc>
          <w:tcPr>
            <w:tcW w:type="dxa" w:w="316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분리·권한 원칙 확정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암호화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AWS KMS Envelope Encryption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역할 경계 확정, suite·CMK pool TBD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네트워크</w:t>
            </w:r>
          </w:p>
        </w:tc>
        <w:tc>
          <w:tcPr>
            <w:tcW w:type="dxa" w:w="532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VPC Gateway Endpoint for S3/DynamoDB</w:t>
            </w:r>
          </w:p>
        </w:tc>
        <w:tc>
          <w:tcPr>
            <w:tcW w:type="dxa" w:w="316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세부 배치 TBD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서버 기준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Debian 13 stable, GUI 없음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직접 관리 서버에 적용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Noto Sans CJK KR" w:hAnsi="Noto Sans CJK KR"/>
                <w:sz w:val="20"/>
              </w:rPr>
              <w:t>Mock 실행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Noto Sans CJK KR" w:hAnsi="Noto Sans CJK KR"/>
                <w:sz w:val="20"/>
              </w:rPr>
              <w:t>C# 제어 프로그램과 프로토콜별 Mock endpoint; C/C++은 확인된 예외 경계에 한정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Noto Sans CJK KR" w:hAnsi="Noto Sans CJK KR"/>
                <w:sz w:val="20"/>
              </w:rPr>
              <w:t>UI·endpoint의 OS·프로세스·배포 단위 TBD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Noto Sans CJK KR" w:hAnsi="Noto Sans CJK KR" w:eastAsia="Noto Sans CJK KR" w:cs="Noto Sans CJK KR"/>
          <w:sz w:val="26"/>
        </w:rPr>
        <w:t>6. 외부 인터페이스 설계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72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인터페이스</w:t>
            </w:r>
          </w:p>
        </w:tc>
        <w:tc>
          <w:tcPr>
            <w:tcW w:type="dxa" w:w="2304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방식</w:t>
            </w:r>
          </w:p>
        </w:tc>
        <w:tc>
          <w:tcPr>
            <w:tcW w:type="dxa" w:w="3744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보안/품질</w:t>
            </w:r>
          </w:p>
        </w:tc>
        <w:tc>
          <w:tcPr>
            <w:tcW w:type="dxa" w:w="1728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상태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장비 REST</w:t>
            </w:r>
          </w:p>
        </w:tc>
        <w:tc>
          <w:tcPr>
            <w:tcW w:type="dxa" w:w="2304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HTTPS GET Polling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OAuth2 Client Credentials, 읽기 전용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확정</w:t>
            </w:r>
          </w:p>
        </w:tc>
      </w:tr>
      <w:tr>
        <w:tc>
          <w:tcPr>
            <w:tcW w:type="dxa" w:w="1872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MQTT</w:t>
            </w:r>
          </w:p>
        </w:tc>
        <w:tc>
          <w:tcPr>
            <w:tcW w:type="dxa" w:w="2304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MQTT 5.0</w:t>
            </w:r>
          </w:p>
        </w:tc>
        <w:tc>
          <w:tcPr>
            <w:tcW w:type="dxa" w:w="3744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TLS, QoS 1, Topic ACL</w:t>
            </w:r>
          </w:p>
        </w:tc>
        <w:tc>
          <w:tcPr>
            <w:tcW w:type="dxa" w:w="172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확정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OPC UA Binary</w:t>
            </w:r>
          </w:p>
        </w:tc>
        <w:tc>
          <w:tcPr>
            <w:tcW w:type="dxa" w:w="2304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Client/Server UA-TCP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SignAndEncrypt, Browse/Read/Subscription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확정</w:t>
            </w:r>
          </w:p>
        </w:tc>
      </w:tr>
      <w:tr>
        <w:tc>
          <w:tcPr>
            <w:tcW w:type="dxa" w:w="1872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OPC UA JSON</w:t>
            </w:r>
          </w:p>
        </w:tc>
        <w:tc>
          <w:tcPr>
            <w:tcW w:type="dxa" w:w="2304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HTTPS Session-less</w:t>
            </w:r>
          </w:p>
        </w:tc>
        <w:tc>
          <w:tcPr>
            <w:tcW w:type="dxa" w:w="3744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Browse/Read, 읽기 전용</w:t>
            </w:r>
          </w:p>
        </w:tc>
        <w:tc>
          <w:tcPr>
            <w:tcW w:type="dxa" w:w="172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확정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업무 API</w:t>
            </w:r>
          </w:p>
        </w:tc>
        <w:tc>
          <w:tcPr>
            <w:tcW w:type="dxa" w:w="2304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REST/JSON 후보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인증·권한·멱등성 필요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리소스·오류 포맷 TBD</w:t>
            </w:r>
          </w:p>
        </w:tc>
      </w:tr>
      <w:tr>
        <w:tc>
          <w:tcPr>
            <w:tcW w:type="dxa" w:w="1872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실시간 상태</w:t>
            </w:r>
          </w:p>
        </w:tc>
        <w:tc>
          <w:tcPr>
            <w:tcW w:type="dxa" w:w="2304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SSE</w:t>
            </w:r>
          </w:p>
        </w:tc>
        <w:tc>
          <w:tcPr>
            <w:tcW w:type="dxa" w:w="3744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서버→클라이언트 단방향</w:t>
            </w:r>
          </w:p>
        </w:tc>
        <w:tc>
          <w:tcPr>
            <w:tcW w:type="dxa" w:w="172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상세 재연결 규칙 TBD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AI 공급자</w:t>
            </w:r>
          </w:p>
        </w:tc>
        <w:tc>
          <w:tcPr>
            <w:tcW w:type="dxa" w:w="2304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LiteLLM adapter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AI Gateway egress 전담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모델 레지스트리 스키마 TBD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Noto Sans CJK KR" w:hAnsi="Noto Sans CJK KR" w:eastAsia="Noto Sans CJK KR" w:cs="Noto Sans CJK KR"/>
          <w:sz w:val="26"/>
        </w:rPr>
        <w:t>7. 보안·개인정보·감사 구조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AI 자격증명은 등록 서비스가 암호화·저장만 수행하고 AI Gateway만 복호화·사용한다.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프롬프트 원문과 Event Audit은 서로 다른 S3 버킷·KMS 키·IAM Role·Bucket Policy를 사용한다.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Event Audit은 객체 단위 append-only이며 이전 digest를 포함한 hash chain으로 무결성을 검증한다.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원문 ID·가명 ID·비식별 ID를 목적별 분리하고 외부 AI에는 원문 식별 메타데이터를 전송하지 않는다.</w:t>
      </w:r>
    </w:p>
    <w:p>
      <w:pPr>
        <w:pStyle w:val="ListBullet"/>
        <w:spacing w:after="40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민감정보 분류기가 차단한 요청은 로컬 모델로 라우팅하며 불가하면 보관 또는 실패 처리한다.</w:t>
      </w:r>
    </w:p>
    <w:p>
      <w:pPr>
        <w:pStyle w:val="Heading1"/>
        <w:jc w:val="left"/>
      </w:pPr>
      <w:r>
        <w:rPr>
          <w:rFonts w:ascii="Noto Sans CJK KR" w:hAnsi="Noto Sans CJK KR" w:eastAsia="Noto Sans CJK KR" w:cs="Noto Sans CJK KR"/>
          <w:sz w:val="26"/>
        </w:rPr>
        <w:t>8. 성능·가용성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744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768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초기 기준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Mock 동시 연결</w:t>
            </w:r>
          </w:p>
        </w:tc>
        <w:tc>
          <w:tcPr>
            <w:tcW w:type="dxa" w:w="676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63개</w:t>
            </w:r>
          </w:p>
        </w:tc>
      </w:tr>
      <w:tr>
        <w:tc>
          <w:tcPr>
            <w:tcW w:type="dxa" w:w="3744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정상 수집 간격</w:t>
            </w:r>
          </w:p>
        </w:tc>
        <w:tc>
          <w:tcPr>
            <w:tcW w:type="dxa" w:w="676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5초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정상/최대 지속/버스트</w:t>
            </w:r>
          </w:p>
        </w:tc>
        <w:tc>
          <w:tcPr>
            <w:tcW w:type="dxa" w:w="676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13 / 26 / 100 events/s</w:t>
            </w:r>
          </w:p>
        </w:tc>
      </w:tr>
      <w:tr>
        <w:tc>
          <w:tcPr>
            <w:tcW w:type="dxa" w:w="3744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MQTT·OPC UA 수집 지연</w:t>
            </w:r>
          </w:p>
        </w:tc>
        <w:tc>
          <w:tcPr>
            <w:tcW w:type="dxa" w:w="676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p95 2초 이내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표준화 완료</w:t>
            </w:r>
          </w:p>
        </w:tc>
        <w:tc>
          <w:tcPr>
            <w:tcW w:type="dxa" w:w="676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수신 후 p95 1초 이내</w:t>
            </w:r>
          </w:p>
        </w:tc>
      </w:tr>
      <w:tr>
        <w:tc>
          <w:tcPr>
            <w:tcW w:type="dxa" w:w="3744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대시보드 일반 조회</w:t>
            </w:r>
          </w:p>
        </w:tc>
        <w:tc>
          <w:tcPr>
            <w:tcW w:type="dxa" w:w="676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p95 2초 이내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최신 데이터 표시</w:t>
            </w:r>
          </w:p>
        </w:tc>
        <w:tc>
          <w:tcPr>
            <w:tcW w:type="dxa" w:w="676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10초 이내 목표</w:t>
            </w:r>
          </w:p>
        </w:tc>
      </w:tr>
      <w:tr>
        <w:tc>
          <w:tcPr>
            <w:tcW w:type="dxa" w:w="3744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AI 타임아웃·로컬 튜닝</w:t>
            </w:r>
          </w:p>
        </w:tc>
        <w:tc>
          <w:tcPr>
            <w:tcW w:type="dxa" w:w="676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모델별 값은 기술검증 후 TBD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jc w:val="left"/>
      </w:pPr>
      <w:r>
        <w:rPr>
          <w:rFonts w:ascii="Noto Sans CJK KR" w:hAnsi="Noto Sans CJK KR" w:eastAsia="Noto Sans CJK KR" w:cs="Noto Sans CJK KR"/>
          <w:sz w:val="26"/>
        </w:rPr>
        <w:t>미결정 사항 및 생략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5328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현재 처리</w:t>
            </w:r>
          </w:p>
        </w:tc>
        <w:tc>
          <w:tcPr>
            <w:tcW w:type="dxa" w:w="3456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확정 시점/영향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물리 인프라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리전, AZ, 서브넷, 보안그룹, 오토스케일, 용량을 생략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Spike·부하시험 후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업무 API</w:t>
            </w:r>
          </w:p>
        </w:tc>
        <w:tc>
          <w:tcPr>
            <w:tcW w:type="dxa" w:w="532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리소스·URI·오류·페이징·멱등성 키가 TBD</w:t>
            </w:r>
          </w:p>
        </w:tc>
        <w:tc>
          <w:tcPr>
            <w:tcW w:type="dxa" w:w="3456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클래스/시퀀스와 함께 확정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DynamoDB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파티션키·GSI·capacity mode 미결정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ERD 최종본 전 PEND-016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AI 레지스트리</w:t>
            </w:r>
          </w:p>
        </w:tc>
        <w:tc>
          <w:tcPr>
            <w:tcW w:type="dxa" w:w="532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자격증명 버전, Tier 심사, 전환 동의 미결정</w:t>
            </w:r>
          </w:p>
        </w:tc>
        <w:tc>
          <w:tcPr>
            <w:tcW w:type="dxa" w:w="3456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PEND-012 4.2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분석 서비스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sz w:val="20"/>
              </w:rPr>
              <w:t>지표 산식 승인; 물리 집계·목표값 미결정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PEND-015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국외 이전</w:t>
            </w:r>
          </w:p>
        </w:tc>
        <w:tc>
          <w:tcPr>
            <w:tcW w:type="dxa" w:w="5328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법적 근거·동의 UI를 본 초안에서 생략</w:t>
            </w:r>
          </w:p>
        </w:tc>
        <w:tc>
          <w:tcPr>
            <w:tcW w:type="dxa" w:w="3456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운영 배포 전 법률 검토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r>
              <w:rPr>
                <w:rFonts w:ascii="Noto Sans CJK KR" w:hAnsi="Noto Sans CJK KR"/>
                <w:sz w:val="20"/>
              </w:rPr>
              <w:t>Mock 구현 경계</w:t>
            </w:r>
          </w:p>
        </w:tc>
        <w:tc>
          <w:tcPr>
            <w:tcW w:type="dxa" w:w="5328"/>
            <w:vAlign w:val="center"/>
            <w:shd w:fill="F4F7F9"/>
          </w:tcPr>
          <w:p>
            <w:r>
              <w:rPr>
                <w:rFonts w:ascii="Noto Sans CJK KR" w:hAnsi="Noto Sans CJK KR"/>
                <w:sz w:val="20"/>
              </w:rPr>
              <w:t>C# 주 구현을 적용한다. C/C++은 C#·.NET 실행환경이 불가능한 OS 또는 구형 장비·라이브러리 연동에 한정</w:t>
            </w:r>
          </w:p>
        </w:tc>
        <w:tc>
          <w:tcPr>
            <w:tcW w:type="dxa" w:w="3456"/>
            <w:vAlign w:val="center"/>
            <w:shd w:fill="F4F7F9"/>
          </w:tcPr>
          <w:p>
            <w:r>
              <w:rPr>
                <w:rFonts w:ascii="Noto Sans CJK KR" w:hAnsi="Noto Sans CJK KR"/>
                <w:sz w:val="20"/>
              </w:rPr>
              <w:t>대상별 불가 사유·지원 OS·네이티브 호출 계약·배포 검증은 PEND-006·007 4.3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jc w:val="left"/>
      </w:pPr>
      <w:r>
        <w:rPr>
          <w:rFonts w:ascii="Noto Sans CJK KR" w:hAnsi="Noto Sans CJK KR" w:eastAsia="Noto Sans CJK KR" w:cs="Noto Sans CJK KR"/>
          <w:sz w:val="26"/>
        </w:rPr>
        <w:t>최신 승인 방향과 검증 게이트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5040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현재 설계 방향</w:t>
            </w:r>
          </w:p>
        </w:tc>
        <w:tc>
          <w:tcPr>
            <w:tcW w:type="dxa" w:w="3672"/>
            <w:shd w:fill="17324D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20"/>
              </w:rPr>
              <w:t>잔여 검증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AI 등록·실행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키 버전, 모델 등록·검증·관리자 승인, 실행별 Tier 전환 동의를 분리. Gateway가 서버 측에서 활성·키·한도·전송 정책 검증</w:t>
            </w:r>
          </w:p>
        </w:tc>
        <w:tc>
          <w:tcPr>
            <w:tcW w:type="dxa" w:w="3672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물리 스키마·내부 인증·AWS KMS 권한·adapter 기술검증</w:t>
            </w:r>
          </w:p>
        </w:tc>
      </w:tr>
      <w:tr>
        <w:tc>
          <w:tcPr>
            <w:tcW w:type="dxa" w:w="1656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품질·재처리</w:t>
            </w:r>
          </w:p>
        </w:tc>
        <w:tc>
          <w:tcPr>
            <w:tcW w:type="dxa" w:w="5040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원본 수신·중복 판정·Attempt·파생 버전 분리. LATE_AFTER_GAP의 영향받은 조리작업·식사배치·분석 결과를 새 버전으로 재계산</w:t>
            </w:r>
          </w:p>
        </w:tc>
        <w:tc>
          <w:tcPr>
            <w:tcW w:type="dxa" w:w="3672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실제 저장소 멱등성·재계산 의존성·DLQ 정상복귀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평가·분석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7개 항목 5점 평가와 수정·재평가 이력, 현재 평가 포인터 후보, 산식 버전·표본·제외사유를 가진 분석 결과 버전</w:t>
            </w:r>
          </w:p>
        </w:tc>
        <w:tc>
          <w:tcPr>
            <w:tcW w:type="dxa" w:w="3672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실제 저장소 조건부 쓰기·현재 평가 선정·집계 재계산</w:t>
            </w:r>
          </w:p>
        </w:tc>
      </w:tr>
      <w:tr>
        <w:tc>
          <w:tcPr>
            <w:tcW w:type="dxa" w:w="1656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개인정보·감사</w:t>
            </w:r>
          </w:p>
        </w:tc>
        <w:tc>
          <w:tcPr>
            <w:tcW w:type="dxa" w:w="5040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목적별 HMAC·Vault·Capsule·삭제 Saga·Tombstone 재적용. 초기 On-demand와 감사 단일 Writer는 설계 초안</w:t>
            </w:r>
          </w:p>
        </w:tc>
        <w:tc>
          <w:tcPr>
            <w:tcW w:type="dxa" w:w="3672"/>
            <w:vAlign w:val="center"/>
            <w:shd w:fill="F4F7F9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물리 키·비용·처리량·S3 체인 연속성·KMS 조건 PoC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데이터 모델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DynamoDB Item Entity Type·PK/SK·접근 패턴 중심으로 설계하고 물리 FK를 전제하지 않는다. 목적별 Vault·Capsule·Billing·Registry는 분리 테이블</w:t>
            </w:r>
          </w:p>
        </w:tc>
        <w:tc>
          <w:tcPr>
            <w:tcW w:type="dxa" w:w="3672"/>
            <w:vAlign w:val="center"/>
          </w:tcPr>
          <w:p>
            <w:pPr>
              <w:spacing w:after="20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18222C"/>
                <w:sz w:val="20"/>
              </w:rPr>
              <w:t>미승인 운영 데이터 테이블 경계·GSI·capacity 실제 저장소 검증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rPr>
          <w:rFonts w:ascii="Noto Sans CJK KR" w:hAnsi="Noto Sans CJK KR" w:eastAsia="Noto Sans CJK KR" w:cs="Noto Sans CJK KR"/>
          <w:sz w:val="22"/>
        </w:rPr>
        <w:t>인터페이스 설계 상세화 대상</w:t>
      </w:r>
    </w:p>
    <w:p>
      <w:pPr>
        <w:spacing w:after="100" w:line="276" w:lineRule="auto"/>
        <w:jc w:val="left"/>
      </w:pPr>
      <w:r>
        <w:rPr>
          <w:rFonts w:ascii="Noto Sans CJK KR" w:hAnsi="Noto Sans CJK KR" w:eastAsia="Noto Sans CJK KR" w:cs="Noto Sans CJK KR"/>
          <w:b w:val="0"/>
          <w:color w:val="18222C"/>
          <w:sz w:val="20"/>
        </w:rPr>
        <w:t>업무 REST 리소스, URI, 권한, 요청·응답, 오류, 페이징, 버전, 멱등성은 SAD와 관련 시퀀스·클래스 정의에서 확정한다. 현재 미확정 필드는 TBD이며 별도 API 명세서로 확정한 것으로 해석하지 않는다.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 w:cs="Noto Sans CJK KR"/>
        <w:b w:val="0"/>
        <w:color w:val="667788"/>
        <w:sz w:val="20"/>
      </w:rPr>
      <w:t xml:space="preserve">FT-SAD-001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 w:cs="Noto Sans CJK KR"/>
        <w:b w:val="0"/>
        <w:color w:val="667788"/>
        <w:sz w:val="20"/>
      </w:rPr>
      <w:t>Foodtech AI Recipe Agent  |  시스템 아키텍처 정의서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color w:val="1822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KR" w:hAnsi="Noto Sans CJK KR" w:eastAsia="Noto Sans CJK KR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KR" w:hAnsi="Noto Sans CJK KR" w:eastAsia="Noto Sans CJK KR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KR" w:hAnsi="Noto Sans CJK KR" w:eastAsia="Noto Sans CJK KR"/>
      <w:b/>
      <w:bCs/>
      <w:i/>
      <w:iCs/>
      <w:color w:val="4F81BD" w:themeColor="accent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KR" w:hAnsi="Noto Sans CJK KR" w:eastAsia="Noto Sans CJK KR"/>
      <w:color w:val="243F60" w:themeColor="accent1" w:themeShade="7F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243F60" w:themeColor="accent1" w:themeShade="7F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404040" w:themeColor="text1" w:themeTint="BF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KR" w:hAnsi="Noto Sans CJK KR" w:eastAsia="Noto Sans CJK KR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KR" w:hAnsi="Noto Sans CJK KR" w:eastAsia="Noto Sans CJK KR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KR" w:hAnsi="Noto Sans CJK KR" w:eastAsia="Noto Sans CJK KR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KR" w:hAnsi="Noto Sans CJK KR" w:eastAsia="Noto Sans CJK KR"/>
      <w:sz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20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KR" w:hAnsi="Noto Sans CJK KR" w:eastAsia="Noto Sans CJK KR"/>
      <w:sz w:val="2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KR" w:hAnsi="Noto Sans CJK KR" w:eastAsia="Noto Sans CJK KR"/>
      <w:sz w:val="2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KR" w:hAnsi="Noto Sans CJK KR" w:eastAsia="Noto Sans CJK KR"/>
      <w:sz w:val="2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KR" w:hAnsi="Noto Sans CJK KR" w:eastAsia="Noto Sans CJK KR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KR" w:hAnsi="Noto Sans CJK KR" w:eastAsia="Noto Sans CJK KR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KR" w:hAnsi="Noto Sans CJK KR" w:eastAsia="Noto Sans CJK KR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KR" w:hAnsi="Noto Sans CJK KR" w:eastAsia="Noto Sans CJK KR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KR" w:hAnsi="Noto Sans CJK KR" w:eastAsia="Noto Sans CJK KR"/>
      <w:sz w:val="2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KR" w:hAnsi="Noto Sans CJK KR" w:eastAsia="Noto Sans CJK KR"/>
      <w:sz w:val="2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KR" w:hAnsi="Noto Sans CJK KR" w:eastAsia="Noto Sans CJK KR"/>
      <w:sz w:val="2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KR" w:hAnsi="Noto Sans CJK KR" w:eastAsia="Noto Sans CJK K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KR" w:hAnsi="Noto Sans CJK KR" w:eastAsia="Noto Sans CJK KR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KR" w:hAnsi="Noto Sans CJK KR" w:eastAsia="Noto Sans CJK KR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KR" w:hAnsi="Noto Sans CJK KR" w:eastAsia="Noto Sans CJK KR"/>
      <w:b/>
      <w:bCs/>
      <w:i/>
      <w:iCs/>
      <w:color w:val="4F81BD" w:themeColor="accent1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KR" w:hAnsi="Noto Sans CJK KR" w:eastAsia="Noto Sans CJK KR"/>
      <w:sz w:val="2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