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/>
          <w:b/>
          <w:sz w:val="44"/>
        </w:rPr>
        <w:t>시퀀스 다이어그램 및 클래스 다이어그램</w:t>
      </w:r>
    </w:p>
    <w:p>
      <w:pPr>
        <w:jc w:val="center"/>
      </w:pPr>
      <w:r>
        <w:rPr>
          <w:rFonts w:ascii="Noto Sans CJK KR" w:hAnsi="Noto Sans CJK KR"/>
          <w:sz w:val="24"/>
        </w:rPr>
        <w:t>Sequence and Class Diagrams</w:t>
      </w:r>
    </w:p>
    <w:p>
      <w:pPr>
        <w:pStyle w:val="Heading1"/>
      </w:pPr>
      <w:r>
        <w:t>0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60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항목</w:t>
            </w:r>
          </w:p>
        </w:tc>
        <w:tc>
          <w:tcPr>
            <w:tcW w:type="dxa" w:w="748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내용</w:t>
            </w:r>
          </w:p>
        </w:tc>
      </w:tr>
      <w:tr>
        <w:tc>
          <w:tcPr>
            <w:tcW w:type="dxa" w:w="2608"/>
            <w:vAlign w:val="center"/>
          </w:tcPr>
          <w:p>
            <w:r>
              <w:rPr>
                <w:rFonts w:ascii="Noto Sans CJK KR" w:hAnsi="Noto Sans CJK KR"/>
                <w:sz w:val="20"/>
              </w:rPr>
              <w:t>산출물 번호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FT-UML-001</w:t>
            </w:r>
          </w:p>
        </w:tc>
      </w:tr>
      <w:tr>
        <w:tc>
          <w:tcPr>
            <w:tcW w:type="dxa" w:w="260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문서 버전</w:t>
            </w:r>
          </w:p>
        </w:tc>
        <w:tc>
          <w:tcPr>
            <w:tcW w:type="dxa" w:w="748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0.3</w:t>
            </w:r>
          </w:p>
        </w:tc>
      </w:tr>
      <w:tr>
        <w:tc>
          <w:tcPr>
            <w:tcW w:type="dxa" w:w="2608"/>
            <w:vAlign w:val="center"/>
          </w:tcPr>
          <w:p>
            <w:r>
              <w:rPr>
                <w:rFonts w:ascii="Noto Sans CJK KR" w:hAnsi="Noto Sans CJK KR"/>
                <w:sz w:val="20"/>
              </w:rPr>
              <w:t>문서 상태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제안 단계</w:t>
            </w:r>
          </w:p>
        </w:tc>
      </w:tr>
      <w:tr>
        <w:tc>
          <w:tcPr>
            <w:tcW w:type="dxa" w:w="260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작성자</w:t>
            </w:r>
          </w:p>
        </w:tc>
        <w:tc>
          <w:tcPr>
            <w:tcW w:type="dxa" w:w="748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김범수</w:t>
            </w:r>
          </w:p>
        </w:tc>
      </w:tr>
      <w:tr>
        <w:tc>
          <w:tcPr>
            <w:tcW w:type="dxa" w:w="2608"/>
            <w:vAlign w:val="center"/>
          </w:tcPr>
          <w:p>
            <w:r>
              <w:rPr>
                <w:rFonts w:ascii="Noto Sans CJK KR" w:hAnsi="Noto Sans CJK KR"/>
                <w:sz w:val="20"/>
              </w:rPr>
              <w:t>최초 생성일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2026년 10월 11일</w:t>
            </w:r>
          </w:p>
        </w:tc>
      </w:tr>
      <w:tr>
        <w:tc>
          <w:tcPr>
            <w:tcW w:type="dxa" w:w="260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기준 문서</w:t>
            </w:r>
          </w:p>
        </w:tc>
        <w:tc>
          <w:tcPr>
            <w:tcW w:type="dxa" w:w="748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RD v0.7, SRS v0.7, DCD v0.6, pending_decisions.md v0.47</w:t>
            </w:r>
          </w:p>
        </w:tc>
      </w:tr>
    </w:tbl>
    <w:p>
      <w:pPr>
        <w:pStyle w:val="Heading2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53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수정일</w:t>
            </w:r>
          </w:p>
        </w:tc>
        <w:tc>
          <w:tcPr>
            <w:tcW w:type="dxa" w:w="850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버전</w:t>
            </w:r>
          </w:p>
        </w:tc>
        <w:tc>
          <w:tcPr>
            <w:tcW w:type="dxa" w:w="578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변경 내용</w:t>
            </w:r>
          </w:p>
        </w:tc>
        <w:tc>
          <w:tcPr>
            <w:tcW w:type="dxa" w:w="192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작성/승인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2026-10-11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0.1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설계 단계 최초 초안 작성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프로젝트 수행자</w:t>
            </w:r>
          </w:p>
        </w:tc>
      </w:tr>
      <w:tr>
        <w:tc>
          <w:tcPr>
            <w:tcW w:type="dxa" w:w="153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2026-10-23</w:t>
            </w:r>
          </w:p>
        </w:tc>
        <w:tc>
          <w:tcPr>
            <w:tcW w:type="dxa" w:w="850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0.2</w:t>
            </w:r>
          </w:p>
        </w:tc>
        <w:tc>
          <w:tcPr>
            <w:tcW w:type="dxa" w:w="578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승인된 설계 방향과 남은 검증 게이트 반영</w:t>
            </w:r>
          </w:p>
        </w:tc>
        <w:tc>
          <w:tcPr>
            <w:tcW w:type="dxa" w:w="192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프로젝트 수행자</w:t>
            </w:r>
          </w:p>
        </w:tc>
      </w:tr>
      <w:tr>
        <w:tc>
          <w:tcPr>
            <w:tcW w:type="dxa" w:w="1531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2026-10-23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0.3</w:t>
            </w:r>
          </w:p>
        </w:tc>
        <w:tc>
          <w:tcPr>
            <w:tcW w:type="dxa" w:w="5783"/>
            <w:vAlign w:val="center"/>
          </w:tcPr>
          <w:p>
            <w:r>
              <w:rPr>
                <w:rFonts w:ascii="Noto Sans CJK KR" w:hAnsi="Noto Sans CJK KR"/>
                <w:sz w:val="20"/>
              </w:rPr>
              <w:t>기능별 시퀀스·클래스 다이어그램 정리와 A4 편집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프로젝트 수행자</w:t>
            </w:r>
          </w:p>
        </w:tc>
      </w:tr>
    </w:tbl>
    <w:p>
      <w:pPr>
        <w:pStyle w:val="Heading1"/>
      </w:pPr>
      <w:r>
        <w:t>1 문서 범위와 읽는 방법</w:t>
      </w:r>
    </w:p>
    <w:p>
      <w:r>
        <w:rPr>
          <w:rFonts w:ascii="Noto Sans CJK KR" w:hAnsi="Noto Sans CJK KR"/>
          <w:sz w:val="20"/>
        </w:rPr>
        <w:t>수집·품질 재처리, 조리·평가, AI 등록·권고, 개인정보 삭제·감사의 네 기능을 시퀀스 다이어그램과 클래스 다이어그램으로 정의한다. 각 기능의 호출 흐름을 먼저 읽고, 이어서 클래스의 책임·속성·Operation과 관계를 확인한다.</w:t>
      </w:r>
    </w:p>
    <w:p>
      <w:r>
        <w:rPr>
          <w:rFonts w:ascii="Noto Sans CJK KR" w:hAnsi="Noto Sans CJK KR"/>
          <w:sz w:val="20"/>
        </w:rPr>
        <w:t>시퀀스의 외부 서비스와 저장소는 호출 경계만 표시한다. 클래스 다이어그램은 클래스만 사용하며 패키지·컴포넌트·실행 객체를 같은 그림에 혼합하지 않는다. 미확정 구현 서명과 저장 키는 TBD 또는 설명에 남긴다.</w:t>
      </w:r>
    </w:p>
    <w:p>
      <w:pPr>
        <w:pStyle w:val="Heading1"/>
      </w:pPr>
      <w:r>
        <w:t>2 기능별 다이어그램</w:t>
      </w:r>
    </w:p>
    <w:p>
      <w:r>
        <w:rPr>
          <w:rFonts w:ascii="Noto Sans CJK KR" w:hAnsi="Noto Sans CJK KR"/>
          <w:sz w:val="20"/>
        </w:rPr>
        <w:t>각 기능은 시퀀스와 클래스 다이어그램 하나씩으로 구성한다. 그림별 제목, 그림, 설명을 같은 A4 가로 페이지에 배치한다.</w:t>
      </w:r>
    </w:p>
    <w:p>
      <w:pPr>
        <w:sectPr>
          <w:pgSz w:w="11906" w:h="16838"/>
          <w:pgMar w:top="794" w:right="907" w:bottom="794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t>2.1 수집·품질 재처리</w:t>
      </w:r>
    </w:p>
    <w:p>
      <w:pPr>
        <w:pStyle w:val="Heading2"/>
      </w:pPr>
      <w:r>
        <w:t>COL-SEQ 시퀀스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90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_s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장비 이벤트가 Adapter·Ingestion·Queue를 지나 순서 복원, 표준화, 품질 판정, 저장과 검토로 이동한다. alt는 순번 결손과 정상 처리를 구분한다. 오류별 재시도 계약은 초기 구현에서 구체화한다.</w:t>
      </w:r>
    </w:p>
    <w:p>
      <w:pPr>
        <w:pStyle w:val="Heading2"/>
        <w:pageBreakBefore/>
      </w:pPr>
      <w:r>
        <w:t>COL-CLS 클래스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523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_Dept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2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IngestionService, Resequencer, Standardizer, QualityEngine, EventRepository, ReviewService의 속성과 Operation을 연결한다. 규칙 스키마, 멱등 키와 조건부 쓰기의 상세 서명은 미확정이다.</w:t>
      </w:r>
    </w:p>
    <w:p>
      <w:pPr>
        <w:pStyle w:val="Heading1"/>
        <w:pageBreakBefore/>
      </w:pPr>
      <w:r>
        <w:t>2.2 조리·평가</w:t>
      </w:r>
    </w:p>
    <w:p>
      <w:pPr>
        <w:pStyle w:val="Heading2"/>
      </w:pPr>
      <w:r>
        <w:t>COOK-SEQ 시퀀스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90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K_s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운영자 요청 이후 작업 상태, 공정·안전·품질 판정, 저장 및 분석의 호출 흐름을 보여준다. 공정 자동판정과 식품 안전·품질평가는 별개 상태이며 장비 제어 메시지는 포함하지 않는다.</w:t>
      </w:r>
    </w:p>
    <w:p>
      <w:pPr>
        <w:pStyle w:val="Heading2"/>
        <w:pageBreakBefore/>
      </w:pPr>
      <w:r>
        <w:t>COOK-CLS 클래스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5236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K_Depth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2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CookingJob, ProcessAssessment, SafetyAssessment, QualityAssessment, CurrentPointer의 책임과 관계를 구분한다. 평가 수정은 원 버전을 보존하고 새 버전과 현재 포인터를 연결한다.</w:t>
      </w:r>
    </w:p>
    <w:p>
      <w:pPr>
        <w:pStyle w:val="Heading1"/>
        <w:pageBreakBefore/>
      </w:pPr>
      <w:r>
        <w:t>2.3 AI 등록·권고</w:t>
      </w:r>
    </w:p>
    <w:p>
      <w:pPr>
        <w:pStyle w:val="Heading2"/>
      </w:pPr>
      <w:r>
        <w:t>AI-SEQ 시퀀스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90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사용자 요청이 Business API와 정책 검사, Queue, Gateway, Provider를 거쳐 결과 저장으로 이어진다. API 키와 승인·활성 모델을 확인하고 Tier 전환은 별도의 동의가 연결된 새 실행으로 처리한다.</w:t>
      </w:r>
    </w:p>
    <w:p>
      <w:pPr>
        <w:pStyle w:val="Heading2"/>
        <w:pageBreakBefore/>
      </w:pPr>
      <w:r>
        <w:t>AI-CLS 클래스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523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Depth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2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AIJob, PolicyService, Gateway, CredentialVersion, ModelRegistry, Recommendation의 책임을 나눈다. PolicyService가 키 상태, 모델 승인과 실행별 동의를 검사한 뒤 Gateway 호출을 허용한다.</w:t>
      </w:r>
    </w:p>
    <w:p>
      <w:pPr>
        <w:pStyle w:val="Heading1"/>
        <w:pageBreakBefore/>
      </w:pPr>
      <w:r>
        <w:t>2.4 개인정보 삭제·감사</w:t>
      </w:r>
    </w:p>
    <w:p>
      <w:pPr>
        <w:pStyle w:val="Heading2"/>
      </w:pPr>
      <w:r>
        <w:t>PRV-SEQ 시퀀스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490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V_s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9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사용자 요청에서 History Facade, Vault, Capsule, Deletion Saga, Registry, Audit Writer 및 저장소로 이어지는 순서를 나타낸다. 삭제 완료는 저장소별 잔존 확인과 감사 기록을 거친다.</w:t>
      </w:r>
    </w:p>
    <w:p>
      <w:pPr>
        <w:pStyle w:val="Heading2"/>
        <w:pageBreakBefore/>
      </w:pPr>
      <w:r>
        <w:t>PRV-CLS 클래스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5236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V_Depth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2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HistoryFacade, IdentityVault, LinkCapsule, DeletionSaga, DeletionRegistry, AuditWriter의 속성과 Operation을 나타낸다. 체크포인트와 재삭제 물리 필드는 후속 설계 항목이다.</w:t>
      </w:r>
    </w:p>
    <w:p>
      <w:pPr>
        <w:sectPr>
          <w:pgSz w:w="16838" w:h="11906" w:orient="landscape"/>
          <w:pgMar w:top="794" w:right="907" w:bottom="794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t>3 기능 간 관계와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기능</w:t>
            </w:r>
          </w:p>
        </w:tc>
        <w:tc>
          <w:tcPr>
            <w:tcW w:type="dxa" w:w="252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주요 입력</w:t>
            </w:r>
          </w:p>
        </w:tc>
        <w:tc>
          <w:tcPr>
            <w:tcW w:type="dxa" w:w="252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주요 출력</w:t>
            </w:r>
          </w:p>
        </w:tc>
        <w:tc>
          <w:tcPr>
            <w:tcW w:type="dxa" w:w="2523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관련 분석 기준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수집·표준화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장비·파일 원천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표준 이벤트·Finding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SRS 데이터/인터페이스, DCD 매핑/품질</w:t>
            </w:r>
          </w:p>
        </w:tc>
      </w:tr>
      <w:tr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조리 작업·평가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레시피·시계열·운영자 입력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작업·판정·평가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PEND-013/014</w:t>
            </w:r>
          </w:p>
        </w:tc>
      </w:tr>
      <w:tr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AI 권고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평가·시계열·모델정책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후보 레시피·근거</w:t>
            </w:r>
          </w:p>
        </w:tc>
        <w:tc>
          <w:tcPr>
            <w:tcW w:type="dxa" w:w="2523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PEND-012/016</w:t>
            </w:r>
          </w:p>
        </w:tc>
      </w:tr>
      <w:tr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품질 재처리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Finding·검토결과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파생 버전·감사이력</w:t>
            </w:r>
          </w:p>
        </w:tc>
        <w:tc>
          <w:tcPr>
            <w:tcW w:type="dxa" w:w="2523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PEND-009/010</w:t>
            </w:r>
          </w:p>
        </w:tc>
      </w:tr>
    </w:tbl>
    <w:p>
      <w:pPr>
        <w:pStyle w:val="Heading1"/>
      </w:pPr>
      <w:r>
        <w:t>4 상태·타이밍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대상</w:t>
            </w:r>
          </w:p>
        </w:tc>
        <w:tc>
          <w:tcPr>
            <w:tcW w:type="dxa" w:w="504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규칙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결손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gap_deadline = 최초 감지 단조시각 + 5초</w:t>
            </w:r>
          </w:p>
        </w:tc>
      </w:tr>
      <w:tr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연결 상실</w:t>
            </w:r>
          </w:p>
        </w:tc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5초 수집주기에서 30초 연속 결손 시 SENSOR_LOST/DISCONNECTED 확정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업무 시간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검증된 event_occurred_at 기반 effective_time, fallback 근거 기록</w:t>
            </w:r>
          </w:p>
        </w:tc>
      </w:tr>
      <w:tr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시스템 시간</w:t>
            </w:r>
          </w:p>
        </w:tc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event_received_at / system_created_at으로 인지 시점 추적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AI 작업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ENQUEUED→PROCESSING→COMPLETED/FAILED/EXPIRED_RETRY_REQUIRED</w:t>
            </w:r>
          </w:p>
        </w:tc>
      </w:tr>
      <w:tr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품질 검토</w:t>
            </w:r>
          </w:p>
        </w:tc>
        <w:tc>
          <w:tcPr>
            <w:tcW w:type="dxa" w:w="504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VALID는 NOT_REQUIRED; WARNING/QUARANTINED만 PENDING 검토</w:t>
            </w:r>
          </w:p>
        </w:tc>
      </w:tr>
    </w:tbl>
    <w:p>
      <w:pPr>
        <w:pStyle w:val="Heading1"/>
      </w:pPr>
      <w: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구분</w:t>
            </w:r>
          </w:p>
        </w:tc>
        <w:tc>
          <w:tcPr>
            <w:tcW w:type="dxa" w:w="3364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현재 처리</w:t>
            </w:r>
          </w:p>
        </w:tc>
        <w:tc>
          <w:tcPr>
            <w:tcW w:type="dxa" w:w="3364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확정 시점/영향</w:t>
            </w:r>
          </w:p>
        </w:tc>
      </w:tr>
      <w:tr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전체 기능 범위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4개 핵심 기능만 작성. 인증·분석·관리·백업은 다이어그램 생략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기능 상세 확정 후 증분 작성</w:t>
            </w:r>
          </w:p>
        </w:tc>
      </w:tr>
      <w:tr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메뉴별 변형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돈까스·제육·고등어의 단계별 시퀀스는 상세 복귀 규칙 미결정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PEND-013</w:t>
            </w:r>
          </w:p>
        </w:tc>
      </w:tr>
      <w:tr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평가 클래스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척도·버전·재평가 구조가 미결정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PEND-014</w:t>
            </w:r>
          </w:p>
        </w:tc>
      </w:tr>
      <w:tr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AI 레지스트리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custom model 심사·상태·동의 객체가 미결정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PEND-012</w:t>
            </w:r>
          </w:p>
        </w:tc>
      </w:tr>
      <w:tr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물리 클래스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실제 언어 타입·ORM annotation·method signature 생략</w:t>
            </w:r>
          </w:p>
        </w:tc>
        <w:tc>
          <w:tcPr>
            <w:tcW w:type="dxa" w:w="3364"/>
            <w:vAlign w:val="center"/>
          </w:tcPr>
          <w:p>
            <w:r>
              <w:rPr>
                <w:rFonts w:ascii="Noto Sans CJK KR" w:hAnsi="Noto Sans CJK KR"/>
                <w:sz w:val="20"/>
              </w:rPr>
              <w:t>구현 기술선정 후</w:t>
            </w:r>
          </w:p>
        </w:tc>
      </w:tr>
      <w:tr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Use Case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사용자 요청에 따라 본 문서에서 제외</w:t>
            </w:r>
          </w:p>
        </w:tc>
        <w:tc>
          <w:tcPr>
            <w:tcW w:type="dxa" w:w="336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구현 또는 이후 산출물</w:t>
            </w:r>
          </w:p>
        </w:tc>
      </w:tr>
    </w:tbl>
    <w:sectPr w:rsidR="00FC693F" w:rsidRPr="0006063C" w:rsidSect="00034616"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