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58D11" w14:textId="6AFFC50D" w:rsidR="002B4A84" w:rsidRPr="004818C6" w:rsidRDefault="002B4A84" w:rsidP="00B7376A">
      <w:pPr>
        <w:jc w:val="right"/>
        <w:rPr>
          <w:sz w:val="18"/>
          <w:szCs w:val="18"/>
        </w:rPr>
      </w:pPr>
      <w:r w:rsidRPr="004818C6">
        <w:rPr>
          <w:sz w:val="18"/>
          <w:szCs w:val="18"/>
        </w:rPr>
        <w:t>5 Bayard Road, Unit 403</w:t>
      </w:r>
    </w:p>
    <w:p w14:paraId="1153D4B8" w14:textId="181D6998" w:rsidR="002B4A84" w:rsidRDefault="002B4A84" w:rsidP="00B7376A">
      <w:pPr>
        <w:jc w:val="right"/>
        <w:rPr>
          <w:sz w:val="18"/>
          <w:szCs w:val="18"/>
        </w:rPr>
      </w:pPr>
      <w:r w:rsidRPr="004818C6">
        <w:rPr>
          <w:sz w:val="18"/>
          <w:szCs w:val="18"/>
        </w:rPr>
        <w:t>Pittsburgh, Pennsylvania 15213-1903</w:t>
      </w:r>
    </w:p>
    <w:p w14:paraId="5EBCE4C2" w14:textId="04622158" w:rsidR="004818C6" w:rsidRDefault="004818C6" w:rsidP="002B4A84">
      <w:pPr>
        <w:jc w:val="right"/>
        <w:rPr>
          <w:sz w:val="18"/>
          <w:szCs w:val="18"/>
        </w:rPr>
      </w:pPr>
    </w:p>
    <w:p w14:paraId="43A5D0DC" w14:textId="77777777" w:rsidR="00471BBB" w:rsidRDefault="00471BBB" w:rsidP="002B4A84">
      <w:pPr>
        <w:jc w:val="right"/>
        <w:rPr>
          <w:sz w:val="18"/>
          <w:szCs w:val="18"/>
        </w:rPr>
      </w:pPr>
    </w:p>
    <w:p w14:paraId="28E1485A" w14:textId="4FF4FD80" w:rsidR="004818C6" w:rsidRDefault="004818C6" w:rsidP="004818C6">
      <w:pPr>
        <w:rPr>
          <w:sz w:val="18"/>
          <w:szCs w:val="18"/>
        </w:rPr>
      </w:pPr>
    </w:p>
    <w:p w14:paraId="7979335B" w14:textId="49DE40F4" w:rsidR="00471BBB" w:rsidRDefault="00471BBB" w:rsidP="00471BBB">
      <w:pPr>
        <w:ind w:left="900" w:hanging="900"/>
        <w:rPr>
          <w:rFonts w:cs="Times New Roman (Body CS)"/>
        </w:rPr>
      </w:pPr>
      <w:r w:rsidRPr="001C7DF5">
        <w:rPr>
          <w:rFonts w:ascii="Arial Narrow" w:hAnsi="Arial Narrow"/>
          <w:b/>
          <w:bCs/>
          <w:smallCaps/>
          <w:sz w:val="18"/>
          <w:szCs w:val="18"/>
        </w:rPr>
        <w:t>DATE</w:t>
      </w:r>
      <w:r w:rsidRPr="001C7DF5">
        <w:rPr>
          <w:b/>
          <w:bCs/>
          <w:smallCaps/>
          <w:sz w:val="18"/>
          <w:szCs w:val="18"/>
        </w:rPr>
        <w:t>:</w:t>
      </w:r>
      <w:r w:rsidRPr="00471BBB">
        <w:rPr>
          <w:smallCaps/>
          <w:sz w:val="22"/>
          <w:szCs w:val="22"/>
        </w:rPr>
        <w:tab/>
      </w:r>
      <w:r w:rsidR="00DE0A2B">
        <w:rPr>
          <w:rFonts w:cs="Times New Roman (Body CS)"/>
        </w:rPr>
        <w:t>26 June 2022</w:t>
      </w:r>
    </w:p>
    <w:p w14:paraId="35C217D8" w14:textId="77777777" w:rsidR="00241E5C" w:rsidRDefault="00241E5C" w:rsidP="00241E5C">
      <w:pPr>
        <w:rPr>
          <w:sz w:val="18"/>
          <w:szCs w:val="18"/>
        </w:rPr>
      </w:pPr>
    </w:p>
    <w:p w14:paraId="39B432F4" w14:textId="15CEBD02" w:rsidR="00471BBB" w:rsidRPr="0055140B" w:rsidRDefault="00241E5C" w:rsidP="00471BBB">
      <w:pPr>
        <w:ind w:left="900" w:hanging="900"/>
        <w:rPr>
          <w:rFonts w:ascii="Georgia" w:hAnsi="Georgia" w:cs="Times New Roman (Body CS)"/>
        </w:rPr>
      </w:pPr>
      <w:r>
        <w:rPr>
          <w:rFonts w:ascii="Arial Narrow" w:hAnsi="Arial Narrow"/>
          <w:b/>
          <w:bCs/>
          <w:smallCaps/>
          <w:sz w:val="18"/>
          <w:szCs w:val="18"/>
        </w:rPr>
        <w:t>RE</w:t>
      </w:r>
      <w:r w:rsidR="00471BBB" w:rsidRPr="001C7DF5">
        <w:rPr>
          <w:rFonts w:ascii="Arial Narrow" w:hAnsi="Arial Narrow"/>
          <w:b/>
          <w:bCs/>
          <w:smallCaps/>
          <w:sz w:val="18"/>
          <w:szCs w:val="18"/>
        </w:rPr>
        <w:t>:</w:t>
      </w:r>
      <w:r w:rsidR="00471BBB" w:rsidRPr="00471BBB">
        <w:rPr>
          <w:smallCaps/>
          <w:sz w:val="22"/>
          <w:szCs w:val="22"/>
        </w:rPr>
        <w:tab/>
      </w:r>
      <w:r w:rsidR="0070652A" w:rsidRPr="0055140B">
        <w:rPr>
          <w:rFonts w:ascii="Georgia" w:hAnsi="Georgia" w:cs="Times New Roman (Body CS)"/>
        </w:rPr>
        <w:t>Essay</w:t>
      </w:r>
      <w:r w:rsidRPr="0055140B">
        <w:rPr>
          <w:rFonts w:ascii="Georgia" w:hAnsi="Georgia" w:cs="Times New Roman (Body CS)"/>
        </w:rPr>
        <w:t xml:space="preserve"> </w:t>
      </w:r>
      <w:r w:rsidR="00A46DB9" w:rsidRPr="0055140B">
        <w:rPr>
          <w:rFonts w:ascii="Georgia" w:hAnsi="Georgia" w:cs="Times New Roman (Body CS)"/>
        </w:rPr>
        <w:t>available</w:t>
      </w:r>
      <w:r w:rsidR="00C430B2" w:rsidRPr="0055140B">
        <w:rPr>
          <w:rFonts w:ascii="Georgia" w:hAnsi="Georgia" w:cs="Times New Roman (Body CS)"/>
        </w:rPr>
        <w:t xml:space="preserve"> online</w:t>
      </w:r>
      <w:r w:rsidR="00A03921">
        <w:rPr>
          <w:rFonts w:ascii="Georgia" w:hAnsi="Georgia" w:cs="Times New Roman (Body CS)"/>
        </w:rPr>
        <w:t xml:space="preserve"> at </w:t>
      </w:r>
      <w:r w:rsidR="00A03921" w:rsidRPr="00A4259B">
        <w:rPr>
          <w:rFonts w:ascii="Georgia" w:hAnsi="Georgia" w:cs="Times New Roman (Body CS)"/>
        </w:rPr>
        <w:t>https://bit.ly/PAPetroComp</w:t>
      </w:r>
      <w:r w:rsidR="00A46DB9" w:rsidRPr="0055140B">
        <w:rPr>
          <w:rFonts w:ascii="Georgia" w:hAnsi="Georgia" w:cs="Times New Roman (Body CS)"/>
        </w:rPr>
        <w:t xml:space="preserve"> — </w:t>
      </w:r>
      <w:r w:rsidR="000B383D" w:rsidRPr="0055140B">
        <w:rPr>
          <w:rFonts w:ascii="Georgia" w:hAnsi="Georgia" w:cs="AppleSystemUIFont"/>
          <w:i/>
          <w:iCs/>
        </w:rPr>
        <w:t>Questions Remain About Potential Economic Impact of Soon-to-Open Pennsylvania Petrochemicals Complex</w:t>
      </w:r>
    </w:p>
    <w:p w14:paraId="44C08AE2" w14:textId="77777777" w:rsidR="00A46DB9" w:rsidRDefault="00A46DB9" w:rsidP="00A46DB9">
      <w:pPr>
        <w:rPr>
          <w:sz w:val="18"/>
          <w:szCs w:val="18"/>
        </w:rPr>
      </w:pPr>
    </w:p>
    <w:p w14:paraId="299CE51B" w14:textId="425A9D79" w:rsidR="00A46DB9" w:rsidRPr="0055140B" w:rsidRDefault="00A46DB9" w:rsidP="00A46DB9">
      <w:pPr>
        <w:ind w:left="900" w:hanging="900"/>
        <w:rPr>
          <w:rFonts w:ascii="Georgia" w:hAnsi="Georgia" w:cs="Times New Roman (Body CS)"/>
        </w:rPr>
      </w:pPr>
      <w:r>
        <w:rPr>
          <w:rFonts w:ascii="Arial Narrow" w:hAnsi="Arial Narrow"/>
          <w:b/>
          <w:bCs/>
          <w:smallCaps/>
          <w:sz w:val="18"/>
          <w:szCs w:val="18"/>
        </w:rPr>
        <w:t>CONTACT</w:t>
      </w:r>
      <w:r w:rsidRPr="001C7DF5">
        <w:rPr>
          <w:rFonts w:ascii="Arial Narrow" w:hAnsi="Arial Narrow"/>
          <w:b/>
          <w:bCs/>
          <w:smallCaps/>
          <w:sz w:val="18"/>
          <w:szCs w:val="18"/>
        </w:rPr>
        <w:t>:</w:t>
      </w:r>
      <w:r w:rsidRPr="00471BBB">
        <w:rPr>
          <w:smallCaps/>
          <w:sz w:val="22"/>
          <w:szCs w:val="22"/>
        </w:rPr>
        <w:tab/>
      </w:r>
      <w:r w:rsidRPr="0055140B">
        <w:rPr>
          <w:rFonts w:ascii="Georgia" w:hAnsi="Georgia" w:cs="Times New Roman (Body CS)"/>
        </w:rPr>
        <w:t>David Passmore</w:t>
      </w:r>
    </w:p>
    <w:p w14:paraId="2958021A" w14:textId="551FA738" w:rsidR="00A46DB9" w:rsidRPr="0055140B" w:rsidRDefault="00A46DB9" w:rsidP="00A46DB9">
      <w:pPr>
        <w:ind w:left="900" w:hanging="900"/>
        <w:rPr>
          <w:rFonts w:ascii="Georgia" w:hAnsi="Georgia" w:cs="Times New Roman (Body CS)"/>
        </w:rPr>
      </w:pPr>
      <w:r w:rsidRPr="0055140B">
        <w:rPr>
          <w:rFonts w:ascii="Georgia" w:hAnsi="Georgia"/>
          <w:b/>
          <w:bCs/>
          <w:smallCaps/>
          <w:sz w:val="18"/>
          <w:szCs w:val="18"/>
        </w:rPr>
        <w:tab/>
      </w:r>
      <w:r w:rsidRPr="0055140B">
        <w:rPr>
          <w:rFonts w:ascii="Georgia" w:hAnsi="Georgia" w:cs="Times New Roman (Body CS)"/>
        </w:rPr>
        <w:t>https://David Passmore.net</w:t>
      </w:r>
    </w:p>
    <w:p w14:paraId="3A5F01FC" w14:textId="53C8A8B1" w:rsidR="00A46DB9" w:rsidRPr="0055140B" w:rsidRDefault="00A46DB9" w:rsidP="00A46DB9">
      <w:pPr>
        <w:ind w:left="900" w:hanging="900"/>
        <w:rPr>
          <w:rFonts w:ascii="Georgia" w:hAnsi="Georgia" w:cs="Times New Roman (Body CS)"/>
        </w:rPr>
      </w:pPr>
      <w:r w:rsidRPr="0055140B">
        <w:rPr>
          <w:rFonts w:ascii="Georgia" w:hAnsi="Georgia" w:cs="Times New Roman (Body CS)"/>
        </w:rPr>
        <w:tab/>
        <w:t>+1.814.571.8937 (mobile or text</w:t>
      </w:r>
      <w:r w:rsidR="00C216CD">
        <w:rPr>
          <w:rFonts w:ascii="Georgia" w:hAnsi="Georgia" w:cs="Times New Roman (Body CS)"/>
        </w:rPr>
        <w:t>)</w:t>
      </w:r>
    </w:p>
    <w:p w14:paraId="79A16F64" w14:textId="797CEB4C" w:rsidR="00A46DB9" w:rsidRPr="0055140B" w:rsidRDefault="00A46DB9" w:rsidP="000B383D">
      <w:pPr>
        <w:ind w:left="900"/>
        <w:rPr>
          <w:rFonts w:ascii="Georgia" w:hAnsi="Georgia" w:cs="Times New Roman (Body CS)"/>
        </w:rPr>
      </w:pPr>
      <w:r w:rsidRPr="0055140B">
        <w:rPr>
          <w:rFonts w:ascii="Georgia" w:hAnsi="Georgia" w:cs="Times New Roman (Body CS)"/>
        </w:rPr>
        <w:t>Available by Zoom or Skype</w:t>
      </w:r>
      <w:r w:rsidR="00C216CD">
        <w:rPr>
          <w:rFonts w:ascii="Georgia" w:hAnsi="Georgia" w:cs="Times New Roman (Body CS)"/>
        </w:rPr>
        <w:t xml:space="preserve"> (schedule with Passmore)</w:t>
      </w:r>
    </w:p>
    <w:p w14:paraId="42AC25A3" w14:textId="77777777" w:rsidR="0070652A" w:rsidRPr="0070652A" w:rsidRDefault="0070652A" w:rsidP="0070652A">
      <w:pPr>
        <w:spacing w:line="300" w:lineRule="atLeast"/>
        <w:rPr>
          <w:rFonts w:cs="Times New Roman (Body CS)"/>
        </w:rPr>
      </w:pPr>
    </w:p>
    <w:p w14:paraId="612CC012" w14:textId="43D73A72" w:rsidR="0070652A" w:rsidRPr="00A4259B" w:rsidRDefault="0070652A" w:rsidP="0070652A">
      <w:pPr>
        <w:spacing w:line="300" w:lineRule="atLeast"/>
        <w:rPr>
          <w:rFonts w:ascii="Georgia" w:hAnsi="Georgia" w:cs="Times New Roman (Body CS)"/>
        </w:rPr>
      </w:pPr>
      <w:r w:rsidRPr="00A4259B">
        <w:rPr>
          <w:rFonts w:ascii="Georgia" w:hAnsi="Georgia" w:cs="Times New Roman (Body CS)"/>
        </w:rPr>
        <w:t xml:space="preserve">I recently completed an essay about the soon-to-open Pennsylvania Petrochemicals Complex run by Shell Chemical Appalachia in Beaver County, PA. </w:t>
      </w:r>
      <w:r w:rsidR="00A03921">
        <w:rPr>
          <w:rFonts w:ascii="Georgia" w:hAnsi="Georgia" w:cs="Times New Roman (Body CS)"/>
        </w:rPr>
        <w:t>I</w:t>
      </w:r>
      <w:r w:rsidRPr="00A4259B">
        <w:rPr>
          <w:rFonts w:ascii="Georgia" w:hAnsi="Georgia" w:cs="Times New Roman (Body CS)"/>
        </w:rPr>
        <w:t>n that essay</w:t>
      </w:r>
      <w:r w:rsidR="004C09E1">
        <w:rPr>
          <w:rFonts w:ascii="Georgia" w:hAnsi="Georgia" w:cs="Times New Roman (Body CS)"/>
        </w:rPr>
        <w:t>,</w:t>
      </w:r>
      <w:r w:rsidRPr="00A4259B">
        <w:rPr>
          <w:rFonts w:ascii="Georgia" w:hAnsi="Georgia" w:cs="Times New Roman (Body CS)"/>
        </w:rPr>
        <w:t xml:space="preserve"> I assert that questions remain about the potential economic impact of the Complex</w:t>
      </w:r>
      <w:r w:rsidR="00A03921">
        <w:rPr>
          <w:rFonts w:ascii="Georgia" w:hAnsi="Georgia" w:cs="Times New Roman (Body CS)"/>
        </w:rPr>
        <w:t>. Estimates of this impact</w:t>
      </w:r>
      <w:r w:rsidR="0030202F" w:rsidRPr="00A4259B">
        <w:rPr>
          <w:rFonts w:ascii="Georgia" w:hAnsi="Georgia" w:cs="Times New Roman (Body CS)"/>
        </w:rPr>
        <w:t xml:space="preserve"> </w:t>
      </w:r>
      <w:r w:rsidR="00A03921">
        <w:rPr>
          <w:rFonts w:ascii="Georgia" w:hAnsi="Georgia" w:cs="Times New Roman (Body CS)"/>
        </w:rPr>
        <w:t>have driven</w:t>
      </w:r>
      <w:r w:rsidR="0030202F" w:rsidRPr="00A4259B">
        <w:rPr>
          <w:rFonts w:ascii="Georgia" w:hAnsi="Georgia" w:cs="Times New Roman (Body CS)"/>
        </w:rPr>
        <w:t xml:space="preserve"> Commonwealth tax incentives and subsidies to </w:t>
      </w:r>
      <w:r w:rsidR="00A03921">
        <w:rPr>
          <w:rFonts w:ascii="Georgia" w:hAnsi="Georgia" w:cs="Times New Roman (Body CS)"/>
        </w:rPr>
        <w:t xml:space="preserve">support </w:t>
      </w:r>
      <w:r w:rsidR="0030202F" w:rsidRPr="00A4259B">
        <w:rPr>
          <w:rFonts w:ascii="Georgia" w:hAnsi="Georgia" w:cs="Times New Roman (Body CS)"/>
        </w:rPr>
        <w:t>build</w:t>
      </w:r>
      <w:r w:rsidR="00A03921">
        <w:rPr>
          <w:rFonts w:ascii="Georgia" w:hAnsi="Georgia" w:cs="Times New Roman (Body CS)"/>
        </w:rPr>
        <w:t>ing</w:t>
      </w:r>
      <w:r w:rsidR="0030202F" w:rsidRPr="00A4259B">
        <w:rPr>
          <w:rFonts w:ascii="Georgia" w:hAnsi="Georgia" w:cs="Times New Roman (Body CS)"/>
        </w:rPr>
        <w:t xml:space="preserve"> and operat</w:t>
      </w:r>
      <w:r w:rsidR="00A03921">
        <w:rPr>
          <w:rFonts w:ascii="Georgia" w:hAnsi="Georgia" w:cs="Times New Roman (Body CS)"/>
        </w:rPr>
        <w:t>ing</w:t>
      </w:r>
      <w:r w:rsidR="0030202F" w:rsidRPr="00A4259B">
        <w:rPr>
          <w:rFonts w:ascii="Georgia" w:hAnsi="Georgia" w:cs="Times New Roman (Body CS)"/>
        </w:rPr>
        <w:t xml:space="preserve"> the Complex</w:t>
      </w:r>
      <w:r w:rsidRPr="00A4259B">
        <w:rPr>
          <w:rFonts w:ascii="Georgia" w:hAnsi="Georgia" w:cs="Times New Roman (Body CS)"/>
        </w:rPr>
        <w:t>.</w:t>
      </w:r>
    </w:p>
    <w:p w14:paraId="7EA8A67C" w14:textId="77777777" w:rsidR="00171D24" w:rsidRPr="00A4259B" w:rsidRDefault="00171D24" w:rsidP="00171D24">
      <w:pPr>
        <w:rPr>
          <w:rFonts w:ascii="Georgia" w:hAnsi="Georgia"/>
          <w:sz w:val="18"/>
          <w:szCs w:val="18"/>
        </w:rPr>
      </w:pPr>
    </w:p>
    <w:p w14:paraId="55B3A82A" w14:textId="762BA3E0" w:rsidR="0070652A" w:rsidRPr="00A4259B" w:rsidRDefault="0070652A" w:rsidP="0070652A">
      <w:pPr>
        <w:spacing w:line="300" w:lineRule="atLeast"/>
        <w:rPr>
          <w:rFonts w:ascii="Georgia" w:hAnsi="Georgia" w:cs="Times New Roman (Body CS)"/>
        </w:rPr>
      </w:pPr>
      <w:r w:rsidRPr="00A4259B">
        <w:rPr>
          <w:rFonts w:ascii="Georgia" w:hAnsi="Georgia" w:cs="Times New Roman (Body CS)"/>
        </w:rPr>
        <w:t xml:space="preserve">The essay appears in my blog, </w:t>
      </w:r>
      <w:r w:rsidRPr="00A4259B">
        <w:rPr>
          <w:rFonts w:ascii="Georgia" w:hAnsi="Georgia" w:cs="Times New Roman (Body CS)"/>
          <w:i/>
          <w:iCs/>
        </w:rPr>
        <w:t>Notes from Pittsburgh</w:t>
      </w:r>
      <w:r w:rsidR="00EC07C4">
        <w:rPr>
          <w:rFonts w:ascii="Georgia" w:hAnsi="Georgia" w:cs="Times New Roman (Body CS)"/>
        </w:rPr>
        <w:t xml:space="preserve"> — </w:t>
      </w:r>
      <w:r w:rsidRPr="00A4259B">
        <w:rPr>
          <w:rFonts w:ascii="Georgia" w:hAnsi="Georgia" w:cs="Times New Roman (Body CS)"/>
        </w:rPr>
        <w:t xml:space="preserve">and </w:t>
      </w:r>
      <w:r w:rsidR="00D97EC2">
        <w:rPr>
          <w:rFonts w:ascii="Georgia" w:hAnsi="Georgia" w:cs="Times New Roman (Body CS)"/>
        </w:rPr>
        <w:t>“</w:t>
      </w:r>
      <w:r w:rsidR="00EC07C4">
        <w:rPr>
          <w:rFonts w:ascii="Georgia" w:hAnsi="Georgia" w:cs="Times New Roman (Body CS)"/>
        </w:rPr>
        <w:t>notes</w:t>
      </w:r>
      <w:r w:rsidR="00D97EC2">
        <w:rPr>
          <w:rFonts w:ascii="Georgia" w:hAnsi="Georgia" w:cs="Times New Roman (Body CS)"/>
        </w:rPr>
        <w:t>”</w:t>
      </w:r>
      <w:r w:rsidR="00EC07C4">
        <w:rPr>
          <w:rFonts w:ascii="Georgia" w:hAnsi="Georgia" w:cs="Times New Roman (Body CS)"/>
        </w:rPr>
        <w:t xml:space="preserve"> is an</w:t>
      </w:r>
      <w:r w:rsidRPr="00A4259B">
        <w:rPr>
          <w:rFonts w:ascii="Georgia" w:hAnsi="Georgia" w:cs="Times New Roman (Body CS)"/>
        </w:rPr>
        <w:t xml:space="preserve"> apt tag</w:t>
      </w:r>
      <w:r w:rsidR="00EC07C4">
        <w:rPr>
          <w:rFonts w:ascii="Georgia" w:hAnsi="Georgia" w:cs="Times New Roman (Body CS)"/>
        </w:rPr>
        <w:t>.</w:t>
      </w:r>
      <w:r w:rsidRPr="00A4259B">
        <w:rPr>
          <w:rFonts w:ascii="Georgia" w:hAnsi="Georgia" w:cs="Times New Roman (Body CS)"/>
        </w:rPr>
        <w:t xml:space="preserve"> The blog posting is an online notebook documenting what I have been learning about the Complex. I wrote this essay for my use</w:t>
      </w:r>
      <w:r w:rsidR="0030202F" w:rsidRPr="00A4259B">
        <w:rPr>
          <w:rFonts w:ascii="Georgia" w:hAnsi="Georgia" w:cs="Times New Roman (Body CS)"/>
        </w:rPr>
        <w:t xml:space="preserve"> in other research work</w:t>
      </w:r>
      <w:r w:rsidRPr="00A4259B">
        <w:rPr>
          <w:rFonts w:ascii="Georgia" w:hAnsi="Georgia" w:cs="Times New Roman (Body CS)"/>
        </w:rPr>
        <w:t>, but I believe it contains some observations that might serve a wider audience.</w:t>
      </w:r>
    </w:p>
    <w:p w14:paraId="2707D564" w14:textId="77777777" w:rsidR="00171D24" w:rsidRPr="00A4259B" w:rsidRDefault="00171D24" w:rsidP="00171D24">
      <w:pPr>
        <w:rPr>
          <w:rFonts w:ascii="Georgia" w:hAnsi="Georgia"/>
          <w:sz w:val="18"/>
          <w:szCs w:val="18"/>
        </w:rPr>
      </w:pPr>
    </w:p>
    <w:p w14:paraId="11DE389D" w14:textId="7A5C5915" w:rsidR="0070652A" w:rsidRPr="00A4259B" w:rsidRDefault="0070652A" w:rsidP="0070652A">
      <w:pPr>
        <w:spacing w:line="300" w:lineRule="atLeast"/>
        <w:rPr>
          <w:rFonts w:ascii="Georgia" w:hAnsi="Georgia" w:cs="Times New Roman (Body CS)"/>
        </w:rPr>
      </w:pPr>
      <w:r w:rsidRPr="00A4259B">
        <w:rPr>
          <w:rFonts w:ascii="Georgia" w:hAnsi="Georgia" w:cs="Times New Roman (Body CS)"/>
        </w:rPr>
        <w:t xml:space="preserve">I do not have special training </w:t>
      </w:r>
      <w:r w:rsidR="00EC07C4">
        <w:rPr>
          <w:rFonts w:ascii="Georgia" w:hAnsi="Georgia" w:cs="Times New Roman (Body CS)"/>
        </w:rPr>
        <w:t>in</w:t>
      </w:r>
      <w:r w:rsidRPr="00A4259B">
        <w:rPr>
          <w:rFonts w:ascii="Georgia" w:hAnsi="Georgia" w:cs="Times New Roman (Body CS)"/>
        </w:rPr>
        <w:t xml:space="preserve"> policy, regulations, legislation, and politics about climate and environment relevant to the Complex. To improve my knowledge, I included </w:t>
      </w:r>
      <w:r w:rsidR="00D15967">
        <w:rPr>
          <w:rFonts w:ascii="Georgia" w:hAnsi="Georgia" w:cs="Times New Roman (Body CS)"/>
        </w:rPr>
        <w:t xml:space="preserve">in my essay </w:t>
      </w:r>
      <w:r w:rsidRPr="00A4259B">
        <w:rPr>
          <w:rFonts w:ascii="Georgia" w:hAnsi="Georgia" w:cs="Times New Roman (Body CS)"/>
        </w:rPr>
        <w:t xml:space="preserve">my observations from reporting and </w:t>
      </w:r>
      <w:r w:rsidR="00EC07C4">
        <w:rPr>
          <w:rFonts w:ascii="Georgia" w:hAnsi="Georgia" w:cs="Times New Roman (Body CS)"/>
        </w:rPr>
        <w:t xml:space="preserve">the </w:t>
      </w:r>
      <w:r w:rsidRPr="00A4259B">
        <w:rPr>
          <w:rFonts w:ascii="Georgia" w:hAnsi="Georgia" w:cs="Times New Roman (Body CS)"/>
        </w:rPr>
        <w:t>literature I gathered about the Complex.</w:t>
      </w:r>
    </w:p>
    <w:p w14:paraId="729217FF" w14:textId="77777777" w:rsidR="00171D24" w:rsidRPr="00A4259B" w:rsidRDefault="00171D24" w:rsidP="00171D24">
      <w:pPr>
        <w:rPr>
          <w:rFonts w:ascii="Georgia" w:hAnsi="Georgia"/>
          <w:sz w:val="18"/>
          <w:szCs w:val="18"/>
        </w:rPr>
      </w:pPr>
    </w:p>
    <w:p w14:paraId="37AEB224" w14:textId="16D11DEA" w:rsidR="0070652A" w:rsidRPr="00A4259B" w:rsidRDefault="0070652A" w:rsidP="0070652A">
      <w:pPr>
        <w:spacing w:line="300" w:lineRule="atLeast"/>
        <w:rPr>
          <w:rFonts w:ascii="Georgia" w:hAnsi="Georgia" w:cs="Times New Roman (Body CS)"/>
        </w:rPr>
      </w:pPr>
      <w:r w:rsidRPr="00A4259B">
        <w:rPr>
          <w:rFonts w:ascii="Georgia" w:hAnsi="Georgia" w:cs="Times New Roman (Body CS)"/>
        </w:rPr>
        <w:t xml:space="preserve">I do, however, have almost 45 years of experience with economic analysis. In particular, I have completed about 130 economic impact analyses using the same methods employed to estimate the economic impact of the Complex. I use this expertise </w:t>
      </w:r>
      <w:r w:rsidR="00EC07C4">
        <w:rPr>
          <w:rFonts w:ascii="Georgia" w:hAnsi="Georgia" w:cs="Times New Roman (Body CS)"/>
        </w:rPr>
        <w:t>to critically review a Robert Morris University report,</w:t>
      </w:r>
      <w:r w:rsidRPr="00A4259B">
        <w:rPr>
          <w:rFonts w:ascii="Georgia" w:hAnsi="Georgia" w:cs="Times New Roman (Body CS)"/>
        </w:rPr>
        <w:t xml:space="preserve"> </w:t>
      </w:r>
      <w:r w:rsidRPr="00A4259B">
        <w:rPr>
          <w:rFonts w:ascii="Georgia" w:hAnsi="Georgia" w:cs="Times New Roman (Body CS)"/>
          <w:i/>
          <w:iCs/>
        </w:rPr>
        <w:t>Updated Economic Impact Analysis: Petrochemical Facility in Beaver County, Pennsylvania</w:t>
      </w:r>
      <w:r w:rsidR="005F40F2">
        <w:rPr>
          <w:rFonts w:ascii="Georgia" w:hAnsi="Georgia" w:cs="Times New Roman (Body CS)"/>
        </w:rPr>
        <w:t xml:space="preserve">. </w:t>
      </w:r>
      <w:r w:rsidR="005F40F2" w:rsidRPr="005F40F2">
        <w:rPr>
          <w:rFonts w:ascii="Georgia" w:hAnsi="Georgia" w:cs="Times New Roman (Body CS)"/>
        </w:rPr>
        <w:t>Many readers of the Robert Morris report might</w:t>
      </w:r>
      <w:r w:rsidR="00970F02">
        <w:rPr>
          <w:rFonts w:ascii="Georgia" w:hAnsi="Georgia" w:cs="Times New Roman (Body CS)"/>
        </w:rPr>
        <w:t xml:space="preserve"> find</w:t>
      </w:r>
      <w:r w:rsidR="005F40F2" w:rsidRPr="005F40F2">
        <w:rPr>
          <w:rFonts w:ascii="Georgia" w:hAnsi="Georgia" w:cs="Times New Roman (Body CS)"/>
        </w:rPr>
        <w:t xml:space="preserve"> </w:t>
      </w:r>
      <w:r w:rsidR="005F40F2">
        <w:rPr>
          <w:rFonts w:ascii="Georgia" w:hAnsi="Georgia" w:cs="Times New Roman (Body CS)"/>
        </w:rPr>
        <w:t>it as</w:t>
      </w:r>
      <w:r w:rsidR="005F40F2" w:rsidRPr="005F40F2">
        <w:rPr>
          <w:rFonts w:ascii="Georgia" w:hAnsi="Georgia" w:cs="Times New Roman (Body CS)"/>
        </w:rPr>
        <w:t xml:space="preserve"> persuasive evidence </w:t>
      </w:r>
      <w:r w:rsidR="005F40F2">
        <w:rPr>
          <w:rFonts w:ascii="Georgia" w:hAnsi="Georgia" w:cs="Times New Roman (Body CS)"/>
        </w:rPr>
        <w:t xml:space="preserve">to answer </w:t>
      </w:r>
      <w:r w:rsidR="005F40F2" w:rsidRPr="005F40F2">
        <w:rPr>
          <w:rFonts w:ascii="Georgia" w:hAnsi="Georgia" w:cs="Times New Roman (Body CS)"/>
        </w:rPr>
        <w:t>questions about the potential impact of the Complex on the regional economy.</w:t>
      </w:r>
    </w:p>
    <w:p w14:paraId="69AF7417" w14:textId="77777777" w:rsidR="00171D24" w:rsidRPr="00A4259B" w:rsidRDefault="00171D24" w:rsidP="00171D24">
      <w:pPr>
        <w:rPr>
          <w:rFonts w:ascii="Georgia" w:hAnsi="Georgia"/>
          <w:sz w:val="18"/>
          <w:szCs w:val="18"/>
        </w:rPr>
      </w:pPr>
    </w:p>
    <w:p w14:paraId="24286199" w14:textId="75259DCE" w:rsidR="0070652A" w:rsidRPr="00A4259B" w:rsidRDefault="0070652A" w:rsidP="0070652A">
      <w:pPr>
        <w:spacing w:line="300" w:lineRule="atLeast"/>
        <w:rPr>
          <w:rFonts w:ascii="Georgia" w:hAnsi="Georgia" w:cs="Times New Roman (Body CS)"/>
        </w:rPr>
      </w:pPr>
      <w:r w:rsidRPr="00A4259B">
        <w:rPr>
          <w:rFonts w:ascii="Georgia" w:hAnsi="Georgia" w:cs="Times New Roman (Body CS)"/>
        </w:rPr>
        <w:t xml:space="preserve">Robert Morris faculty members created an </w:t>
      </w:r>
      <w:r w:rsidR="00D97EC2">
        <w:rPr>
          <w:rFonts w:ascii="Georgia" w:hAnsi="Georgia" w:cs="Times New Roman (Body CS)"/>
        </w:rPr>
        <w:t>“</w:t>
      </w:r>
      <w:r w:rsidRPr="00A4259B">
        <w:rPr>
          <w:rFonts w:ascii="Georgia" w:hAnsi="Georgia" w:cs="Times New Roman (Body CS)"/>
        </w:rPr>
        <w:t>independent analysis of the economic impact of the construction and operation of the contemplated petrochemical facility</w:t>
      </w:r>
      <w:r w:rsidR="00D97EC2">
        <w:rPr>
          <w:rFonts w:ascii="Georgia" w:hAnsi="Georgia" w:cs="Times New Roman (Body CS)"/>
        </w:rPr>
        <w:t>”</w:t>
      </w:r>
      <w:r w:rsidRPr="00A4259B">
        <w:rPr>
          <w:rFonts w:ascii="Georgia" w:hAnsi="Georgia" w:cs="Times New Roman (Body CS)"/>
        </w:rPr>
        <w:t xml:space="preserve"> by examining </w:t>
      </w:r>
      <w:r w:rsidR="00D97EC2">
        <w:rPr>
          <w:rFonts w:ascii="Georgia" w:hAnsi="Georgia" w:cs="Times New Roman (Body CS)"/>
        </w:rPr>
        <w:t>“</w:t>
      </w:r>
      <w:r w:rsidRPr="00A4259B">
        <w:rPr>
          <w:rFonts w:ascii="Georgia" w:hAnsi="Georgia" w:cs="Times New Roman (Body CS)"/>
        </w:rPr>
        <w:t>direct economic changes in job creation and overall economic output, focusing on the construction and operational phases of the Project.</w:t>
      </w:r>
      <w:r w:rsidR="00D97EC2">
        <w:rPr>
          <w:rFonts w:ascii="Georgia" w:hAnsi="Georgia" w:cs="Times New Roman (Body CS)"/>
        </w:rPr>
        <w:t>”</w:t>
      </w:r>
      <w:r w:rsidRPr="00A4259B">
        <w:rPr>
          <w:rFonts w:ascii="Georgia" w:hAnsi="Georgia" w:cs="Times New Roman (Body CS)"/>
        </w:rPr>
        <w:t xml:space="preserve"> The core of my essay is my assessment of their analysis.</w:t>
      </w:r>
    </w:p>
    <w:p w14:paraId="0B058A46" w14:textId="77777777" w:rsidR="00171D24" w:rsidRPr="00A4259B" w:rsidRDefault="00171D24" w:rsidP="00171D24">
      <w:pPr>
        <w:rPr>
          <w:rFonts w:ascii="Georgia" w:hAnsi="Georgia"/>
          <w:sz w:val="18"/>
          <w:szCs w:val="18"/>
        </w:rPr>
      </w:pPr>
    </w:p>
    <w:p w14:paraId="7AA342B6" w14:textId="2FA1EF91" w:rsidR="00A873AE" w:rsidRPr="00A4259B" w:rsidRDefault="0070652A" w:rsidP="00A873AE">
      <w:pPr>
        <w:spacing w:line="300" w:lineRule="atLeast"/>
        <w:rPr>
          <w:rFonts w:ascii="Georgia" w:hAnsi="Georgia" w:cs="Times New Roman (Body CS)"/>
        </w:rPr>
      </w:pPr>
      <w:r w:rsidRPr="00A4259B">
        <w:rPr>
          <w:rFonts w:ascii="Georgia" w:hAnsi="Georgia" w:cs="Times New Roman (Body CS)"/>
        </w:rPr>
        <w:lastRenderedPageBreak/>
        <w:t>My essay is</w:t>
      </w:r>
      <w:r w:rsidR="00DE4A43">
        <w:rPr>
          <w:rFonts w:ascii="Georgia" w:hAnsi="Georgia" w:cs="Times New Roman (Body CS)"/>
        </w:rPr>
        <w:t xml:space="preserve"> relatively</w:t>
      </w:r>
      <w:r w:rsidRPr="00A4259B">
        <w:rPr>
          <w:rFonts w:ascii="Georgia" w:hAnsi="Georgia" w:cs="Times New Roman (Body CS)"/>
        </w:rPr>
        <w:t xml:space="preserve"> long </w:t>
      </w:r>
      <w:r w:rsidR="00F07D64">
        <w:rPr>
          <w:rFonts w:ascii="Georgia" w:hAnsi="Georgia" w:cs="Times New Roman (Body CS)"/>
        </w:rPr>
        <w:t xml:space="preserve">for a blog posting </w:t>
      </w:r>
      <w:r w:rsidRPr="00A4259B">
        <w:rPr>
          <w:rFonts w:ascii="Georgia" w:hAnsi="Georgia" w:cs="Times New Roman (Body CS)"/>
        </w:rPr>
        <w:t xml:space="preserve">(17k words), considers </w:t>
      </w:r>
      <w:r w:rsidR="00F07D64">
        <w:rPr>
          <w:rFonts w:ascii="Georgia" w:hAnsi="Georgia" w:cs="Times New Roman (Body CS)"/>
        </w:rPr>
        <w:t xml:space="preserve">technical </w:t>
      </w:r>
      <w:r w:rsidR="00970F02">
        <w:rPr>
          <w:rFonts w:ascii="Georgia" w:hAnsi="Georgia" w:cs="Times New Roman (Body CS)"/>
        </w:rPr>
        <w:t xml:space="preserve">and </w:t>
      </w:r>
      <w:r w:rsidRPr="00A4259B">
        <w:rPr>
          <w:rFonts w:ascii="Georgia" w:hAnsi="Georgia" w:cs="Times New Roman (Body CS)"/>
        </w:rPr>
        <w:t>economic concepts, and focuses on</w:t>
      </w:r>
      <w:r w:rsidR="00A873AE" w:rsidRPr="00A4259B">
        <w:rPr>
          <w:rFonts w:ascii="Georgia" w:hAnsi="Georgia" w:cs="Times New Roman (Body CS)"/>
        </w:rPr>
        <w:t xml:space="preserve"> details rather than generalities. Read the complete essay, </w:t>
      </w:r>
      <w:r w:rsidR="00A873AE" w:rsidRPr="00A4259B">
        <w:rPr>
          <w:rFonts w:ascii="Georgia" w:hAnsi="Georgia" w:cs="Times New Roman (Body CS)"/>
          <w:i/>
          <w:iCs/>
        </w:rPr>
        <w:t>Questions Remain About Potential Economic Impact of Soon-to-Open Pennsylvania Petrochemicals Complex</w:t>
      </w:r>
      <w:r w:rsidR="00A873AE" w:rsidRPr="00A4259B">
        <w:rPr>
          <w:rFonts w:ascii="Georgia" w:hAnsi="Georgia" w:cs="Times New Roman (Body CS)"/>
        </w:rPr>
        <w:t>, through the following link:</w:t>
      </w:r>
    </w:p>
    <w:p w14:paraId="69BCB689" w14:textId="70ADD10D" w:rsidR="0070652A" w:rsidRPr="00A4259B" w:rsidRDefault="00C430B2" w:rsidP="00A873AE">
      <w:pPr>
        <w:spacing w:line="300" w:lineRule="atLeast"/>
        <w:rPr>
          <w:rFonts w:ascii="Georgia" w:hAnsi="Georgia" w:cs="Times New Roman (Body CS)"/>
        </w:rPr>
      </w:pPr>
      <w:r w:rsidRPr="00A4259B">
        <w:rPr>
          <w:rFonts w:ascii="Georgia" w:hAnsi="Georgia" w:cs="Times New Roman (Body CS)"/>
        </w:rPr>
        <w:t xml:space="preserve">https://bit.ly/PAPetroComp </w:t>
      </w:r>
      <w:r w:rsidRPr="00A4259B">
        <w:rPr>
          <w:rStyle w:val="FootnoteReference"/>
          <w:rFonts w:ascii="Georgia" w:hAnsi="Georgia" w:cs="Times New Roman (Body CS)"/>
        </w:rPr>
        <w:footnoteReference w:id="1"/>
      </w:r>
    </w:p>
    <w:p w14:paraId="1FF37A4F" w14:textId="77777777" w:rsidR="00786D41" w:rsidRPr="00A4259B" w:rsidRDefault="00786D41" w:rsidP="00786D41">
      <w:pPr>
        <w:rPr>
          <w:rFonts w:ascii="Georgia" w:hAnsi="Georgia" w:cs="Times New Roman (Body CS)"/>
          <w:sz w:val="16"/>
        </w:rPr>
      </w:pPr>
    </w:p>
    <w:p w14:paraId="07B3A394" w14:textId="45704778" w:rsidR="0070652A" w:rsidRPr="00A4259B" w:rsidRDefault="001D1B04" w:rsidP="0070652A">
      <w:pPr>
        <w:spacing w:line="300" w:lineRule="atLeast"/>
        <w:rPr>
          <w:rFonts w:ascii="Georgia" w:hAnsi="Georgia" w:cs="Times New Roman (Body CS)"/>
        </w:rPr>
      </w:pPr>
      <w:r w:rsidRPr="00A4259B">
        <w:rPr>
          <w:rFonts w:ascii="Georgia" w:hAnsi="Georgia" w:cs="Times New Roman (Body CS)"/>
        </w:rPr>
        <w:t xml:space="preserve">I </w:t>
      </w:r>
      <w:r w:rsidR="00D86A1A">
        <w:rPr>
          <w:rFonts w:ascii="Georgia" w:hAnsi="Georgia" w:cs="Times New Roman (Body CS)"/>
        </w:rPr>
        <w:t>reflect on</w:t>
      </w:r>
      <w:r w:rsidRPr="00A4259B">
        <w:rPr>
          <w:rFonts w:ascii="Georgia" w:hAnsi="Georgia" w:cs="Times New Roman (Body CS)"/>
        </w:rPr>
        <w:t xml:space="preserve"> six </w:t>
      </w:r>
      <w:r w:rsidR="0070652A" w:rsidRPr="00A4259B">
        <w:rPr>
          <w:rFonts w:ascii="Georgia" w:hAnsi="Georgia" w:cs="Times New Roman (Body CS)"/>
        </w:rPr>
        <w:t>main ideas in my essay</w:t>
      </w:r>
      <w:r w:rsidR="00EC07C4">
        <w:rPr>
          <w:rFonts w:ascii="Georgia" w:hAnsi="Georgia" w:cs="Times New Roman (Body CS)"/>
        </w:rPr>
        <w:t xml:space="preserve"> to </w:t>
      </w:r>
      <w:r w:rsidR="00F07D64">
        <w:rPr>
          <w:rFonts w:ascii="Georgia" w:hAnsi="Georgia" w:cs="Times New Roman (Body CS)"/>
        </w:rPr>
        <w:t>render</w:t>
      </w:r>
      <w:r w:rsidR="00EC07C4">
        <w:rPr>
          <w:rFonts w:ascii="Georgia" w:hAnsi="Georgia" w:cs="Times New Roman (Body CS)"/>
        </w:rPr>
        <w:t xml:space="preserve"> my blog posting to its essentials</w:t>
      </w:r>
      <w:r w:rsidRPr="00A4259B">
        <w:rPr>
          <w:rFonts w:ascii="Georgia" w:hAnsi="Georgia" w:cs="Times New Roman (Body CS)"/>
        </w:rPr>
        <w:t>.</w:t>
      </w:r>
    </w:p>
    <w:p w14:paraId="11971745" w14:textId="77777777" w:rsidR="0070652A" w:rsidRPr="00A4259B" w:rsidRDefault="0070652A" w:rsidP="00B57473">
      <w:pPr>
        <w:rPr>
          <w:rFonts w:ascii="Georgia" w:hAnsi="Georgia" w:cs="Times New Roman (Body CS)"/>
          <w:sz w:val="16"/>
        </w:rPr>
      </w:pPr>
    </w:p>
    <w:p w14:paraId="4B303F11" w14:textId="5B62C09A" w:rsidR="00A873AE" w:rsidRPr="00A4259B" w:rsidRDefault="0070652A" w:rsidP="00A873AE">
      <w:pPr>
        <w:pStyle w:val="ListParagraph"/>
        <w:numPr>
          <w:ilvl w:val="0"/>
          <w:numId w:val="14"/>
        </w:numPr>
        <w:spacing w:line="300" w:lineRule="atLeast"/>
        <w:ind w:left="360"/>
        <w:rPr>
          <w:rFonts w:ascii="Georgia" w:hAnsi="Georgia" w:cs="Times New Roman (Body CS)"/>
          <w:i/>
          <w:iCs/>
        </w:rPr>
      </w:pPr>
      <w:r w:rsidRPr="00A4259B">
        <w:rPr>
          <w:rFonts w:ascii="Georgia" w:hAnsi="Georgia" w:cs="Times New Roman (Body CS)"/>
          <w:i/>
          <w:iCs/>
        </w:rPr>
        <w:t>Shell has built and will operate the Pennsylvania Petrochemicals Complex.</w:t>
      </w:r>
    </w:p>
    <w:p w14:paraId="69E394F6" w14:textId="77777777" w:rsidR="00DE4A43" w:rsidRPr="00DE4A43" w:rsidRDefault="00DE4A43" w:rsidP="00DE4A43">
      <w:pPr>
        <w:ind w:left="360"/>
        <w:rPr>
          <w:rFonts w:ascii="Georgia" w:hAnsi="Georgia" w:cs="Times New Roman (Body CS)"/>
          <w:sz w:val="16"/>
        </w:rPr>
      </w:pPr>
    </w:p>
    <w:p w14:paraId="6C6475E0" w14:textId="4DCFDEE5" w:rsidR="0070652A" w:rsidRPr="00A4259B" w:rsidRDefault="00EC07C4" w:rsidP="0055547D">
      <w:pPr>
        <w:spacing w:line="300" w:lineRule="atLeast"/>
        <w:ind w:left="360"/>
        <w:rPr>
          <w:rFonts w:ascii="Georgia" w:hAnsi="Georgia" w:cs="Times New Roman (Body CS)"/>
        </w:rPr>
      </w:pPr>
      <w:r>
        <w:rPr>
          <w:rFonts w:ascii="Georgia" w:hAnsi="Georgia" w:cs="Times New Roman (Body CS)"/>
        </w:rPr>
        <w:t>After</w:t>
      </w:r>
      <w:r w:rsidR="0070652A" w:rsidRPr="00A4259B">
        <w:rPr>
          <w:rFonts w:ascii="Georgia" w:hAnsi="Georgia" w:cs="Times New Roman (Body CS)"/>
        </w:rPr>
        <w:t xml:space="preserve"> a long planning period</w:t>
      </w:r>
      <w:r>
        <w:rPr>
          <w:rFonts w:ascii="Georgia" w:hAnsi="Georgia" w:cs="Times New Roman (Body CS)"/>
        </w:rPr>
        <w:t xml:space="preserve">, Shell </w:t>
      </w:r>
      <w:r w:rsidR="00970F02">
        <w:rPr>
          <w:rFonts w:ascii="Georgia" w:hAnsi="Georgia" w:cs="Times New Roman (Body CS)"/>
        </w:rPr>
        <w:t>invested</w:t>
      </w:r>
      <w:r w:rsidR="0070652A" w:rsidRPr="00A4259B">
        <w:rPr>
          <w:rFonts w:ascii="Georgia" w:hAnsi="Georgia" w:cs="Times New Roman (Body CS)"/>
        </w:rPr>
        <w:t xml:space="preserve"> in building and operating an ethane cracker to support polyethylene resin manufacturing at the 386-acre Pennsylvania Petrochemicals Complex adjacent to the Ohio River in Potter Township. Shell delayed, resized, or canceled many projects worldwide due to disruptions in worldwide oil and gas markets, even though the Complex project advanced. The Complex begins operation later in 2022.</w:t>
      </w:r>
    </w:p>
    <w:p w14:paraId="5AA7E7B6" w14:textId="77777777" w:rsidR="00786D41" w:rsidRPr="00786D41" w:rsidRDefault="00786D41" w:rsidP="00786D41">
      <w:pPr>
        <w:ind w:left="360"/>
        <w:rPr>
          <w:rFonts w:ascii="Georgia" w:hAnsi="Georgia" w:cs="Times New Roman (Body CS)"/>
          <w:sz w:val="16"/>
        </w:rPr>
      </w:pPr>
    </w:p>
    <w:p w14:paraId="0ED6A41E" w14:textId="77777777" w:rsidR="00A873AE" w:rsidRPr="00A4259B" w:rsidRDefault="0070652A" w:rsidP="00A873AE">
      <w:pPr>
        <w:pStyle w:val="ListParagraph"/>
        <w:numPr>
          <w:ilvl w:val="0"/>
          <w:numId w:val="14"/>
        </w:numPr>
        <w:spacing w:line="300" w:lineRule="atLeast"/>
        <w:ind w:left="360"/>
        <w:rPr>
          <w:rFonts w:ascii="Georgia" w:hAnsi="Georgia" w:cs="Times New Roman (Body CS)"/>
          <w:i/>
          <w:iCs/>
        </w:rPr>
      </w:pPr>
      <w:r w:rsidRPr="00A4259B">
        <w:rPr>
          <w:rFonts w:ascii="Georgia" w:hAnsi="Georgia" w:cs="Times New Roman (Body CS)"/>
          <w:i/>
          <w:iCs/>
        </w:rPr>
        <w:t>Pennsylvania citizens invested in the Complex.</w:t>
      </w:r>
    </w:p>
    <w:p w14:paraId="4E8A662D" w14:textId="77777777" w:rsidR="00DE4A43" w:rsidRPr="00DE4A43" w:rsidRDefault="00DE4A43" w:rsidP="00DE4A43">
      <w:pPr>
        <w:ind w:left="360"/>
        <w:rPr>
          <w:rFonts w:ascii="Georgia" w:hAnsi="Georgia" w:cs="Times New Roman (Body CS)"/>
          <w:sz w:val="16"/>
        </w:rPr>
      </w:pPr>
    </w:p>
    <w:p w14:paraId="714B122C" w14:textId="24CCB4F4" w:rsidR="0070652A" w:rsidRPr="00A4259B" w:rsidRDefault="0070652A" w:rsidP="0055547D">
      <w:pPr>
        <w:spacing w:line="300" w:lineRule="atLeast"/>
        <w:ind w:left="360"/>
        <w:rPr>
          <w:rFonts w:ascii="Georgia" w:hAnsi="Georgia" w:cs="Times New Roman (Body CS)"/>
        </w:rPr>
      </w:pPr>
      <w:r w:rsidRPr="00A4259B">
        <w:rPr>
          <w:rFonts w:ascii="Georgia" w:hAnsi="Georgia" w:cs="Times New Roman (Body CS)"/>
        </w:rPr>
        <w:t xml:space="preserve">The Commonwealth of Pennsylvania offered substantial tax and financial incentives for building and operating the Complex in Pennsylvania — said to be worth $1.65 </w:t>
      </w:r>
      <w:proofErr w:type="spellStart"/>
      <w:r w:rsidRPr="00A4259B">
        <w:rPr>
          <w:rFonts w:ascii="Georgia" w:hAnsi="Georgia" w:cs="Times New Roman (Body CS)"/>
        </w:rPr>
        <w:t>million</w:t>
      </w:r>
      <w:proofErr w:type="spellEnd"/>
      <w:r w:rsidRPr="00A4259B">
        <w:rPr>
          <w:rFonts w:ascii="Georgia" w:hAnsi="Georgia" w:cs="Times New Roman (Body CS)"/>
        </w:rPr>
        <w:t xml:space="preserve"> of foregone taxes and tax credits of 5 cents/gallon of ethane purchased by the Complex. These </w:t>
      </w:r>
      <w:r w:rsidR="00D97EC2">
        <w:rPr>
          <w:rFonts w:ascii="Georgia" w:hAnsi="Georgia" w:cs="Times New Roman (Body CS)"/>
        </w:rPr>
        <w:t>“</w:t>
      </w:r>
      <w:r w:rsidRPr="00A4259B">
        <w:rPr>
          <w:rFonts w:ascii="Georgia" w:hAnsi="Georgia" w:cs="Times New Roman (Body CS)"/>
        </w:rPr>
        <w:t>incentives</w:t>
      </w:r>
      <w:r w:rsidR="00D97EC2">
        <w:rPr>
          <w:rFonts w:ascii="Georgia" w:hAnsi="Georgia" w:cs="Times New Roman (Body CS)"/>
        </w:rPr>
        <w:t>”</w:t>
      </w:r>
      <w:r w:rsidRPr="00A4259B">
        <w:rPr>
          <w:rFonts w:ascii="Georgia" w:hAnsi="Georgia" w:cs="Times New Roman (Body CS)"/>
        </w:rPr>
        <w:t xml:space="preserve"> are not gifts produced from thin air. They represent expenditures of current or anticipated tax revenue from Pennsylvania citizens. The U.S. Treasury defines tax expenditures as </w:t>
      </w:r>
      <w:r w:rsidR="00D97EC2">
        <w:rPr>
          <w:rFonts w:ascii="Georgia" w:hAnsi="Georgia" w:cs="Times New Roman (Body CS)"/>
        </w:rPr>
        <w:t>“</w:t>
      </w:r>
      <w:r w:rsidRPr="00A4259B">
        <w:rPr>
          <w:rFonts w:ascii="Georgia" w:hAnsi="Georgia" w:cs="Times New Roman (Body CS)"/>
        </w:rPr>
        <w:t>revenue losses…which allow a special exclusion, exemption, or deduction from gross income or which provide a special credit, a preferential rate of tax, or a deferral of tax liability.</w:t>
      </w:r>
      <w:r w:rsidR="00D97EC2">
        <w:rPr>
          <w:rFonts w:ascii="Georgia" w:hAnsi="Georgia" w:cs="Times New Roman (Body CS)"/>
        </w:rPr>
        <w:t>”</w:t>
      </w:r>
      <w:r w:rsidR="00DE4A43">
        <w:rPr>
          <w:rFonts w:ascii="Georgia" w:hAnsi="Georgia" w:cs="Times New Roman (Body CS)"/>
        </w:rPr>
        <w:t xml:space="preserve"> By making these expenditures</w:t>
      </w:r>
      <w:r w:rsidRPr="00A4259B">
        <w:rPr>
          <w:rFonts w:ascii="Georgia" w:hAnsi="Georgia" w:cs="Times New Roman (Body CS)"/>
        </w:rPr>
        <w:t xml:space="preserve">, the Commonwealth reduced </w:t>
      </w:r>
      <w:r w:rsidR="00D97EC2">
        <w:rPr>
          <w:rFonts w:ascii="Georgia" w:hAnsi="Georgia" w:cs="Times New Roman (Body CS)"/>
        </w:rPr>
        <w:t>Shell’s</w:t>
      </w:r>
      <w:r w:rsidRPr="00A4259B">
        <w:rPr>
          <w:rFonts w:ascii="Georgia" w:hAnsi="Georgia" w:cs="Times New Roman (Body CS)"/>
        </w:rPr>
        <w:t xml:space="preserve"> start-up costs, underwrites purchases of ethane stock, and eliminates much of </w:t>
      </w:r>
      <w:r w:rsidR="00D97EC2">
        <w:rPr>
          <w:rFonts w:ascii="Georgia" w:hAnsi="Georgia" w:cs="Times New Roman (Body CS)"/>
        </w:rPr>
        <w:t>Shell’s</w:t>
      </w:r>
      <w:r w:rsidRPr="00A4259B">
        <w:rPr>
          <w:rFonts w:ascii="Georgia" w:hAnsi="Georgia" w:cs="Times New Roman (Body CS)"/>
        </w:rPr>
        <w:t xml:space="preserve"> Pennsylvania tax liability.</w:t>
      </w:r>
    </w:p>
    <w:p w14:paraId="326B5DAE" w14:textId="77777777" w:rsidR="00B57473" w:rsidRPr="00A4259B" w:rsidRDefault="00B57473" w:rsidP="00B57473">
      <w:pPr>
        <w:rPr>
          <w:rFonts w:ascii="Georgia" w:hAnsi="Georgia" w:cs="Times New Roman (Body CS)"/>
          <w:sz w:val="16"/>
        </w:rPr>
      </w:pPr>
    </w:p>
    <w:p w14:paraId="394954AB" w14:textId="77777777" w:rsidR="00A873AE" w:rsidRPr="00A4259B" w:rsidRDefault="0070652A" w:rsidP="00A873AE">
      <w:pPr>
        <w:pStyle w:val="ListParagraph"/>
        <w:numPr>
          <w:ilvl w:val="0"/>
          <w:numId w:val="14"/>
        </w:numPr>
        <w:spacing w:line="300" w:lineRule="atLeast"/>
        <w:ind w:left="360"/>
        <w:rPr>
          <w:rFonts w:ascii="Georgia" w:hAnsi="Georgia" w:cs="Times New Roman (Body CS)"/>
          <w:i/>
          <w:iCs/>
        </w:rPr>
      </w:pPr>
      <w:r w:rsidRPr="00A4259B">
        <w:rPr>
          <w:rFonts w:ascii="Georgia" w:hAnsi="Georgia" w:cs="Times New Roman (Body CS)"/>
          <w:i/>
          <w:iCs/>
        </w:rPr>
        <w:t>Although Shell and the Commonwealth invested jointly in the Complex, their investment goals differ. </w:t>
      </w:r>
    </w:p>
    <w:p w14:paraId="4C6CEF87" w14:textId="77777777" w:rsidR="00DE4A43" w:rsidRPr="00DE4A43" w:rsidRDefault="00DE4A43" w:rsidP="00DE4A43">
      <w:pPr>
        <w:ind w:left="360"/>
        <w:rPr>
          <w:rFonts w:ascii="Georgia" w:hAnsi="Georgia" w:cs="Times New Roman (Body CS)"/>
          <w:sz w:val="16"/>
        </w:rPr>
      </w:pPr>
    </w:p>
    <w:p w14:paraId="26FD88C5" w14:textId="2094D714" w:rsidR="0070652A" w:rsidRPr="00A4259B" w:rsidRDefault="0070652A" w:rsidP="0055547D">
      <w:pPr>
        <w:spacing w:line="300" w:lineRule="atLeast"/>
        <w:ind w:left="360"/>
        <w:rPr>
          <w:rFonts w:ascii="Georgia" w:hAnsi="Georgia" w:cs="Times New Roman (Body CS)"/>
        </w:rPr>
      </w:pPr>
      <w:r w:rsidRPr="00A4259B">
        <w:rPr>
          <w:rFonts w:ascii="Georgia" w:hAnsi="Georgia" w:cs="Times New Roman (Body CS)"/>
        </w:rPr>
        <w:t xml:space="preserve">Shell aims to sell plastic pellets from the Complex for a profit. The Commonwealth wants jobs, income, business activity, and tax revenue from its investment. </w:t>
      </w:r>
      <w:r w:rsidR="00D97EC2">
        <w:rPr>
          <w:rFonts w:ascii="Georgia" w:hAnsi="Georgia" w:cs="Times New Roman (Body CS)"/>
        </w:rPr>
        <w:t>Shell’s</w:t>
      </w:r>
      <w:r w:rsidRPr="00A4259B">
        <w:rPr>
          <w:rFonts w:ascii="Georgia" w:hAnsi="Georgia" w:cs="Times New Roman (Body CS)"/>
        </w:rPr>
        <w:t xml:space="preserve"> success is tied to balance sheets and earnings reports, but not necessarily to the social benefits that the Commonwealth seeks, which are costs that Shell seeks to minimize. This asymmetry of goals is no surprise and does not necessarily represent subterfuge by Shell. Shell is simply pursuing its self-interest to benefit its shareholders. Every stakeholder </w:t>
      </w:r>
      <w:r w:rsidR="003F77F4">
        <w:rPr>
          <w:rFonts w:ascii="Georgia" w:hAnsi="Georgia" w:cs="Times New Roman (Body CS)"/>
        </w:rPr>
        <w:t>investing</w:t>
      </w:r>
      <w:r w:rsidRPr="00A4259B">
        <w:rPr>
          <w:rFonts w:ascii="Georgia" w:hAnsi="Georgia" w:cs="Times New Roman (Body CS)"/>
        </w:rPr>
        <w:t xml:space="preserve"> in the Complex, including the Commonwealth, must look after its own interests.</w:t>
      </w:r>
    </w:p>
    <w:p w14:paraId="4BFCC14E" w14:textId="77777777" w:rsidR="00B57473" w:rsidRPr="00A4259B" w:rsidRDefault="00B57473" w:rsidP="00B57473">
      <w:pPr>
        <w:rPr>
          <w:rFonts w:ascii="Georgia" w:hAnsi="Georgia" w:cs="Times New Roman (Body CS)"/>
          <w:sz w:val="16"/>
        </w:rPr>
      </w:pPr>
    </w:p>
    <w:p w14:paraId="0C88B255" w14:textId="141D79EC" w:rsidR="00A873AE" w:rsidRPr="00A4259B" w:rsidRDefault="0070652A" w:rsidP="00A873AE">
      <w:pPr>
        <w:pStyle w:val="ListParagraph"/>
        <w:numPr>
          <w:ilvl w:val="0"/>
          <w:numId w:val="14"/>
        </w:numPr>
        <w:spacing w:line="300" w:lineRule="atLeast"/>
        <w:ind w:left="360"/>
        <w:rPr>
          <w:rFonts w:ascii="Georgia" w:hAnsi="Georgia" w:cs="Times New Roman (Body CS)"/>
          <w:i/>
          <w:iCs/>
        </w:rPr>
      </w:pPr>
      <w:r w:rsidRPr="00A4259B">
        <w:rPr>
          <w:rFonts w:ascii="Georgia" w:hAnsi="Georgia" w:cs="Times New Roman (Body CS)"/>
          <w:i/>
          <w:iCs/>
        </w:rPr>
        <w:lastRenderedPageBreak/>
        <w:t xml:space="preserve">Commonwealth representatives and officials failed to use due diligence in investing </w:t>
      </w:r>
      <w:r w:rsidR="00D97EC2">
        <w:rPr>
          <w:rFonts w:ascii="Georgia" w:hAnsi="Georgia" w:cs="Times New Roman (Body CS)"/>
          <w:i/>
          <w:iCs/>
        </w:rPr>
        <w:t>citizens’</w:t>
      </w:r>
      <w:r w:rsidRPr="00A4259B">
        <w:rPr>
          <w:rFonts w:ascii="Georgia" w:hAnsi="Georgia" w:cs="Times New Roman (Body CS)"/>
          <w:i/>
          <w:iCs/>
        </w:rPr>
        <w:t xml:space="preserve"> tax revenues in the Complex. </w:t>
      </w:r>
    </w:p>
    <w:p w14:paraId="433A9A40" w14:textId="77777777" w:rsidR="00DE4A43" w:rsidRPr="00DE4A43" w:rsidRDefault="00DE4A43" w:rsidP="00DE4A43">
      <w:pPr>
        <w:ind w:left="360"/>
        <w:rPr>
          <w:rFonts w:ascii="Georgia" w:hAnsi="Georgia" w:cs="Times New Roman (Body CS)"/>
          <w:sz w:val="16"/>
        </w:rPr>
      </w:pPr>
    </w:p>
    <w:p w14:paraId="1FFF2316" w14:textId="077C0CD3" w:rsidR="00171D24" w:rsidRPr="00A4259B" w:rsidRDefault="0070652A" w:rsidP="0055547D">
      <w:pPr>
        <w:spacing w:line="300" w:lineRule="atLeast"/>
        <w:ind w:left="360"/>
        <w:rPr>
          <w:rFonts w:ascii="Georgia" w:hAnsi="Georgia" w:cs="Times New Roman (Body CS)"/>
        </w:rPr>
      </w:pPr>
      <w:r w:rsidRPr="00A4259B">
        <w:rPr>
          <w:rFonts w:ascii="Georgia" w:hAnsi="Georgia" w:cs="Times New Roman (Body CS)"/>
        </w:rPr>
        <w:t xml:space="preserve">The Robert Morris report estimated the regional economic benefits of the Complex but none of the costs. Shell did not pretend to support an economic impact report to meet the </w:t>
      </w:r>
      <w:r w:rsidR="00D97EC2">
        <w:rPr>
          <w:rFonts w:ascii="Georgia" w:hAnsi="Georgia" w:cs="Times New Roman (Body CS)"/>
        </w:rPr>
        <w:t>public’s</w:t>
      </w:r>
      <w:r w:rsidRPr="00A4259B">
        <w:rPr>
          <w:rFonts w:ascii="Georgia" w:hAnsi="Georgia" w:cs="Times New Roman (Body CS)"/>
        </w:rPr>
        <w:t xml:space="preserve"> needs for investment advice. I can find nowhere in the report or in </w:t>
      </w:r>
      <w:r w:rsidR="00D97EC2">
        <w:rPr>
          <w:rFonts w:ascii="Georgia" w:hAnsi="Georgia" w:cs="Times New Roman (Body CS)"/>
        </w:rPr>
        <w:t>Shell’s</w:t>
      </w:r>
      <w:r w:rsidRPr="00A4259B">
        <w:rPr>
          <w:rFonts w:ascii="Georgia" w:hAnsi="Georgia" w:cs="Times New Roman (Body CS)"/>
        </w:rPr>
        <w:t xml:space="preserve"> public statements that </w:t>
      </w:r>
      <w:r w:rsidR="003F77F4">
        <w:rPr>
          <w:rFonts w:ascii="Georgia" w:hAnsi="Georgia" w:cs="Times New Roman (Body CS)"/>
        </w:rPr>
        <w:t>Shell</w:t>
      </w:r>
      <w:r w:rsidRPr="00A4259B">
        <w:rPr>
          <w:rFonts w:ascii="Georgia" w:hAnsi="Georgia" w:cs="Times New Roman (Body CS)"/>
        </w:rPr>
        <w:t xml:space="preserve"> meant to offer an inventory of the costs and benefits of building and operating the Complex. This approach taken by Shell is common in proposals seeking public funds for public/private benefit (e.g., sports arena funding, land use, infrastructure construction, natural gas development, competitions for siting corporate headquarters). </w:t>
      </w:r>
    </w:p>
    <w:p w14:paraId="7CE9B8B4" w14:textId="77777777" w:rsidR="0043535D" w:rsidRPr="00A4259B" w:rsidRDefault="0043535D" w:rsidP="0043535D">
      <w:pPr>
        <w:rPr>
          <w:rFonts w:ascii="Georgia" w:hAnsi="Georgia" w:cs="Times New Roman (Body CS)"/>
          <w:sz w:val="16"/>
        </w:rPr>
      </w:pPr>
    </w:p>
    <w:p w14:paraId="05915847" w14:textId="78E66AA8" w:rsidR="0070652A" w:rsidRPr="00A4259B" w:rsidRDefault="0070652A" w:rsidP="0055547D">
      <w:pPr>
        <w:spacing w:line="300" w:lineRule="atLeast"/>
        <w:ind w:left="360"/>
        <w:rPr>
          <w:rFonts w:ascii="Georgia" w:hAnsi="Georgia" w:cs="Times New Roman (Body CS)"/>
        </w:rPr>
      </w:pPr>
      <w:r w:rsidRPr="00A4259B">
        <w:rPr>
          <w:rFonts w:ascii="Georgia" w:hAnsi="Georgia" w:cs="Times New Roman (Body CS)"/>
        </w:rPr>
        <w:t xml:space="preserve">No evidence is available that public representatives of the </w:t>
      </w:r>
      <w:r w:rsidR="00D97EC2">
        <w:rPr>
          <w:rFonts w:ascii="Georgia" w:hAnsi="Georgia" w:cs="Times New Roman (Body CS)"/>
        </w:rPr>
        <w:t>Commonwealth’s</w:t>
      </w:r>
      <w:r w:rsidRPr="00A4259B">
        <w:rPr>
          <w:rFonts w:ascii="Georgia" w:hAnsi="Georgia" w:cs="Times New Roman (Body CS)"/>
        </w:rPr>
        <w:t xml:space="preserve"> citizens made their own independent and public assessment of the regional economic impact of the Complex. Almost no public discussion or hearings preceded the passage of legislation committing Commonwealth funds. Instead, Commonwealth representatives and elected </w:t>
      </w:r>
      <w:r w:rsidR="003F77F4">
        <w:rPr>
          <w:rFonts w:ascii="Georgia" w:hAnsi="Georgia" w:cs="Times New Roman (Body CS)"/>
        </w:rPr>
        <w:t>or</w:t>
      </w:r>
      <w:r w:rsidRPr="00A4259B">
        <w:rPr>
          <w:rFonts w:ascii="Georgia" w:hAnsi="Georgia" w:cs="Times New Roman (Body CS)"/>
        </w:rPr>
        <w:t xml:space="preserve"> appointed officials accepted, mostly uncritically and with bipartisan enthrallment, the estimates and forecasts from Shell and other petrochemical industry associations to </w:t>
      </w:r>
      <w:r w:rsidR="00C430B2" w:rsidRPr="00A4259B">
        <w:rPr>
          <w:rFonts w:ascii="Georgia" w:hAnsi="Georgia" w:cs="Times New Roman (Body CS)"/>
        </w:rPr>
        <w:t>support</w:t>
      </w:r>
      <w:r w:rsidRPr="00A4259B">
        <w:rPr>
          <w:rFonts w:ascii="Georgia" w:hAnsi="Georgia" w:cs="Times New Roman (Body CS)"/>
        </w:rPr>
        <w:t xml:space="preserve"> their decision to invest in the Complex. Who maintained fiduciary duties and responsibility to Pennsylvania citizens in this business decision?</w:t>
      </w:r>
    </w:p>
    <w:p w14:paraId="11A8A92D" w14:textId="77777777" w:rsidR="0055547D" w:rsidRPr="00A4259B" w:rsidRDefault="0055547D" w:rsidP="0055547D">
      <w:pPr>
        <w:rPr>
          <w:rFonts w:ascii="Georgia" w:hAnsi="Georgia" w:cs="Times New Roman (Body CS)"/>
          <w:sz w:val="16"/>
        </w:rPr>
      </w:pPr>
    </w:p>
    <w:p w14:paraId="41DDCFF9" w14:textId="72705D66" w:rsidR="00A873AE" w:rsidRPr="00A4259B" w:rsidRDefault="0070652A" w:rsidP="0055547D">
      <w:pPr>
        <w:pStyle w:val="ListParagraph"/>
        <w:numPr>
          <w:ilvl w:val="0"/>
          <w:numId w:val="14"/>
        </w:numPr>
        <w:spacing w:line="300" w:lineRule="atLeast"/>
        <w:ind w:left="360"/>
        <w:rPr>
          <w:rFonts w:ascii="Georgia" w:hAnsi="Georgia" w:cs="Times New Roman (Body CS)"/>
          <w:i/>
          <w:iCs/>
        </w:rPr>
      </w:pPr>
      <w:r w:rsidRPr="00A4259B">
        <w:rPr>
          <w:rFonts w:ascii="Georgia" w:hAnsi="Georgia" w:cs="Times New Roman (Body CS)"/>
          <w:i/>
          <w:iCs/>
        </w:rPr>
        <w:t xml:space="preserve">Technical matters affect the validity of the Robert Morris report, which </w:t>
      </w:r>
      <w:r w:rsidR="0097086E">
        <w:rPr>
          <w:rFonts w:ascii="Georgia" w:hAnsi="Georgia" w:cs="Times New Roman (Body CS)"/>
          <w:i/>
          <w:iCs/>
        </w:rPr>
        <w:t xml:space="preserve">has been seen as </w:t>
      </w:r>
      <w:r w:rsidRPr="00A4259B">
        <w:rPr>
          <w:rFonts w:ascii="Georgia" w:hAnsi="Georgia" w:cs="Times New Roman (Body CS)"/>
          <w:i/>
          <w:iCs/>
        </w:rPr>
        <w:t>critical evidence reinforcing the decision made in 2012 to expend tax revenue on the Complex.</w:t>
      </w:r>
    </w:p>
    <w:p w14:paraId="259DC3AD" w14:textId="77777777" w:rsidR="00DE4A43" w:rsidRPr="00DE4A43" w:rsidRDefault="00DE4A43" w:rsidP="00DE4A43">
      <w:pPr>
        <w:ind w:left="360"/>
        <w:rPr>
          <w:rFonts w:ascii="Georgia" w:hAnsi="Georgia" w:cs="Times New Roman (Body CS)"/>
          <w:sz w:val="16"/>
        </w:rPr>
      </w:pPr>
    </w:p>
    <w:p w14:paraId="3D8C4782" w14:textId="3F15C1D7" w:rsidR="0070652A" w:rsidRPr="00A4259B" w:rsidRDefault="0070652A" w:rsidP="0055547D">
      <w:pPr>
        <w:spacing w:line="300" w:lineRule="atLeast"/>
        <w:ind w:left="360"/>
        <w:rPr>
          <w:rFonts w:ascii="Georgia" w:hAnsi="Georgia" w:cs="Times New Roman (Body CS)"/>
        </w:rPr>
      </w:pPr>
      <w:r w:rsidRPr="00A4259B">
        <w:rPr>
          <w:rFonts w:ascii="Georgia" w:hAnsi="Georgia" w:cs="Times New Roman (Body CS)"/>
        </w:rPr>
        <w:t xml:space="preserve">Analyses like those reported by the Robert Morris authors usually run into discrepancies between the data needed and the data available for analysis and, as a result, require practical resolution. The report displays deft craftsmanship to accommodate these difficulties, owing to the </w:t>
      </w:r>
      <w:r w:rsidR="00D97EC2">
        <w:rPr>
          <w:rFonts w:ascii="Georgia" w:hAnsi="Georgia" w:cs="Times New Roman (Body CS)"/>
        </w:rPr>
        <w:t>authors’</w:t>
      </w:r>
      <w:r w:rsidRPr="00A4259B">
        <w:rPr>
          <w:rFonts w:ascii="Georgia" w:hAnsi="Georgia" w:cs="Times New Roman (Body CS)"/>
        </w:rPr>
        <w:t xml:space="preserve"> educational preparation and experience in tackling impact analyses. Nevertheless, my essay is critical </w:t>
      </w:r>
      <w:r w:rsidR="003F77F4">
        <w:rPr>
          <w:rFonts w:ascii="Georgia" w:hAnsi="Georgia" w:cs="Times New Roman (Body CS)"/>
        </w:rPr>
        <w:t>of</w:t>
      </w:r>
      <w:r w:rsidRPr="00A4259B">
        <w:rPr>
          <w:rFonts w:ascii="Georgia" w:hAnsi="Georgia" w:cs="Times New Roman (Body CS)"/>
        </w:rPr>
        <w:t xml:space="preserve"> three issues in the report.</w:t>
      </w:r>
    </w:p>
    <w:p w14:paraId="13A95DC0" w14:textId="77777777" w:rsidR="0055547D" w:rsidRPr="00A4259B" w:rsidRDefault="0055547D" w:rsidP="0055547D">
      <w:pPr>
        <w:rPr>
          <w:rFonts w:ascii="Georgia" w:hAnsi="Georgia" w:cs="Times New Roman (Body CS)"/>
          <w:sz w:val="16"/>
        </w:rPr>
      </w:pPr>
    </w:p>
    <w:p w14:paraId="06187E89" w14:textId="321CE44E" w:rsidR="00B57473" w:rsidRPr="00A4259B" w:rsidRDefault="0070652A" w:rsidP="003C3108">
      <w:pPr>
        <w:pStyle w:val="ListParagraph"/>
        <w:numPr>
          <w:ilvl w:val="1"/>
          <w:numId w:val="14"/>
        </w:numPr>
        <w:spacing w:line="300" w:lineRule="atLeast"/>
        <w:ind w:left="720"/>
        <w:rPr>
          <w:rFonts w:ascii="Georgia" w:hAnsi="Georgia" w:cs="Times New Roman (Body CS)"/>
          <w:i/>
          <w:iCs/>
        </w:rPr>
      </w:pPr>
      <w:r w:rsidRPr="00A4259B">
        <w:rPr>
          <w:rFonts w:ascii="Georgia" w:hAnsi="Georgia" w:cs="Times New Roman (Body CS)"/>
          <w:i/>
          <w:iCs/>
        </w:rPr>
        <w:t>Industry analyzed.</w:t>
      </w:r>
    </w:p>
    <w:p w14:paraId="6E32E823" w14:textId="77777777" w:rsidR="00943F91" w:rsidRPr="00943F91" w:rsidRDefault="00943F91" w:rsidP="00943F91">
      <w:pPr>
        <w:ind w:left="360"/>
        <w:rPr>
          <w:rFonts w:ascii="Georgia" w:hAnsi="Georgia" w:cs="Times New Roman (Body CS)"/>
          <w:sz w:val="16"/>
        </w:rPr>
      </w:pPr>
    </w:p>
    <w:p w14:paraId="1D9F2D80" w14:textId="48336FEC" w:rsidR="0070652A" w:rsidRPr="00A4259B" w:rsidRDefault="00B57473" w:rsidP="003C3108">
      <w:pPr>
        <w:spacing w:line="300" w:lineRule="atLeast"/>
        <w:ind w:left="720"/>
        <w:rPr>
          <w:rFonts w:ascii="Georgia" w:hAnsi="Georgia" w:cs="Times New Roman (Body CS)"/>
        </w:rPr>
      </w:pPr>
      <w:r w:rsidRPr="00A4259B">
        <w:rPr>
          <w:rFonts w:ascii="Georgia" w:hAnsi="Georgia" w:cs="Times New Roman (Body CS)"/>
        </w:rPr>
        <w:t xml:space="preserve">The Pennsylvania Petrochemicals Complex is classified </w:t>
      </w:r>
      <w:r w:rsidR="002127AC" w:rsidRPr="00A4259B">
        <w:rPr>
          <w:rFonts w:ascii="Georgia" w:hAnsi="Georgia" w:cs="Times New Roman (Body CS)"/>
        </w:rPr>
        <w:t xml:space="preserve">in the Robert Morris report </w:t>
      </w:r>
      <w:r w:rsidR="009263BD" w:rsidRPr="00A4259B">
        <w:rPr>
          <w:rFonts w:ascii="Georgia" w:hAnsi="Georgia" w:cs="Times New Roman (Body CS)"/>
        </w:rPr>
        <w:t xml:space="preserve">using government-collected data </w:t>
      </w:r>
      <w:r w:rsidR="002127AC" w:rsidRPr="00A4259B">
        <w:rPr>
          <w:rFonts w:ascii="Georgia" w:hAnsi="Georgia" w:cs="Times New Roman (Body CS)"/>
        </w:rPr>
        <w:t>from</w:t>
      </w:r>
      <w:r w:rsidRPr="00A4259B">
        <w:rPr>
          <w:rFonts w:ascii="Georgia" w:hAnsi="Georgia" w:cs="Times New Roman (Body CS)"/>
        </w:rPr>
        <w:t xml:space="preserve"> the </w:t>
      </w:r>
      <w:r w:rsidR="00D97EC2">
        <w:rPr>
          <w:rFonts w:ascii="Georgia" w:hAnsi="Georgia" w:cs="Times New Roman (Body CS)"/>
        </w:rPr>
        <w:t>“</w:t>
      </w:r>
      <w:r w:rsidRPr="00A4259B">
        <w:rPr>
          <w:rFonts w:ascii="Georgia" w:hAnsi="Georgia" w:cs="Times New Roman (Body CS)"/>
        </w:rPr>
        <w:t>Petroleum Refineries</w:t>
      </w:r>
      <w:r w:rsidR="00D97EC2">
        <w:rPr>
          <w:rFonts w:ascii="Georgia" w:hAnsi="Georgia" w:cs="Times New Roman (Body CS)"/>
        </w:rPr>
        <w:t>”</w:t>
      </w:r>
      <w:r w:rsidRPr="00A4259B">
        <w:rPr>
          <w:rFonts w:ascii="Georgia" w:hAnsi="Georgia" w:cs="Times New Roman (Body CS)"/>
        </w:rPr>
        <w:t xml:space="preserve"> industry. </w:t>
      </w:r>
      <w:r w:rsidR="0070652A" w:rsidRPr="00A4259B">
        <w:rPr>
          <w:rFonts w:ascii="Georgia" w:hAnsi="Georgia" w:cs="Times New Roman (Body CS)"/>
          <w:i/>
          <w:iCs/>
        </w:rPr>
        <w:t xml:space="preserve">I argue that because the primary product of the Complex is polyethylene pellets, output from the Complex probably is best classified within the </w:t>
      </w:r>
      <w:r w:rsidR="00D97EC2">
        <w:rPr>
          <w:rFonts w:ascii="Georgia" w:hAnsi="Georgia" w:cs="Times New Roman (Body CS)"/>
          <w:i/>
          <w:iCs/>
        </w:rPr>
        <w:t>“</w:t>
      </w:r>
      <w:r w:rsidR="0070652A" w:rsidRPr="00A4259B">
        <w:rPr>
          <w:rFonts w:ascii="Georgia" w:hAnsi="Georgia" w:cs="Times New Roman (Body CS)"/>
          <w:i/>
          <w:iCs/>
        </w:rPr>
        <w:t>Plastic Resin Manufacturing</w:t>
      </w:r>
      <w:r w:rsidR="00D97EC2">
        <w:rPr>
          <w:rFonts w:ascii="Georgia" w:hAnsi="Georgia" w:cs="Times New Roman (Body CS)"/>
          <w:i/>
          <w:iCs/>
        </w:rPr>
        <w:t>”</w:t>
      </w:r>
      <w:r w:rsidR="0070652A" w:rsidRPr="00A4259B">
        <w:rPr>
          <w:rFonts w:ascii="Georgia" w:hAnsi="Georgia" w:cs="Times New Roman (Body CS)"/>
          <w:i/>
          <w:iCs/>
        </w:rPr>
        <w:t xml:space="preserve"> industry.</w:t>
      </w:r>
      <w:r w:rsidR="0043535D" w:rsidRPr="00A4259B">
        <w:rPr>
          <w:rFonts w:ascii="Georgia" w:hAnsi="Georgia" w:cs="Times New Roman (Body CS)"/>
        </w:rPr>
        <w:t xml:space="preserve"> </w:t>
      </w:r>
      <w:r w:rsidR="0070652A" w:rsidRPr="00A4259B">
        <w:rPr>
          <w:rFonts w:ascii="Georgia" w:hAnsi="Georgia" w:cs="Times New Roman (Body CS)"/>
        </w:rPr>
        <w:t xml:space="preserve">Differences in the industry in which the Complex is classified are significant because data from different industries yield different </w:t>
      </w:r>
      <w:r w:rsidR="002127AC" w:rsidRPr="00A4259B">
        <w:rPr>
          <w:rFonts w:ascii="Georgia" w:hAnsi="Georgia" w:cs="Times New Roman (Body CS)"/>
        </w:rPr>
        <w:t xml:space="preserve">economic </w:t>
      </w:r>
      <w:r w:rsidR="0070652A" w:rsidRPr="00A4259B">
        <w:rPr>
          <w:rFonts w:ascii="Georgia" w:hAnsi="Georgia" w:cs="Times New Roman (Body CS)"/>
        </w:rPr>
        <w:t>impact estimates. </w:t>
      </w:r>
    </w:p>
    <w:p w14:paraId="0FEA92EA" w14:textId="77777777" w:rsidR="00C84EB6" w:rsidRPr="00A4259B" w:rsidRDefault="00C84EB6" w:rsidP="00C84EB6">
      <w:pPr>
        <w:rPr>
          <w:rFonts w:ascii="Georgia" w:hAnsi="Georgia" w:cs="Times New Roman (Body CS)"/>
          <w:sz w:val="16"/>
        </w:rPr>
      </w:pPr>
    </w:p>
    <w:p w14:paraId="2FEDFCC2" w14:textId="76726A48" w:rsidR="00B57473" w:rsidRPr="00A4259B" w:rsidRDefault="0070652A" w:rsidP="007662A4">
      <w:pPr>
        <w:pStyle w:val="ListParagraph"/>
        <w:numPr>
          <w:ilvl w:val="1"/>
          <w:numId w:val="14"/>
        </w:numPr>
        <w:spacing w:line="300" w:lineRule="atLeast"/>
        <w:ind w:left="720"/>
        <w:rPr>
          <w:rFonts w:ascii="Georgia" w:hAnsi="Georgia" w:cs="Times New Roman (Body CS)"/>
        </w:rPr>
      </w:pPr>
      <w:r w:rsidRPr="00A4259B">
        <w:rPr>
          <w:rFonts w:ascii="Georgia" w:hAnsi="Georgia" w:cs="Times New Roman (Body CS)"/>
          <w:i/>
          <w:iCs/>
        </w:rPr>
        <w:lastRenderedPageBreak/>
        <w:t>Multipl</w:t>
      </w:r>
      <w:r w:rsidR="00943F91">
        <w:rPr>
          <w:rFonts w:ascii="Georgia" w:hAnsi="Georgia" w:cs="Times New Roman (Body CS)"/>
          <w:i/>
          <w:iCs/>
        </w:rPr>
        <w:t>ication of</w:t>
      </w:r>
      <w:r w:rsidRPr="00A4259B">
        <w:rPr>
          <w:rFonts w:ascii="Georgia" w:hAnsi="Georgia" w:cs="Times New Roman (Body CS)"/>
          <w:i/>
          <w:iCs/>
        </w:rPr>
        <w:t xml:space="preserve"> Complex impacts.</w:t>
      </w:r>
    </w:p>
    <w:p w14:paraId="56548800" w14:textId="77777777" w:rsidR="00943F91" w:rsidRPr="00943F91" w:rsidRDefault="00943F91" w:rsidP="00943F91">
      <w:pPr>
        <w:ind w:left="360"/>
        <w:rPr>
          <w:rFonts w:ascii="Georgia" w:hAnsi="Georgia" w:cs="Times New Roman (Body CS)"/>
          <w:sz w:val="16"/>
        </w:rPr>
      </w:pPr>
    </w:p>
    <w:p w14:paraId="6E801C26" w14:textId="77777777" w:rsidR="009263BD" w:rsidRPr="00A4259B" w:rsidRDefault="0070652A" w:rsidP="007662A4">
      <w:pPr>
        <w:spacing w:line="300" w:lineRule="atLeast"/>
        <w:ind w:left="720"/>
        <w:rPr>
          <w:rFonts w:ascii="Georgia" w:hAnsi="Georgia" w:cs="Times New Roman (Body CS)"/>
        </w:rPr>
      </w:pPr>
      <w:r w:rsidRPr="00A4259B">
        <w:rPr>
          <w:rFonts w:ascii="Georgia" w:hAnsi="Georgia" w:cs="Times New Roman (Body CS)"/>
        </w:rPr>
        <w:t>Plastic resin manufacturing will directly support jobs at the Complex that pay wages to workers and extract wage taxes for governments. Also, the Complex will purchase goods and services from suppliers, which will indirectly multiply business value, income, jobs, and taxes beyond the Complex. In addition, pay received by workers in the Complex and by workers in the firms that supply the Complex will induce purchases of consumer goods and services.</w:t>
      </w:r>
      <w:r w:rsidR="0043535D" w:rsidRPr="00A4259B">
        <w:rPr>
          <w:rFonts w:ascii="Georgia" w:hAnsi="Georgia" w:cs="Times New Roman (Body CS)"/>
        </w:rPr>
        <w:t xml:space="preserve"> </w:t>
      </w:r>
    </w:p>
    <w:p w14:paraId="57D78BBB" w14:textId="77777777" w:rsidR="009263BD" w:rsidRPr="00A4259B" w:rsidRDefault="009263BD" w:rsidP="009263BD">
      <w:pPr>
        <w:rPr>
          <w:rFonts w:ascii="Georgia" w:hAnsi="Georgia" w:cs="Times New Roman (Body CS)"/>
          <w:sz w:val="16"/>
        </w:rPr>
      </w:pPr>
    </w:p>
    <w:p w14:paraId="0A4C3B67" w14:textId="39D55F38" w:rsidR="0070652A" w:rsidRPr="00A4259B" w:rsidRDefault="0070652A" w:rsidP="007662A4">
      <w:pPr>
        <w:spacing w:line="300" w:lineRule="atLeast"/>
        <w:ind w:left="720"/>
        <w:rPr>
          <w:rFonts w:ascii="Georgia" w:hAnsi="Georgia" w:cs="Times New Roman (Body CS)"/>
        </w:rPr>
      </w:pPr>
      <w:r w:rsidRPr="00A4259B">
        <w:rPr>
          <w:rFonts w:ascii="Georgia" w:hAnsi="Georgia" w:cs="Times New Roman (Body CS)"/>
          <w:i/>
          <w:iCs/>
        </w:rPr>
        <w:t xml:space="preserve">The direct, indirect, and induced impacts of plastic resin manufacturing differ from impacts that could be </w:t>
      </w:r>
      <w:r w:rsidR="009263BD" w:rsidRPr="00A4259B">
        <w:rPr>
          <w:rFonts w:ascii="Georgia" w:hAnsi="Georgia" w:cs="Times New Roman (Body CS)"/>
          <w:i/>
          <w:iCs/>
        </w:rPr>
        <w:t>realized</w:t>
      </w:r>
      <w:r w:rsidRPr="00A4259B">
        <w:rPr>
          <w:rFonts w:ascii="Georgia" w:hAnsi="Georgia" w:cs="Times New Roman (Body CS)"/>
          <w:i/>
          <w:iCs/>
        </w:rPr>
        <w:t xml:space="preserve"> </w:t>
      </w:r>
      <w:r w:rsidR="009263BD" w:rsidRPr="00A4259B">
        <w:rPr>
          <w:rFonts w:ascii="Georgia" w:hAnsi="Georgia" w:cs="Times New Roman (Body CS)"/>
          <w:i/>
          <w:iCs/>
        </w:rPr>
        <w:t>from</w:t>
      </w:r>
      <w:r w:rsidRPr="00A4259B">
        <w:rPr>
          <w:rFonts w:ascii="Georgia" w:hAnsi="Georgia" w:cs="Times New Roman (Body CS)"/>
          <w:i/>
          <w:iCs/>
        </w:rPr>
        <w:t xml:space="preserve"> petroleum </w:t>
      </w:r>
      <w:r w:rsidR="00912A3A">
        <w:rPr>
          <w:rFonts w:ascii="Georgia" w:hAnsi="Georgia" w:cs="Times New Roman (Body CS)"/>
          <w:i/>
          <w:iCs/>
        </w:rPr>
        <w:t>refining,</w:t>
      </w:r>
      <w:r w:rsidRPr="00A4259B">
        <w:rPr>
          <w:rFonts w:ascii="Georgia" w:hAnsi="Georgia" w:cs="Times New Roman (Body CS)"/>
          <w:i/>
          <w:iCs/>
        </w:rPr>
        <w:t xml:space="preserve"> the industry analyzed in the Robert Morris report.</w:t>
      </w:r>
      <w:r w:rsidR="0043535D" w:rsidRPr="00A4259B">
        <w:rPr>
          <w:rFonts w:ascii="Georgia" w:hAnsi="Georgia" w:cs="Times New Roman (Body CS)"/>
        </w:rPr>
        <w:t xml:space="preserve"> </w:t>
      </w:r>
      <w:r w:rsidRPr="00A4259B">
        <w:rPr>
          <w:rFonts w:ascii="Georgia" w:hAnsi="Georgia" w:cs="Times New Roman (Body CS)"/>
        </w:rPr>
        <w:t xml:space="preserve">This issue is a corollary to the first issue that I identified – the industry in which the Pennsylvania Petrochemicals Complex is misidentified as </w:t>
      </w:r>
      <w:r w:rsidR="00D97EC2">
        <w:rPr>
          <w:rFonts w:ascii="Georgia" w:hAnsi="Georgia" w:cs="Times New Roman (Body CS)"/>
        </w:rPr>
        <w:t>“</w:t>
      </w:r>
      <w:r w:rsidRPr="00A4259B">
        <w:rPr>
          <w:rFonts w:ascii="Georgia" w:hAnsi="Georgia" w:cs="Times New Roman (Body CS)"/>
        </w:rPr>
        <w:t>Petroleum Refineries.</w:t>
      </w:r>
      <w:r w:rsidR="00D97EC2">
        <w:rPr>
          <w:rFonts w:ascii="Georgia" w:hAnsi="Georgia" w:cs="Times New Roman (Body CS)"/>
        </w:rPr>
        <w:t>”</w:t>
      </w:r>
    </w:p>
    <w:p w14:paraId="3692636D" w14:textId="77777777" w:rsidR="00C84EB6" w:rsidRPr="00A4259B" w:rsidRDefault="00C84EB6" w:rsidP="003C3108">
      <w:pPr>
        <w:rPr>
          <w:rFonts w:ascii="Georgia" w:hAnsi="Georgia" w:cs="Times New Roman (Body CS)"/>
          <w:sz w:val="16"/>
        </w:rPr>
      </w:pPr>
    </w:p>
    <w:p w14:paraId="7FDB778F" w14:textId="313DBB63" w:rsidR="00B57473" w:rsidRPr="00A4259B" w:rsidRDefault="0070652A" w:rsidP="007662A4">
      <w:pPr>
        <w:pStyle w:val="ListParagraph"/>
        <w:numPr>
          <w:ilvl w:val="1"/>
          <w:numId w:val="14"/>
        </w:numPr>
        <w:spacing w:line="300" w:lineRule="atLeast"/>
        <w:ind w:left="720"/>
        <w:rPr>
          <w:rFonts w:ascii="Georgia" w:hAnsi="Georgia" w:cs="Times New Roman (Body CS)"/>
        </w:rPr>
      </w:pPr>
      <w:r w:rsidRPr="00A4259B">
        <w:rPr>
          <w:rFonts w:ascii="Georgia" w:hAnsi="Georgia" w:cs="Times New Roman (Body CS)"/>
          <w:i/>
          <w:iCs/>
        </w:rPr>
        <w:t>40-year forecast.</w:t>
      </w:r>
      <w:r w:rsidRPr="00A4259B">
        <w:rPr>
          <w:rFonts w:ascii="Georgia" w:hAnsi="Georgia" w:cs="Times New Roman (Body CS)"/>
        </w:rPr>
        <w:t> </w:t>
      </w:r>
    </w:p>
    <w:p w14:paraId="04803A9F" w14:textId="77777777" w:rsidR="00943F91" w:rsidRPr="00943F91" w:rsidRDefault="00943F91" w:rsidP="00943F91">
      <w:pPr>
        <w:ind w:left="360"/>
        <w:rPr>
          <w:rFonts w:ascii="Georgia" w:hAnsi="Georgia" w:cs="Times New Roman (Body CS)"/>
          <w:sz w:val="16"/>
        </w:rPr>
      </w:pPr>
    </w:p>
    <w:p w14:paraId="2AFD7E22" w14:textId="77777777" w:rsidR="009263BD" w:rsidRPr="00A4259B" w:rsidRDefault="0070652A" w:rsidP="007662A4">
      <w:pPr>
        <w:spacing w:line="300" w:lineRule="atLeast"/>
        <w:ind w:left="720"/>
        <w:rPr>
          <w:rFonts w:ascii="Georgia" w:hAnsi="Georgia" w:cs="Times New Roman (Body CS)"/>
        </w:rPr>
      </w:pPr>
      <w:r w:rsidRPr="00A4259B">
        <w:rPr>
          <w:rFonts w:ascii="Georgia" w:hAnsi="Georgia" w:cs="Times New Roman (Body CS)"/>
        </w:rPr>
        <w:t>Forecasted in the Robert Morris report is the potential 40-year economic impact of the Complex. The developer of the economic analysis software applied to produce the Robert Morris report cautions against long-term forecasting. Their software models a short-term stretch in the activity of a static economy, not the dynamics of a working economy operating over time.</w:t>
      </w:r>
      <w:r w:rsidR="0043535D" w:rsidRPr="00A4259B">
        <w:rPr>
          <w:rFonts w:ascii="Georgia" w:hAnsi="Georgia" w:cs="Times New Roman (Body CS)"/>
        </w:rPr>
        <w:t xml:space="preserve"> </w:t>
      </w:r>
    </w:p>
    <w:p w14:paraId="59DCA934" w14:textId="77777777" w:rsidR="009263BD" w:rsidRPr="00A4259B" w:rsidRDefault="009263BD" w:rsidP="009263BD">
      <w:pPr>
        <w:rPr>
          <w:rFonts w:ascii="Georgia" w:hAnsi="Georgia" w:cs="Times New Roman (Body CS)"/>
          <w:sz w:val="16"/>
        </w:rPr>
      </w:pPr>
    </w:p>
    <w:p w14:paraId="026160F0" w14:textId="095787AD" w:rsidR="0070652A" w:rsidRPr="00A4259B" w:rsidRDefault="0070652A" w:rsidP="007662A4">
      <w:pPr>
        <w:spacing w:line="300" w:lineRule="atLeast"/>
        <w:ind w:left="720"/>
        <w:rPr>
          <w:rFonts w:ascii="Georgia" w:hAnsi="Georgia" w:cs="Times New Roman (Body CS)"/>
        </w:rPr>
      </w:pPr>
      <w:r w:rsidRPr="00A4259B">
        <w:rPr>
          <w:rFonts w:ascii="Georgia" w:hAnsi="Georgia" w:cs="Times New Roman (Body CS)"/>
          <w:i/>
          <w:iCs/>
        </w:rPr>
        <w:t xml:space="preserve">I conclude that these 40-year estimates of impact constitute an extension of static input-output modeling, software, and data beyond their </w:t>
      </w:r>
      <w:r w:rsidR="009263BD" w:rsidRPr="00A4259B">
        <w:rPr>
          <w:rFonts w:ascii="Georgia" w:hAnsi="Georgia" w:cs="Times New Roman (Body CS)"/>
          <w:i/>
          <w:iCs/>
        </w:rPr>
        <w:t xml:space="preserve">known </w:t>
      </w:r>
      <w:r w:rsidRPr="00A4259B">
        <w:rPr>
          <w:rFonts w:ascii="Georgia" w:hAnsi="Georgia" w:cs="Times New Roman (Body CS)"/>
          <w:i/>
          <w:iCs/>
        </w:rPr>
        <w:t>limitations.</w:t>
      </w:r>
    </w:p>
    <w:p w14:paraId="7F35F7C1" w14:textId="77777777" w:rsidR="00C84EB6" w:rsidRPr="00A4259B" w:rsidRDefault="00C84EB6" w:rsidP="00C84EB6">
      <w:pPr>
        <w:rPr>
          <w:rFonts w:ascii="Georgia" w:hAnsi="Georgia" w:cs="Times New Roman (Body CS)"/>
          <w:sz w:val="16"/>
        </w:rPr>
      </w:pPr>
    </w:p>
    <w:p w14:paraId="50E0A056" w14:textId="68C9D238" w:rsidR="00B57473" w:rsidRPr="00A4259B" w:rsidRDefault="00D97EC2" w:rsidP="003B7424">
      <w:pPr>
        <w:pStyle w:val="ListParagraph"/>
        <w:numPr>
          <w:ilvl w:val="0"/>
          <w:numId w:val="14"/>
        </w:numPr>
        <w:spacing w:line="300" w:lineRule="atLeast"/>
        <w:ind w:left="360"/>
        <w:rPr>
          <w:rFonts w:ascii="Georgia" w:hAnsi="Georgia" w:cs="Times New Roman (Body CS)"/>
          <w:i/>
          <w:iCs/>
        </w:rPr>
      </w:pPr>
      <w:r>
        <w:rPr>
          <w:rFonts w:ascii="Georgia" w:hAnsi="Georgia" w:cs="Times New Roman (Body CS)"/>
          <w:i/>
          <w:iCs/>
        </w:rPr>
        <w:t>What’s</w:t>
      </w:r>
      <w:r w:rsidR="0070652A" w:rsidRPr="00A4259B">
        <w:rPr>
          <w:rFonts w:ascii="Georgia" w:hAnsi="Georgia" w:cs="Times New Roman (Body CS)"/>
          <w:i/>
          <w:iCs/>
        </w:rPr>
        <w:t xml:space="preserve"> left, but to learn from the experience? </w:t>
      </w:r>
    </w:p>
    <w:p w14:paraId="1A4E1CBE" w14:textId="77777777" w:rsidR="00943F91" w:rsidRPr="00943F91" w:rsidRDefault="00943F91" w:rsidP="00943F91">
      <w:pPr>
        <w:ind w:left="360"/>
        <w:rPr>
          <w:rFonts w:ascii="Georgia" w:hAnsi="Georgia" w:cs="Times New Roman (Body CS)"/>
          <w:sz w:val="16"/>
        </w:rPr>
      </w:pPr>
    </w:p>
    <w:p w14:paraId="2DD9849D" w14:textId="33916CE5" w:rsidR="00924E28" w:rsidRPr="00A4259B" w:rsidRDefault="00D97EC2" w:rsidP="0030202F">
      <w:pPr>
        <w:spacing w:line="300" w:lineRule="atLeast"/>
        <w:ind w:left="360"/>
        <w:rPr>
          <w:rFonts w:ascii="Georgia" w:hAnsi="Georgia" w:cs="Times New Roman (Body CS)"/>
        </w:rPr>
      </w:pPr>
      <w:r>
        <w:rPr>
          <w:rFonts w:ascii="Georgia" w:hAnsi="Georgia" w:cs="Times New Roman (Body CS)"/>
        </w:rPr>
        <w:t>Shell’s</w:t>
      </w:r>
      <w:r w:rsidR="0070652A" w:rsidRPr="00A4259B">
        <w:rPr>
          <w:rFonts w:ascii="Georgia" w:hAnsi="Georgia" w:cs="Times New Roman (Body CS)"/>
        </w:rPr>
        <w:t xml:space="preserve"> ship has sailed. Barring </w:t>
      </w:r>
      <w:r w:rsidR="000733EF" w:rsidRPr="00A4259B">
        <w:rPr>
          <w:rFonts w:ascii="Georgia" w:hAnsi="Georgia" w:cs="Times New Roman (Body CS)"/>
        </w:rPr>
        <w:t>unforeseen</w:t>
      </w:r>
      <w:r w:rsidR="0070652A" w:rsidRPr="00A4259B">
        <w:rPr>
          <w:rFonts w:ascii="Georgia" w:hAnsi="Georgia" w:cs="Times New Roman (Body CS)"/>
        </w:rPr>
        <w:t xml:space="preserve"> impediments, the Complex will open for business</w:t>
      </w:r>
      <w:r w:rsidR="000733EF" w:rsidRPr="00A4259B">
        <w:rPr>
          <w:rFonts w:ascii="Georgia" w:hAnsi="Georgia" w:cs="Times New Roman (Body CS)"/>
        </w:rPr>
        <w:t xml:space="preserve"> soon</w:t>
      </w:r>
      <w:r w:rsidR="0070652A" w:rsidRPr="00A4259B">
        <w:rPr>
          <w:rFonts w:ascii="Georgia" w:hAnsi="Georgia" w:cs="Times New Roman (Body CS)"/>
        </w:rPr>
        <w:t xml:space="preserve">. And, right or wrong, the Commonwealth has codified </w:t>
      </w:r>
      <w:r w:rsidR="008720B8">
        <w:rPr>
          <w:rFonts w:ascii="Georgia" w:hAnsi="Georgia" w:cs="Times New Roman (Body CS)"/>
        </w:rPr>
        <w:t xml:space="preserve">through legislation </w:t>
      </w:r>
      <w:r w:rsidR="0070652A" w:rsidRPr="00A4259B">
        <w:rPr>
          <w:rFonts w:ascii="Georgia" w:hAnsi="Georgia" w:cs="Times New Roman (Body CS)"/>
        </w:rPr>
        <w:t xml:space="preserve">its commitment to investment in the Complex. Everything is moving forward. </w:t>
      </w:r>
    </w:p>
    <w:p w14:paraId="6E5AF8A2" w14:textId="77777777" w:rsidR="00924E28" w:rsidRPr="00A4259B" w:rsidRDefault="00924E28" w:rsidP="00924E28">
      <w:pPr>
        <w:rPr>
          <w:rFonts w:ascii="Georgia" w:hAnsi="Georgia" w:cs="Times New Roman (Body CS)"/>
          <w:sz w:val="16"/>
        </w:rPr>
      </w:pPr>
    </w:p>
    <w:p w14:paraId="5546C852" w14:textId="17F338AC" w:rsidR="004747DA" w:rsidRPr="00A4259B" w:rsidRDefault="004747DA" w:rsidP="003B7424">
      <w:pPr>
        <w:spacing w:line="300" w:lineRule="atLeast"/>
        <w:ind w:left="360"/>
        <w:rPr>
          <w:rFonts w:ascii="Georgia" w:hAnsi="Georgia" w:cs="Times New Roman (Body CS)"/>
        </w:rPr>
      </w:pPr>
      <w:r w:rsidRPr="00A4259B">
        <w:rPr>
          <w:rFonts w:ascii="Georgia" w:hAnsi="Georgia" w:cs="Times New Roman (Body CS)"/>
        </w:rPr>
        <w:t xml:space="preserve">New public/private partnerships involving tax expenditures will emerge. When future partnerships are weighed, public trust is best served by considering the benefits expected but also the costs involved. </w:t>
      </w:r>
      <w:r w:rsidR="00F23252" w:rsidRPr="00A4259B">
        <w:rPr>
          <w:rFonts w:ascii="Georgia" w:hAnsi="Georgia" w:cs="Times New Roman (Body CS)"/>
        </w:rPr>
        <w:t>My</w:t>
      </w:r>
      <w:r w:rsidR="0070652A" w:rsidRPr="00A4259B">
        <w:rPr>
          <w:rFonts w:ascii="Georgia" w:hAnsi="Georgia" w:cs="Times New Roman (Body CS)"/>
        </w:rPr>
        <w:t xml:space="preserve"> advice </w:t>
      </w:r>
      <w:r w:rsidR="00924E28" w:rsidRPr="00A4259B">
        <w:rPr>
          <w:rFonts w:ascii="Georgia" w:hAnsi="Georgia" w:cs="Times New Roman (Body CS)"/>
        </w:rPr>
        <w:t xml:space="preserve">to seek </w:t>
      </w:r>
      <w:r w:rsidR="008720B8">
        <w:rPr>
          <w:rFonts w:ascii="Georgia" w:hAnsi="Georgia" w:cs="Times New Roman (Body CS)"/>
        </w:rPr>
        <w:t xml:space="preserve">fair-minded, </w:t>
      </w:r>
      <w:r w:rsidR="00924E28" w:rsidRPr="00A4259B">
        <w:rPr>
          <w:rFonts w:ascii="Georgia" w:hAnsi="Georgia" w:cs="Times New Roman (Body CS)"/>
        </w:rPr>
        <w:t>comprehensive impact estimate</w:t>
      </w:r>
      <w:r w:rsidR="00F23252" w:rsidRPr="00A4259B">
        <w:rPr>
          <w:rFonts w:ascii="Georgia" w:hAnsi="Georgia" w:cs="Times New Roman (Body CS)"/>
        </w:rPr>
        <w:t>s</w:t>
      </w:r>
      <w:r w:rsidR="00924E28" w:rsidRPr="00A4259B">
        <w:rPr>
          <w:rFonts w:ascii="Georgia" w:hAnsi="Georgia" w:cs="Times New Roman (Body CS)"/>
        </w:rPr>
        <w:t xml:space="preserve"> before </w:t>
      </w:r>
      <w:r w:rsidR="00F23252" w:rsidRPr="00A4259B">
        <w:rPr>
          <w:rFonts w:ascii="Georgia" w:hAnsi="Georgia" w:cs="Times New Roman (Body CS)"/>
        </w:rPr>
        <w:t xml:space="preserve">making </w:t>
      </w:r>
      <w:r w:rsidR="009263BD" w:rsidRPr="00A4259B">
        <w:rPr>
          <w:rFonts w:ascii="Georgia" w:hAnsi="Georgia" w:cs="Times New Roman (Body CS)"/>
        </w:rPr>
        <w:t xml:space="preserve">public/private </w:t>
      </w:r>
      <w:r w:rsidR="00924E28" w:rsidRPr="00A4259B">
        <w:rPr>
          <w:rFonts w:ascii="Georgia" w:hAnsi="Georgia" w:cs="Times New Roman (Body CS)"/>
        </w:rPr>
        <w:t>investment</w:t>
      </w:r>
      <w:r w:rsidR="00F23252" w:rsidRPr="00A4259B">
        <w:rPr>
          <w:rFonts w:ascii="Georgia" w:hAnsi="Georgia" w:cs="Times New Roman (Body CS)"/>
        </w:rPr>
        <w:t>s</w:t>
      </w:r>
      <w:r w:rsidR="00924E28" w:rsidRPr="00A4259B">
        <w:rPr>
          <w:rFonts w:ascii="Georgia" w:hAnsi="Georgia" w:cs="Times New Roman (Body CS)"/>
        </w:rPr>
        <w:t xml:space="preserve"> </w:t>
      </w:r>
      <w:r w:rsidR="0070652A" w:rsidRPr="00A4259B">
        <w:rPr>
          <w:rFonts w:ascii="Georgia" w:hAnsi="Georgia" w:cs="Times New Roman (Body CS)"/>
        </w:rPr>
        <w:t xml:space="preserve">is not new or uncommon. </w:t>
      </w:r>
    </w:p>
    <w:p w14:paraId="013B4FEB" w14:textId="77777777" w:rsidR="004747DA" w:rsidRPr="00A4259B" w:rsidRDefault="004747DA" w:rsidP="004747DA">
      <w:pPr>
        <w:rPr>
          <w:rFonts w:ascii="Georgia" w:hAnsi="Georgia" w:cs="Times New Roman (Body CS)"/>
          <w:sz w:val="16"/>
        </w:rPr>
      </w:pPr>
    </w:p>
    <w:p w14:paraId="185BA250" w14:textId="284A18E0" w:rsidR="0070652A" w:rsidRPr="00A4259B" w:rsidRDefault="00924E28" w:rsidP="003B7424">
      <w:pPr>
        <w:spacing w:line="300" w:lineRule="atLeast"/>
        <w:ind w:left="360"/>
        <w:rPr>
          <w:rFonts w:ascii="Georgia" w:hAnsi="Georgia" w:cs="Times New Roman (Body CS)"/>
        </w:rPr>
      </w:pPr>
      <w:r w:rsidRPr="00A4259B">
        <w:rPr>
          <w:rFonts w:ascii="Georgia" w:hAnsi="Georgia" w:cs="Times New Roman (Body CS)"/>
        </w:rPr>
        <w:t xml:space="preserve">Yet, </w:t>
      </w:r>
      <w:r w:rsidR="00535C1C" w:rsidRPr="00A4259B">
        <w:rPr>
          <w:rFonts w:ascii="Georgia" w:hAnsi="Georgia" w:cs="Times New Roman (Body CS)"/>
        </w:rPr>
        <w:t xml:space="preserve">this </w:t>
      </w:r>
      <w:r w:rsidR="00970F02">
        <w:rPr>
          <w:rFonts w:ascii="Georgia" w:hAnsi="Georgia" w:cs="Times New Roman (Body CS)"/>
        </w:rPr>
        <w:t>common</w:t>
      </w:r>
      <w:r w:rsidR="00B952F5">
        <w:rPr>
          <w:rFonts w:ascii="Georgia" w:hAnsi="Georgia" w:cs="Times New Roman (Body CS)"/>
        </w:rPr>
        <w:t xml:space="preserve"> </w:t>
      </w:r>
      <w:r w:rsidR="00535C1C" w:rsidRPr="00A4259B">
        <w:rPr>
          <w:rFonts w:ascii="Georgia" w:hAnsi="Georgia" w:cs="Times New Roman (Body CS)"/>
        </w:rPr>
        <w:t xml:space="preserve">advice </w:t>
      </w:r>
      <w:r w:rsidRPr="00A4259B">
        <w:rPr>
          <w:rFonts w:ascii="Georgia" w:hAnsi="Georgia" w:cs="Times New Roman (Body CS)"/>
        </w:rPr>
        <w:t>r</w:t>
      </w:r>
      <w:r w:rsidR="0070652A" w:rsidRPr="00A4259B">
        <w:rPr>
          <w:rFonts w:ascii="Georgia" w:hAnsi="Georgia" w:cs="Times New Roman (Body CS)"/>
        </w:rPr>
        <w:t>arely is followed in the heat of deal-making. P</w:t>
      </w:r>
      <w:r w:rsidRPr="00A4259B">
        <w:rPr>
          <w:rFonts w:ascii="Georgia" w:hAnsi="Georgia" w:cs="Times New Roman (Body CS)"/>
        </w:rPr>
        <w:t>ublic/private p</w:t>
      </w:r>
      <w:r w:rsidR="0070652A" w:rsidRPr="00A4259B">
        <w:rPr>
          <w:rFonts w:ascii="Georgia" w:hAnsi="Georgia" w:cs="Times New Roman (Body CS)"/>
        </w:rPr>
        <w:t xml:space="preserve">artnerships are marketed </w:t>
      </w:r>
      <w:r w:rsidR="00CD1E34" w:rsidRPr="00A4259B">
        <w:rPr>
          <w:rFonts w:ascii="Georgia" w:hAnsi="Georgia" w:cs="Times New Roman (Body CS)"/>
        </w:rPr>
        <w:t>as</w:t>
      </w:r>
      <w:r w:rsidR="0070652A" w:rsidRPr="00A4259B">
        <w:rPr>
          <w:rFonts w:ascii="Georgia" w:hAnsi="Georgia" w:cs="Times New Roman (Body CS)"/>
        </w:rPr>
        <w:t xml:space="preserve"> existential imperatives for regional economies. </w:t>
      </w:r>
      <w:r w:rsidR="004747DA" w:rsidRPr="00A4259B">
        <w:rPr>
          <w:rFonts w:ascii="Georgia" w:hAnsi="Georgia" w:cs="Times New Roman (Body CS)"/>
        </w:rPr>
        <w:t xml:space="preserve">The </w:t>
      </w:r>
      <w:r w:rsidR="0070652A" w:rsidRPr="00A4259B">
        <w:rPr>
          <w:rFonts w:ascii="Georgia" w:hAnsi="Georgia" w:cs="Times New Roman (Body CS)"/>
        </w:rPr>
        <w:t>juices</w:t>
      </w:r>
      <w:r w:rsidR="004747DA" w:rsidRPr="00A4259B">
        <w:rPr>
          <w:rFonts w:ascii="Georgia" w:hAnsi="Georgia" w:cs="Times New Roman (Body CS)"/>
        </w:rPr>
        <w:t xml:space="preserve"> of regional competitiveness</w:t>
      </w:r>
      <w:r w:rsidR="0070652A" w:rsidRPr="00A4259B">
        <w:rPr>
          <w:rFonts w:ascii="Georgia" w:hAnsi="Georgia" w:cs="Times New Roman (Body CS)"/>
        </w:rPr>
        <w:t xml:space="preserve"> flow. </w:t>
      </w:r>
      <w:r w:rsidR="00356C28" w:rsidRPr="00A4259B">
        <w:rPr>
          <w:rFonts w:ascii="Georgia" w:hAnsi="Georgia" w:cs="Times New Roman (Body CS)"/>
        </w:rPr>
        <w:t>Editorial</w:t>
      </w:r>
      <w:r w:rsidR="008720B8">
        <w:rPr>
          <w:rFonts w:ascii="Georgia" w:hAnsi="Georgia" w:cs="Times New Roman (Body CS)"/>
        </w:rPr>
        <w:t>s</w:t>
      </w:r>
      <w:r w:rsidR="00356C28" w:rsidRPr="00A4259B">
        <w:rPr>
          <w:rFonts w:ascii="Georgia" w:hAnsi="Georgia" w:cs="Times New Roman (Body CS)"/>
        </w:rPr>
        <w:t xml:space="preserve"> appear. </w:t>
      </w:r>
      <w:r w:rsidR="00A519AB">
        <w:rPr>
          <w:rFonts w:ascii="Georgia" w:hAnsi="Georgia" w:cs="Times New Roman (Body CS)"/>
        </w:rPr>
        <w:lastRenderedPageBreak/>
        <w:t xml:space="preserve">Political and financial heavies add their voices. </w:t>
      </w:r>
      <w:r w:rsidR="0070652A" w:rsidRPr="00A4259B">
        <w:rPr>
          <w:rFonts w:ascii="Georgia" w:hAnsi="Georgia" w:cs="Times New Roman (Body CS)"/>
        </w:rPr>
        <w:t>Financial decisions are required</w:t>
      </w:r>
      <w:r w:rsidR="004747DA" w:rsidRPr="00A4259B">
        <w:rPr>
          <w:rFonts w:ascii="Georgia" w:hAnsi="Georgia" w:cs="Times New Roman (Body CS)"/>
        </w:rPr>
        <w:t xml:space="preserve"> as time runs out</w:t>
      </w:r>
      <w:r w:rsidR="0070652A" w:rsidRPr="00A4259B">
        <w:rPr>
          <w:rFonts w:ascii="Georgia" w:hAnsi="Georgia" w:cs="Times New Roman (Body CS)"/>
        </w:rPr>
        <w:t xml:space="preserve">, or </w:t>
      </w:r>
      <w:r w:rsidR="00535C1C" w:rsidRPr="00A4259B">
        <w:rPr>
          <w:rFonts w:ascii="Georgia" w:hAnsi="Georgia" w:cs="Times New Roman (Body CS)"/>
        </w:rPr>
        <w:t xml:space="preserve">else </w:t>
      </w:r>
      <w:r w:rsidR="0070652A" w:rsidRPr="00A4259B">
        <w:rPr>
          <w:rFonts w:ascii="Georgia" w:hAnsi="Georgia" w:cs="Times New Roman (Body CS)"/>
        </w:rPr>
        <w:t xml:space="preserve">the deal </w:t>
      </w:r>
      <w:r w:rsidR="004747DA" w:rsidRPr="00A4259B">
        <w:rPr>
          <w:rFonts w:ascii="Georgia" w:hAnsi="Georgia" w:cs="Times New Roman (Body CS)"/>
        </w:rPr>
        <w:t>ends</w:t>
      </w:r>
      <w:r w:rsidR="0070652A" w:rsidRPr="00A4259B">
        <w:rPr>
          <w:rFonts w:ascii="Georgia" w:hAnsi="Georgia" w:cs="Times New Roman (Body CS)"/>
        </w:rPr>
        <w:t xml:space="preserve"> fractured. </w:t>
      </w:r>
      <w:r w:rsidR="00B952F5">
        <w:rPr>
          <w:rFonts w:ascii="Georgia" w:hAnsi="Georgia" w:cs="Times New Roman (Body CS)"/>
        </w:rPr>
        <w:t>The process is high-pressure</w:t>
      </w:r>
      <w:r w:rsidR="0097086E">
        <w:rPr>
          <w:rFonts w:ascii="Georgia" w:hAnsi="Georgia" w:cs="Times New Roman (Body CS)"/>
        </w:rPr>
        <w:t xml:space="preserve"> and</w:t>
      </w:r>
      <w:r w:rsidR="00B952F5">
        <w:rPr>
          <w:rFonts w:ascii="Georgia" w:hAnsi="Georgia" w:cs="Times New Roman (Body CS)"/>
        </w:rPr>
        <w:t xml:space="preserve"> political </w:t>
      </w:r>
      <w:r w:rsidR="00A519AB">
        <w:rPr>
          <w:rFonts w:ascii="Georgia" w:hAnsi="Georgia" w:cs="Times New Roman (Body CS)"/>
        </w:rPr>
        <w:t xml:space="preserve">and </w:t>
      </w:r>
      <w:r w:rsidR="00EB1A17">
        <w:rPr>
          <w:rFonts w:ascii="Georgia" w:hAnsi="Georgia" w:cs="Times New Roman (Body CS)"/>
        </w:rPr>
        <w:t>shoves</w:t>
      </w:r>
      <w:r w:rsidR="00B952F5">
        <w:rPr>
          <w:rFonts w:ascii="Georgia" w:hAnsi="Georgia" w:cs="Times New Roman (Body CS)"/>
        </w:rPr>
        <w:t xml:space="preserve"> aside </w:t>
      </w:r>
      <w:r w:rsidR="00EB1A17">
        <w:rPr>
          <w:rFonts w:ascii="Georgia" w:hAnsi="Georgia" w:cs="Times New Roman (Body CS)"/>
        </w:rPr>
        <w:t>information that might not support the deal.</w:t>
      </w:r>
    </w:p>
    <w:p w14:paraId="53C88618" w14:textId="77777777" w:rsidR="00535C1C" w:rsidRPr="00A4259B" w:rsidRDefault="00535C1C" w:rsidP="00535C1C">
      <w:pPr>
        <w:rPr>
          <w:rFonts w:ascii="Georgia" w:hAnsi="Georgia" w:cs="Times New Roman (Body CS)"/>
          <w:sz w:val="16"/>
        </w:rPr>
      </w:pPr>
    </w:p>
    <w:p w14:paraId="3FB7DFAB" w14:textId="7F050C77" w:rsidR="00535C1C" w:rsidRPr="00A4259B" w:rsidRDefault="008720B8" w:rsidP="003B7424">
      <w:pPr>
        <w:spacing w:line="300" w:lineRule="atLeast"/>
        <w:ind w:left="360"/>
        <w:rPr>
          <w:rFonts w:ascii="Georgia" w:hAnsi="Georgia" w:cs="Times New Roman (Body CS)"/>
        </w:rPr>
      </w:pPr>
      <w:r>
        <w:rPr>
          <w:rFonts w:ascii="Georgia" w:hAnsi="Georgia" w:cs="Times New Roman (Body CS)"/>
        </w:rPr>
        <w:t>Two e</w:t>
      </w:r>
      <w:r w:rsidR="00A82773" w:rsidRPr="00A4259B">
        <w:rPr>
          <w:rFonts w:ascii="Georgia" w:hAnsi="Georgia" w:cs="Times New Roman (Body CS)"/>
        </w:rPr>
        <w:t>xamples of some costs to consider</w:t>
      </w:r>
      <w:r w:rsidR="003A0F3C" w:rsidRPr="00A4259B">
        <w:rPr>
          <w:rFonts w:ascii="Georgia" w:hAnsi="Georgia" w:cs="Times New Roman (Body CS)"/>
        </w:rPr>
        <w:t xml:space="preserve"> when evaluating </w:t>
      </w:r>
      <w:proofErr w:type="spellStart"/>
      <w:r w:rsidR="003A0F3C" w:rsidRPr="00A4259B">
        <w:rPr>
          <w:rFonts w:ascii="Georgia" w:hAnsi="Georgia" w:cs="Times New Roman (Body CS)"/>
        </w:rPr>
        <w:t>pubic</w:t>
      </w:r>
      <w:proofErr w:type="spellEnd"/>
      <w:r w:rsidR="003A0F3C" w:rsidRPr="00A4259B">
        <w:rPr>
          <w:rFonts w:ascii="Georgia" w:hAnsi="Georgia" w:cs="Times New Roman (Body CS)"/>
        </w:rPr>
        <w:t>/private partnerships</w:t>
      </w:r>
      <w:r w:rsidR="00A82773" w:rsidRPr="00A4259B">
        <w:rPr>
          <w:rFonts w:ascii="Georgia" w:hAnsi="Georgia" w:cs="Times New Roman (Body CS)"/>
        </w:rPr>
        <w:t>:</w:t>
      </w:r>
    </w:p>
    <w:p w14:paraId="68CB5A9F" w14:textId="77777777" w:rsidR="00A82773" w:rsidRPr="00A4259B" w:rsidRDefault="00A82773" w:rsidP="00A82773">
      <w:pPr>
        <w:rPr>
          <w:rFonts w:ascii="Georgia" w:hAnsi="Georgia" w:cs="Times New Roman (Body CS)"/>
          <w:sz w:val="16"/>
        </w:rPr>
      </w:pPr>
    </w:p>
    <w:p w14:paraId="070F663A" w14:textId="2CDA5B19" w:rsidR="00A82773" w:rsidRPr="00A4259B" w:rsidRDefault="0089777A" w:rsidP="007662A4">
      <w:pPr>
        <w:pStyle w:val="ListParagraph"/>
        <w:numPr>
          <w:ilvl w:val="1"/>
          <w:numId w:val="14"/>
        </w:numPr>
        <w:spacing w:line="300" w:lineRule="atLeast"/>
        <w:ind w:left="720"/>
        <w:rPr>
          <w:rFonts w:ascii="Georgia" w:hAnsi="Georgia" w:cs="Times New Roman (Body CS)"/>
        </w:rPr>
      </w:pPr>
      <w:r>
        <w:rPr>
          <w:rFonts w:ascii="Georgia" w:hAnsi="Georgia" w:cs="Times New Roman (Body CS)"/>
          <w:i/>
          <w:iCs/>
        </w:rPr>
        <w:t>Consider e</w:t>
      </w:r>
      <w:r w:rsidR="00A82773" w:rsidRPr="00A4259B">
        <w:rPr>
          <w:rFonts w:ascii="Georgia" w:hAnsi="Georgia" w:cs="Times New Roman (Body CS)"/>
          <w:i/>
          <w:iCs/>
        </w:rPr>
        <w:t>xternalities</w:t>
      </w:r>
      <w:r w:rsidR="00A82773" w:rsidRPr="00A4259B">
        <w:rPr>
          <w:rFonts w:ascii="Georgia" w:hAnsi="Georgia" w:cs="Times New Roman (Body CS)"/>
        </w:rPr>
        <w:t xml:space="preserve">. </w:t>
      </w:r>
    </w:p>
    <w:p w14:paraId="558C2E16" w14:textId="77777777" w:rsidR="00943F91" w:rsidRPr="00943F91" w:rsidRDefault="00943F91" w:rsidP="00943F91">
      <w:pPr>
        <w:ind w:left="360"/>
        <w:rPr>
          <w:rFonts w:ascii="Georgia" w:hAnsi="Georgia" w:cs="Times New Roman (Body CS)"/>
          <w:sz w:val="16"/>
        </w:rPr>
      </w:pPr>
    </w:p>
    <w:p w14:paraId="5167C49C" w14:textId="17BC8013" w:rsidR="007F2AB7" w:rsidRPr="00A4259B" w:rsidRDefault="007F2AB7" w:rsidP="007F2AB7">
      <w:pPr>
        <w:spacing w:line="300" w:lineRule="atLeast"/>
        <w:ind w:left="720"/>
        <w:rPr>
          <w:rFonts w:ascii="Georgia" w:hAnsi="Georgia" w:cs="Times New Roman (Body CS)"/>
        </w:rPr>
      </w:pPr>
      <w:r>
        <w:rPr>
          <w:rFonts w:ascii="Georgia" w:hAnsi="Georgia" w:cs="Times New Roman (Body CS)"/>
        </w:rPr>
        <w:t>P</w:t>
      </w:r>
      <w:r w:rsidRPr="00A4259B">
        <w:rPr>
          <w:rFonts w:ascii="Georgia" w:hAnsi="Georgia" w:cs="Times New Roman (Body CS)"/>
        </w:rPr>
        <w:t xml:space="preserve">rojects like the Complex often are discussed only in fiscal terms. </w:t>
      </w:r>
      <w:r>
        <w:rPr>
          <w:rFonts w:ascii="Georgia" w:hAnsi="Georgia" w:cs="Times New Roman (Body CS)"/>
        </w:rPr>
        <w:t>Separately, though</w:t>
      </w:r>
      <w:r w:rsidRPr="00A4259B">
        <w:rPr>
          <w:rFonts w:ascii="Georgia" w:hAnsi="Georgia" w:cs="Times New Roman (Body CS)"/>
        </w:rPr>
        <w:t xml:space="preserve">, the </w:t>
      </w:r>
      <w:r>
        <w:rPr>
          <w:rFonts w:ascii="Georgia" w:hAnsi="Georgia" w:cs="Times New Roman (Body CS)"/>
        </w:rPr>
        <w:t>Complex’s hazardous by-products are</w:t>
      </w:r>
      <w:r w:rsidRPr="00A4259B">
        <w:rPr>
          <w:rFonts w:ascii="Georgia" w:hAnsi="Georgia" w:cs="Times New Roman (Body CS)"/>
        </w:rPr>
        <w:t xml:space="preserve"> </w:t>
      </w:r>
      <w:r w:rsidR="00970F02">
        <w:rPr>
          <w:rFonts w:ascii="Georgia" w:hAnsi="Georgia" w:cs="Times New Roman (Body CS)"/>
        </w:rPr>
        <w:t>often addressed</w:t>
      </w:r>
      <w:r>
        <w:rPr>
          <w:rFonts w:ascii="Georgia" w:hAnsi="Georgia" w:cs="Times New Roman (Body CS)"/>
        </w:rPr>
        <w:t xml:space="preserve"> by groups seeking to protect the environment </w:t>
      </w:r>
      <w:r w:rsidRPr="00A4259B">
        <w:rPr>
          <w:rFonts w:ascii="Georgia" w:hAnsi="Georgia" w:cs="Times New Roman (Body CS)"/>
        </w:rPr>
        <w:t xml:space="preserve">in the language of epidemiology, medicine, and biostatistics. </w:t>
      </w:r>
      <w:r>
        <w:rPr>
          <w:rFonts w:ascii="Georgia" w:hAnsi="Georgia" w:cs="Times New Roman (Body CS)"/>
        </w:rPr>
        <w:t>S</w:t>
      </w:r>
      <w:r w:rsidRPr="00A4259B">
        <w:rPr>
          <w:rFonts w:ascii="Georgia" w:hAnsi="Georgia" w:cs="Times New Roman (Body CS)"/>
        </w:rPr>
        <w:t>eparati</w:t>
      </w:r>
      <w:r>
        <w:rPr>
          <w:rFonts w:ascii="Georgia" w:hAnsi="Georgia" w:cs="Times New Roman (Body CS)"/>
        </w:rPr>
        <w:t>ng</w:t>
      </w:r>
      <w:r w:rsidRPr="00A4259B">
        <w:rPr>
          <w:rFonts w:ascii="Georgia" w:hAnsi="Georgia" w:cs="Times New Roman (Body CS)"/>
        </w:rPr>
        <w:t xml:space="preserve"> </w:t>
      </w:r>
      <w:r>
        <w:rPr>
          <w:rFonts w:ascii="Georgia" w:hAnsi="Georgia" w:cs="Times New Roman (Body CS)"/>
        </w:rPr>
        <w:t>this</w:t>
      </w:r>
      <w:r w:rsidRPr="00A4259B">
        <w:rPr>
          <w:rFonts w:ascii="Georgia" w:hAnsi="Georgia" w:cs="Times New Roman (Body CS)"/>
        </w:rPr>
        <w:t xml:space="preserve"> discussion </w:t>
      </w:r>
      <w:r>
        <w:rPr>
          <w:rFonts w:ascii="Georgia" w:hAnsi="Georgia" w:cs="Times New Roman (Body CS)"/>
        </w:rPr>
        <w:t>into distinct realm</w:t>
      </w:r>
      <w:r w:rsidR="00D43EC8">
        <w:rPr>
          <w:rFonts w:ascii="Georgia" w:hAnsi="Georgia" w:cs="Times New Roman (Body CS)"/>
        </w:rPr>
        <w:t>s</w:t>
      </w:r>
      <w:r>
        <w:rPr>
          <w:rFonts w:ascii="Georgia" w:hAnsi="Georgia" w:cs="Times New Roman (Body CS)"/>
        </w:rPr>
        <w:t xml:space="preserve"> </w:t>
      </w:r>
      <w:r w:rsidRPr="00A4259B">
        <w:rPr>
          <w:rFonts w:ascii="Georgia" w:hAnsi="Georgia" w:cs="Times New Roman (Body CS)"/>
        </w:rPr>
        <w:t xml:space="preserve">downgrades </w:t>
      </w:r>
      <w:r>
        <w:rPr>
          <w:rFonts w:ascii="Georgia" w:hAnsi="Georgia" w:cs="Times New Roman (Body CS)"/>
        </w:rPr>
        <w:t>any perception</w:t>
      </w:r>
      <w:r w:rsidRPr="00A4259B">
        <w:rPr>
          <w:rFonts w:ascii="Georgia" w:hAnsi="Georgia" w:cs="Times New Roman (Body CS)"/>
        </w:rPr>
        <w:t xml:space="preserve"> </w:t>
      </w:r>
      <w:r>
        <w:rPr>
          <w:rFonts w:ascii="Georgia" w:hAnsi="Georgia" w:cs="Times New Roman (Body CS)"/>
        </w:rPr>
        <w:t>of</w:t>
      </w:r>
      <w:r w:rsidRPr="00A4259B">
        <w:rPr>
          <w:rFonts w:ascii="Georgia" w:hAnsi="Georgia" w:cs="Times New Roman (Body CS)"/>
        </w:rPr>
        <w:t xml:space="preserve"> financial and economic consequences of hazardous by-products, especially those by-products rarely seen or smelled. </w:t>
      </w:r>
      <w:r>
        <w:rPr>
          <w:rFonts w:ascii="Georgia" w:hAnsi="Georgia" w:cs="Times New Roman (Body CS)"/>
        </w:rPr>
        <w:t>A</w:t>
      </w:r>
      <w:r w:rsidRPr="00A4259B">
        <w:rPr>
          <w:rFonts w:ascii="Georgia" w:hAnsi="Georgia" w:cs="Times New Roman (Body CS)"/>
        </w:rPr>
        <w:t>ssessment of proposals for</w:t>
      </w:r>
      <w:r>
        <w:rPr>
          <w:rFonts w:ascii="Georgia" w:hAnsi="Georgia" w:cs="Times New Roman (Body CS)"/>
        </w:rPr>
        <w:t xml:space="preserve"> </w:t>
      </w:r>
      <w:r w:rsidRPr="00A4259B">
        <w:rPr>
          <w:rFonts w:ascii="Georgia" w:hAnsi="Georgia" w:cs="Times New Roman (Body CS)"/>
        </w:rPr>
        <w:t>public/private partnership</w:t>
      </w:r>
      <w:r>
        <w:rPr>
          <w:rFonts w:ascii="Georgia" w:hAnsi="Georgia" w:cs="Times New Roman (Body CS)"/>
        </w:rPr>
        <w:t>s</w:t>
      </w:r>
      <w:r w:rsidRPr="00A4259B">
        <w:rPr>
          <w:rFonts w:ascii="Georgia" w:hAnsi="Georgia" w:cs="Times New Roman (Body CS)"/>
        </w:rPr>
        <w:t xml:space="preserve"> </w:t>
      </w:r>
      <w:r>
        <w:rPr>
          <w:rFonts w:ascii="Georgia" w:hAnsi="Georgia" w:cs="Times New Roman (Body CS)"/>
        </w:rPr>
        <w:t>can factor in the</w:t>
      </w:r>
      <w:r w:rsidRPr="00A4259B">
        <w:rPr>
          <w:rFonts w:ascii="Georgia" w:hAnsi="Georgia" w:cs="Times New Roman (Body CS)"/>
        </w:rPr>
        <w:t xml:space="preserve"> </w:t>
      </w:r>
      <w:r>
        <w:rPr>
          <w:rFonts w:ascii="Georgia" w:hAnsi="Georgia" w:cs="Times New Roman (Body CS)"/>
        </w:rPr>
        <w:t>monetary costs of by-products</w:t>
      </w:r>
      <w:r w:rsidRPr="00A4259B">
        <w:rPr>
          <w:rFonts w:ascii="Georgia" w:hAnsi="Georgia" w:cs="Times New Roman (Body CS)"/>
        </w:rPr>
        <w:t xml:space="preserve">. </w:t>
      </w:r>
    </w:p>
    <w:p w14:paraId="14EE64EC" w14:textId="77777777" w:rsidR="007F2AB7" w:rsidRPr="00A4259B" w:rsidRDefault="007F2AB7" w:rsidP="007F2AB7">
      <w:pPr>
        <w:ind w:left="720"/>
        <w:rPr>
          <w:rFonts w:ascii="Georgia" w:hAnsi="Georgia" w:cs="Times New Roman (Body CS)"/>
          <w:sz w:val="16"/>
        </w:rPr>
      </w:pPr>
    </w:p>
    <w:p w14:paraId="0B80E66F" w14:textId="0FF7C9A6" w:rsidR="00A82773" w:rsidRPr="00A4259B" w:rsidRDefault="00A82773" w:rsidP="007662A4">
      <w:pPr>
        <w:spacing w:line="300" w:lineRule="atLeast"/>
        <w:ind w:left="720"/>
        <w:rPr>
          <w:rFonts w:ascii="Georgia" w:hAnsi="Georgia" w:cs="Times New Roman (Body CS)"/>
        </w:rPr>
      </w:pPr>
      <w:r w:rsidRPr="00A4259B">
        <w:rPr>
          <w:rFonts w:ascii="Georgia" w:hAnsi="Georgia" w:cs="Times New Roman (Body CS)"/>
        </w:rPr>
        <w:t xml:space="preserve">In economics jargon, an externality exists when producing or consuming a </w:t>
      </w:r>
      <w:proofErr w:type="gramStart"/>
      <w:r w:rsidRPr="00A4259B">
        <w:rPr>
          <w:rFonts w:ascii="Georgia" w:hAnsi="Georgia" w:cs="Times New Roman (Body CS)"/>
        </w:rPr>
        <w:t xml:space="preserve">good </w:t>
      </w:r>
      <w:r w:rsidR="00970F02">
        <w:rPr>
          <w:rFonts w:ascii="Georgia" w:hAnsi="Georgia" w:cs="Times New Roman (Body CS)"/>
        </w:rPr>
        <w:t>impacts</w:t>
      </w:r>
      <w:r w:rsidRPr="00A4259B">
        <w:rPr>
          <w:rFonts w:ascii="Georgia" w:hAnsi="Georgia" w:cs="Times New Roman (Body CS)"/>
        </w:rPr>
        <w:t xml:space="preserve"> third parties</w:t>
      </w:r>
      <w:proofErr w:type="gramEnd"/>
      <w:r w:rsidRPr="00A4259B">
        <w:rPr>
          <w:rFonts w:ascii="Georgia" w:hAnsi="Georgia" w:cs="Times New Roman (Body CS)"/>
        </w:rPr>
        <w:t xml:space="preserve"> not directly involved in the production or consumption transaction</w:t>
      </w:r>
      <w:r w:rsidR="003A0F3C" w:rsidRPr="00A4259B">
        <w:rPr>
          <w:rFonts w:ascii="Georgia" w:hAnsi="Georgia" w:cs="Times New Roman (Body CS)"/>
        </w:rPr>
        <w:t>. A negative externality results in costs that are not paid by the producer or consumer but rather by a third party.</w:t>
      </w:r>
    </w:p>
    <w:p w14:paraId="0BAEF27C" w14:textId="77777777" w:rsidR="003A0F3C" w:rsidRPr="00A4259B" w:rsidRDefault="003A0F3C" w:rsidP="007662A4">
      <w:pPr>
        <w:ind w:left="720"/>
        <w:rPr>
          <w:rFonts w:ascii="Georgia" w:hAnsi="Georgia" w:cs="Times New Roman (Body CS)"/>
          <w:sz w:val="16"/>
        </w:rPr>
      </w:pPr>
    </w:p>
    <w:p w14:paraId="764CBE81" w14:textId="422B7989" w:rsidR="003A0F3C" w:rsidRPr="00A4259B" w:rsidRDefault="003A0F3C" w:rsidP="007662A4">
      <w:pPr>
        <w:spacing w:line="300" w:lineRule="atLeast"/>
        <w:ind w:left="720"/>
        <w:rPr>
          <w:rFonts w:ascii="Georgia" w:hAnsi="Georgia" w:cs="Times New Roman (Body CS)"/>
        </w:rPr>
      </w:pPr>
      <w:r w:rsidRPr="00A4259B">
        <w:rPr>
          <w:rFonts w:ascii="Georgia" w:hAnsi="Georgia" w:cs="Times New Roman (Body CS)"/>
        </w:rPr>
        <w:t>Using the Complex as an example, negative externalities could result from cracking ethane and making plastic resin that, incidental to the process, could compromise the health of third-party Pennsylvania citizens and damage the greater Pittsburgh environment</w:t>
      </w:r>
      <w:r w:rsidR="00BA0AB6" w:rsidRPr="00A4259B">
        <w:rPr>
          <w:rFonts w:ascii="Georgia" w:hAnsi="Georgia" w:cs="Times New Roman (Body CS)"/>
        </w:rPr>
        <w:t xml:space="preserve"> through air and water emissions and land contamination</w:t>
      </w:r>
      <w:r w:rsidRPr="00A4259B">
        <w:rPr>
          <w:rFonts w:ascii="Georgia" w:hAnsi="Georgia" w:cs="Times New Roman (Body CS)"/>
        </w:rPr>
        <w:t>.</w:t>
      </w:r>
    </w:p>
    <w:p w14:paraId="6A51F8C1" w14:textId="77777777" w:rsidR="00BA0AB6" w:rsidRPr="00A4259B" w:rsidRDefault="00BA0AB6" w:rsidP="007662A4">
      <w:pPr>
        <w:ind w:left="900"/>
        <w:rPr>
          <w:rFonts w:ascii="Georgia" w:hAnsi="Georgia" w:cs="Times New Roman (Body CS)"/>
          <w:sz w:val="16"/>
        </w:rPr>
      </w:pPr>
    </w:p>
    <w:p w14:paraId="064BB309" w14:textId="2FFFA7C4" w:rsidR="003A0F3C" w:rsidRPr="00A4259B" w:rsidRDefault="0089777A" w:rsidP="007662A4">
      <w:pPr>
        <w:spacing w:line="300" w:lineRule="atLeast"/>
        <w:ind w:left="720"/>
        <w:rPr>
          <w:rFonts w:ascii="Georgia" w:hAnsi="Georgia" w:cs="Times New Roman (Body CS)"/>
        </w:rPr>
      </w:pPr>
      <w:r>
        <w:rPr>
          <w:rFonts w:ascii="Georgia" w:hAnsi="Georgia" w:cs="Times New Roman (Body CS)"/>
        </w:rPr>
        <w:t>Evidence</w:t>
      </w:r>
      <w:r w:rsidR="003A0F3C" w:rsidRPr="00A4259B">
        <w:rPr>
          <w:rFonts w:ascii="Georgia" w:hAnsi="Georgia" w:cs="Times New Roman (Body CS)"/>
        </w:rPr>
        <w:t xml:space="preserve"> of externalities, by themselves, do</w:t>
      </w:r>
      <w:r w:rsidR="00BB7821" w:rsidRPr="00A4259B">
        <w:rPr>
          <w:rFonts w:ascii="Georgia" w:hAnsi="Georgia" w:cs="Times New Roman (Body CS)"/>
        </w:rPr>
        <w:t>es</w:t>
      </w:r>
      <w:r w:rsidR="003A0F3C" w:rsidRPr="00A4259B">
        <w:rPr>
          <w:rFonts w:ascii="Georgia" w:hAnsi="Georgia" w:cs="Times New Roman (Body CS)"/>
        </w:rPr>
        <w:t xml:space="preserve"> not necessarily </w:t>
      </w:r>
      <w:r w:rsidR="00BB7821" w:rsidRPr="00A4259B">
        <w:rPr>
          <w:rFonts w:ascii="Georgia" w:hAnsi="Georgia" w:cs="Times New Roman (Body CS)"/>
        </w:rPr>
        <w:t>kill</w:t>
      </w:r>
      <w:r w:rsidR="003A0F3C" w:rsidRPr="00A4259B">
        <w:rPr>
          <w:rFonts w:ascii="Georgia" w:hAnsi="Georgia" w:cs="Times New Roman (Body CS)"/>
        </w:rPr>
        <w:t xml:space="preserve"> a public/private investment. </w:t>
      </w:r>
      <w:r w:rsidR="00BB7821" w:rsidRPr="00A4259B">
        <w:rPr>
          <w:rFonts w:ascii="Georgia" w:hAnsi="Georgia" w:cs="Times New Roman (Body CS)"/>
        </w:rPr>
        <w:t xml:space="preserve">Having producers or consumers cover the costs of externalities borne by </w:t>
      </w:r>
      <w:r w:rsidR="00A91EAE">
        <w:rPr>
          <w:rFonts w:ascii="Georgia" w:hAnsi="Georgia" w:cs="Times New Roman (Body CS)"/>
        </w:rPr>
        <w:t>third parties</w:t>
      </w:r>
      <w:r w:rsidR="00BB7821" w:rsidRPr="00A4259B">
        <w:rPr>
          <w:rFonts w:ascii="Georgia" w:hAnsi="Georgia" w:cs="Times New Roman (Body CS)"/>
        </w:rPr>
        <w:t xml:space="preserve"> is possible </w:t>
      </w:r>
      <w:r w:rsidR="00A91EAE">
        <w:rPr>
          <w:rFonts w:ascii="Georgia" w:hAnsi="Georgia" w:cs="Times New Roman (Body CS)"/>
        </w:rPr>
        <w:t>through</w:t>
      </w:r>
      <w:r w:rsidR="00BB7821" w:rsidRPr="00A4259B">
        <w:rPr>
          <w:rFonts w:ascii="Georgia" w:hAnsi="Georgia" w:cs="Times New Roman (Body CS)"/>
        </w:rPr>
        <w:t xml:space="preserve"> fees, regulation, cap-and-trade arrangements, </w:t>
      </w:r>
      <w:r w:rsidR="00333CF0" w:rsidRPr="00A4259B">
        <w:rPr>
          <w:rFonts w:ascii="Georgia" w:hAnsi="Georgia" w:cs="Times New Roman (Body CS)"/>
        </w:rPr>
        <w:t xml:space="preserve">or so-called </w:t>
      </w:r>
      <w:r w:rsidR="00D97EC2">
        <w:rPr>
          <w:rFonts w:ascii="Georgia" w:hAnsi="Georgia" w:cs="Times New Roman (Body CS)"/>
        </w:rPr>
        <w:t>“</w:t>
      </w:r>
      <w:r w:rsidR="00333CF0" w:rsidRPr="00A4259B">
        <w:rPr>
          <w:rFonts w:ascii="Georgia" w:hAnsi="Georgia" w:cs="Times New Roman (Body CS)"/>
        </w:rPr>
        <w:t>Pigouvian</w:t>
      </w:r>
      <w:r w:rsidR="00D97EC2">
        <w:rPr>
          <w:rFonts w:ascii="Georgia" w:hAnsi="Georgia" w:cs="Times New Roman (Body CS)"/>
        </w:rPr>
        <w:t>”</w:t>
      </w:r>
      <w:r w:rsidR="00333CF0" w:rsidRPr="00A4259B">
        <w:rPr>
          <w:rFonts w:ascii="Georgia" w:hAnsi="Georgia" w:cs="Times New Roman (Body CS)"/>
        </w:rPr>
        <w:t xml:space="preserve"> taxes on production. Pigouvian taxes shift the costs from society back to the producers of these externalities. T</w:t>
      </w:r>
      <w:r w:rsidR="004A0E9E">
        <w:rPr>
          <w:rFonts w:ascii="Georgia" w:hAnsi="Georgia" w:cs="Times New Roman (Body CS)"/>
        </w:rPr>
        <w:t>hese t</w:t>
      </w:r>
      <w:r w:rsidR="00333CF0" w:rsidRPr="00A4259B">
        <w:rPr>
          <w:rFonts w:ascii="Georgia" w:hAnsi="Georgia" w:cs="Times New Roman (Body CS)"/>
        </w:rPr>
        <w:t xml:space="preserve">axes also eliminate market distortions of artificially low production costs caused </w:t>
      </w:r>
      <w:r w:rsidR="004A0E9E">
        <w:rPr>
          <w:rFonts w:ascii="Georgia" w:hAnsi="Georgia" w:cs="Times New Roman (Body CS)"/>
        </w:rPr>
        <w:t>when</w:t>
      </w:r>
      <w:r w:rsidR="00333CF0" w:rsidRPr="00A4259B">
        <w:rPr>
          <w:rFonts w:ascii="Georgia" w:hAnsi="Georgia" w:cs="Times New Roman (Body CS)"/>
        </w:rPr>
        <w:t xml:space="preserve"> some costs </w:t>
      </w:r>
      <w:r w:rsidR="004A0E9E">
        <w:rPr>
          <w:rFonts w:ascii="Georgia" w:hAnsi="Georgia" w:cs="Times New Roman (Body CS)"/>
        </w:rPr>
        <w:t xml:space="preserve">are passed </w:t>
      </w:r>
      <w:r w:rsidR="00333CF0" w:rsidRPr="00A4259B">
        <w:rPr>
          <w:rFonts w:ascii="Georgia" w:hAnsi="Georgia" w:cs="Times New Roman (Body CS)"/>
        </w:rPr>
        <w:t>along to an innocent third party, often the public.</w:t>
      </w:r>
    </w:p>
    <w:p w14:paraId="64D8C67E" w14:textId="77777777" w:rsidR="002C77C0" w:rsidRPr="00943F91" w:rsidRDefault="002C77C0" w:rsidP="00943F91">
      <w:pPr>
        <w:ind w:left="360"/>
        <w:rPr>
          <w:rFonts w:ascii="Georgia" w:hAnsi="Georgia" w:cs="Times New Roman (Body CS)"/>
          <w:sz w:val="16"/>
        </w:rPr>
      </w:pPr>
    </w:p>
    <w:p w14:paraId="04893584" w14:textId="11B8383F" w:rsidR="00943F91" w:rsidRDefault="00E408F7" w:rsidP="007662A4">
      <w:pPr>
        <w:pStyle w:val="ListParagraph"/>
        <w:numPr>
          <w:ilvl w:val="1"/>
          <w:numId w:val="14"/>
        </w:numPr>
        <w:spacing w:line="300" w:lineRule="atLeast"/>
        <w:ind w:left="720"/>
        <w:rPr>
          <w:rFonts w:ascii="Georgia" w:hAnsi="Georgia" w:cs="Times New Roman (Body CS)"/>
          <w:i/>
          <w:iCs/>
        </w:rPr>
      </w:pPr>
      <w:r w:rsidRPr="00A4259B">
        <w:rPr>
          <w:rFonts w:ascii="Georgia" w:hAnsi="Georgia" w:cs="Times New Roman (Body CS)"/>
          <w:i/>
          <w:iCs/>
        </w:rPr>
        <w:t>Mak</w:t>
      </w:r>
      <w:r w:rsidR="0089777A">
        <w:rPr>
          <w:rFonts w:ascii="Georgia" w:hAnsi="Georgia" w:cs="Times New Roman (Body CS)"/>
          <w:i/>
          <w:iCs/>
        </w:rPr>
        <w:t>e</w:t>
      </w:r>
      <w:r w:rsidR="00333CF0" w:rsidRPr="00A4259B">
        <w:rPr>
          <w:rFonts w:ascii="Georgia" w:hAnsi="Georgia" w:cs="Times New Roman (Body CS)"/>
          <w:i/>
          <w:iCs/>
        </w:rPr>
        <w:t xml:space="preserve"> a </w:t>
      </w:r>
      <w:r w:rsidR="00D97EC2">
        <w:rPr>
          <w:rFonts w:ascii="Georgia" w:hAnsi="Georgia" w:cs="Times New Roman (Body CS)"/>
          <w:i/>
          <w:iCs/>
        </w:rPr>
        <w:t>“</w:t>
      </w:r>
      <w:r w:rsidR="00333CF0" w:rsidRPr="00A4259B">
        <w:rPr>
          <w:rFonts w:ascii="Georgia" w:hAnsi="Georgia" w:cs="Times New Roman (Body CS)"/>
          <w:i/>
          <w:iCs/>
        </w:rPr>
        <w:t>but for</w:t>
      </w:r>
      <w:r w:rsidR="00D97EC2">
        <w:rPr>
          <w:rFonts w:ascii="Georgia" w:hAnsi="Georgia" w:cs="Times New Roman (Body CS)"/>
          <w:i/>
          <w:iCs/>
        </w:rPr>
        <w:t>”</w:t>
      </w:r>
      <w:r w:rsidR="00333CF0" w:rsidRPr="00A4259B">
        <w:rPr>
          <w:rFonts w:ascii="Georgia" w:hAnsi="Georgia" w:cs="Times New Roman (Body CS)"/>
          <w:i/>
          <w:iCs/>
        </w:rPr>
        <w:t xml:space="preserve"> assessment. </w:t>
      </w:r>
    </w:p>
    <w:p w14:paraId="672B36EB" w14:textId="77777777" w:rsidR="00943F91" w:rsidRPr="00943F91" w:rsidRDefault="00943F91" w:rsidP="00943F91">
      <w:pPr>
        <w:ind w:left="360"/>
        <w:rPr>
          <w:rFonts w:ascii="Georgia" w:hAnsi="Georgia" w:cs="Times New Roman (Body CS)"/>
          <w:sz w:val="16"/>
        </w:rPr>
      </w:pPr>
    </w:p>
    <w:p w14:paraId="082F4A17" w14:textId="1BE1E5BC" w:rsidR="00A82773" w:rsidRPr="00943F91" w:rsidRDefault="00A91EAE" w:rsidP="007662A4">
      <w:pPr>
        <w:spacing w:line="300" w:lineRule="atLeast"/>
        <w:ind w:left="720"/>
        <w:rPr>
          <w:rFonts w:ascii="Georgia" w:hAnsi="Georgia" w:cs="Times New Roman (Body CS)"/>
          <w:i/>
          <w:iCs/>
        </w:rPr>
      </w:pPr>
      <w:r>
        <w:rPr>
          <w:rFonts w:ascii="Georgia" w:hAnsi="Georgia" w:cs="Times New Roman (Body CS)"/>
        </w:rPr>
        <w:t>T</w:t>
      </w:r>
      <w:r w:rsidR="0074400E" w:rsidRPr="00943F91">
        <w:rPr>
          <w:rFonts w:ascii="Georgia" w:hAnsi="Georgia" w:cs="Times New Roman (Body CS)"/>
        </w:rPr>
        <w:t xml:space="preserve">he </w:t>
      </w:r>
      <w:r>
        <w:rPr>
          <w:rFonts w:ascii="Georgia" w:hAnsi="Georgia" w:cs="Times New Roman (Body CS)"/>
        </w:rPr>
        <w:t>assessment</w:t>
      </w:r>
      <w:r w:rsidR="0074400E" w:rsidRPr="00943F91">
        <w:rPr>
          <w:rFonts w:ascii="Georgia" w:hAnsi="Georgia" w:cs="Times New Roman (Body CS)"/>
        </w:rPr>
        <w:t xml:space="preserve"> of a private project for public funding could </w:t>
      </w:r>
      <w:r>
        <w:rPr>
          <w:rFonts w:ascii="Georgia" w:hAnsi="Georgia" w:cs="Times New Roman (Body CS)"/>
        </w:rPr>
        <w:t>borrow</w:t>
      </w:r>
      <w:r w:rsidR="00D43EC8">
        <w:rPr>
          <w:rFonts w:ascii="Georgia" w:hAnsi="Georgia" w:cs="Times New Roman (Body CS)"/>
        </w:rPr>
        <w:t xml:space="preserve"> productively</w:t>
      </w:r>
      <w:r>
        <w:rPr>
          <w:rFonts w:ascii="Georgia" w:hAnsi="Georgia" w:cs="Times New Roman (Body CS)"/>
        </w:rPr>
        <w:t xml:space="preserve"> </w:t>
      </w:r>
      <w:r w:rsidRPr="00943F91">
        <w:rPr>
          <w:rFonts w:ascii="Georgia" w:hAnsi="Georgia" w:cs="Times New Roman (Body CS)"/>
        </w:rPr>
        <w:t xml:space="preserve">the </w:t>
      </w:r>
      <w:r w:rsidR="00D97EC2">
        <w:rPr>
          <w:rFonts w:ascii="Georgia" w:hAnsi="Georgia" w:cs="Times New Roman (Body CS)"/>
        </w:rPr>
        <w:t>“</w:t>
      </w:r>
      <w:r w:rsidRPr="00943F91">
        <w:rPr>
          <w:rFonts w:ascii="Georgia" w:hAnsi="Georgia" w:cs="Times New Roman (Body CS)"/>
        </w:rPr>
        <w:t>but for</w:t>
      </w:r>
      <w:r w:rsidR="00D97EC2">
        <w:rPr>
          <w:rFonts w:ascii="Georgia" w:hAnsi="Georgia" w:cs="Times New Roman (Body CS)"/>
        </w:rPr>
        <w:t>”</w:t>
      </w:r>
      <w:r>
        <w:rPr>
          <w:rFonts w:ascii="Georgia" w:hAnsi="Georgia" w:cs="Times New Roman (Body CS)"/>
        </w:rPr>
        <w:t xml:space="preserve"> test</w:t>
      </w:r>
      <w:r w:rsidRPr="00943F91">
        <w:rPr>
          <w:rFonts w:ascii="Georgia" w:hAnsi="Georgia" w:cs="Times New Roman (Body CS)"/>
        </w:rPr>
        <w:t xml:space="preserve"> </w:t>
      </w:r>
      <w:r>
        <w:rPr>
          <w:rFonts w:ascii="Georgia" w:hAnsi="Georgia" w:cs="Times New Roman (Body CS)"/>
        </w:rPr>
        <w:t>from criminal law and the law of torts (i.e</w:t>
      </w:r>
      <w:r w:rsidR="00D97EC2">
        <w:rPr>
          <w:rFonts w:ascii="Georgia" w:hAnsi="Georgia" w:cs="Times New Roman (Body CS)"/>
        </w:rPr>
        <w:t>., “</w:t>
      </w:r>
      <w:r w:rsidRPr="00D43EC8">
        <w:rPr>
          <w:rFonts w:ascii="Georgia" w:hAnsi="Georgia" w:cs="Times New Roman (Body CS)"/>
          <w:i/>
          <w:iCs/>
        </w:rPr>
        <w:t>but for</w:t>
      </w:r>
      <w:r w:rsidRPr="00943F91">
        <w:rPr>
          <w:rFonts w:ascii="Georgia" w:hAnsi="Georgia" w:cs="Times New Roman (Body CS)"/>
        </w:rPr>
        <w:t xml:space="preserve"> the existence of X, would Y have occurred?</w:t>
      </w:r>
      <w:r w:rsidR="00D97EC2">
        <w:rPr>
          <w:rFonts w:ascii="Georgia" w:hAnsi="Georgia" w:cs="Times New Roman (Body CS)"/>
        </w:rPr>
        <w:t>”</w:t>
      </w:r>
      <w:r w:rsidRPr="00943F91">
        <w:rPr>
          <w:rFonts w:ascii="Georgia" w:hAnsi="Georgia" w:cs="Times New Roman (Body CS)"/>
        </w:rPr>
        <w:t>)</w:t>
      </w:r>
      <w:r w:rsidR="0074400E" w:rsidRPr="00943F91">
        <w:rPr>
          <w:rFonts w:ascii="Georgia" w:hAnsi="Georgia" w:cs="Times New Roman (Body CS)"/>
        </w:rPr>
        <w:t>.</w:t>
      </w:r>
    </w:p>
    <w:p w14:paraId="6F4A8AD6" w14:textId="77777777" w:rsidR="0074400E" w:rsidRPr="004A0E9E" w:rsidRDefault="0074400E" w:rsidP="004A0E9E">
      <w:pPr>
        <w:ind w:left="360"/>
        <w:rPr>
          <w:rFonts w:ascii="Georgia" w:hAnsi="Georgia" w:cs="Times New Roman (Body CS)"/>
          <w:sz w:val="16"/>
        </w:rPr>
      </w:pPr>
    </w:p>
    <w:p w14:paraId="479C9380" w14:textId="77777777" w:rsidR="004A0E9E" w:rsidRDefault="00E408F7" w:rsidP="007662A4">
      <w:pPr>
        <w:spacing w:line="300" w:lineRule="atLeast"/>
        <w:ind w:left="720"/>
        <w:rPr>
          <w:rFonts w:ascii="Georgia" w:hAnsi="Georgia" w:cs="Times New Roman (Body CS)"/>
        </w:rPr>
      </w:pPr>
      <w:r w:rsidRPr="00A4259B">
        <w:rPr>
          <w:rFonts w:ascii="Georgia" w:hAnsi="Georgia" w:cs="Times New Roman (Body CS)"/>
        </w:rPr>
        <w:lastRenderedPageBreak/>
        <w:t xml:space="preserve">This criterion </w:t>
      </w:r>
      <w:r w:rsidR="00D97EC2">
        <w:rPr>
          <w:rFonts w:ascii="Georgia" w:hAnsi="Georgia" w:cs="Times New Roman (Body CS)"/>
        </w:rPr>
        <w:t>c</w:t>
      </w:r>
      <w:r w:rsidRPr="00A4259B">
        <w:rPr>
          <w:rFonts w:ascii="Georgia" w:hAnsi="Georgia" w:cs="Times New Roman (Body CS)"/>
        </w:rPr>
        <w:t xml:space="preserve">ould have played well </w:t>
      </w:r>
      <w:r w:rsidR="00D97EC2">
        <w:rPr>
          <w:rFonts w:ascii="Georgia" w:hAnsi="Georgia" w:cs="Times New Roman (Body CS)"/>
        </w:rPr>
        <w:t xml:space="preserve">in </w:t>
      </w:r>
      <w:r w:rsidRPr="00A4259B">
        <w:rPr>
          <w:rFonts w:ascii="Georgia" w:hAnsi="Georgia" w:cs="Times New Roman (Body CS)"/>
        </w:rPr>
        <w:t xml:space="preserve">the </w:t>
      </w:r>
      <w:r w:rsidR="004A0E9E">
        <w:rPr>
          <w:rFonts w:ascii="Georgia" w:hAnsi="Georgia" w:cs="Times New Roman (Body CS)"/>
        </w:rPr>
        <w:t xml:space="preserve">Commonwealth’s </w:t>
      </w:r>
      <w:r w:rsidRPr="00A4259B">
        <w:rPr>
          <w:rFonts w:ascii="Georgia" w:hAnsi="Georgia" w:cs="Times New Roman (Body CS)"/>
        </w:rPr>
        <w:t xml:space="preserve">decision to partner with Shell. </w:t>
      </w:r>
      <w:r w:rsidR="0074400E" w:rsidRPr="00A4259B">
        <w:rPr>
          <w:rFonts w:ascii="Georgia" w:hAnsi="Georgia" w:cs="Times New Roman (Body CS)"/>
        </w:rPr>
        <w:t xml:space="preserve">An open question is whether Shell might have decided to relocate to West Virginia, Ohio, and Pennsylvania, if not Beaver County, even without incentives, especially if the region offers unique and desirable business opportunities. </w:t>
      </w:r>
    </w:p>
    <w:p w14:paraId="07D74659" w14:textId="77777777" w:rsidR="004A0E9E" w:rsidRPr="00A4259B" w:rsidRDefault="004A0E9E" w:rsidP="004A0E9E">
      <w:pPr>
        <w:rPr>
          <w:rFonts w:ascii="Georgia" w:hAnsi="Georgia" w:cs="Times New Roman (Body CS)"/>
          <w:sz w:val="16"/>
        </w:rPr>
      </w:pPr>
    </w:p>
    <w:p w14:paraId="7F9C53D5" w14:textId="7DD3E876" w:rsidR="0074400E" w:rsidRDefault="004A0E9E" w:rsidP="007662A4">
      <w:pPr>
        <w:spacing w:line="300" w:lineRule="atLeast"/>
        <w:ind w:left="720"/>
        <w:rPr>
          <w:rFonts w:ascii="Georgia" w:hAnsi="Georgia" w:cs="Times New Roman (Body CS)"/>
        </w:rPr>
      </w:pPr>
      <w:r>
        <w:rPr>
          <w:rFonts w:ascii="Georgia" w:hAnsi="Georgia" w:cs="Times New Roman (Body CS)"/>
        </w:rPr>
        <w:t xml:space="preserve">A </w:t>
      </w:r>
      <w:r w:rsidR="00D43EC8">
        <w:rPr>
          <w:rFonts w:ascii="Georgia" w:hAnsi="Georgia" w:cs="Times New Roman (Body CS)"/>
        </w:rPr>
        <w:t xml:space="preserve">recent </w:t>
      </w:r>
      <w:r>
        <w:rPr>
          <w:rFonts w:ascii="Georgia" w:hAnsi="Georgia" w:cs="Times New Roman (Body CS)"/>
        </w:rPr>
        <w:t xml:space="preserve">summary of </w:t>
      </w:r>
      <w:r w:rsidR="00E408F7" w:rsidRPr="00A4259B">
        <w:rPr>
          <w:rFonts w:ascii="Georgia" w:hAnsi="Georgia" w:cs="Times New Roman (Body CS)"/>
        </w:rPr>
        <w:t>research indicate</w:t>
      </w:r>
      <w:r w:rsidR="00D43EC8">
        <w:rPr>
          <w:rFonts w:ascii="Georgia" w:hAnsi="Georgia" w:cs="Times New Roman (Body CS)"/>
        </w:rPr>
        <w:t>d</w:t>
      </w:r>
      <w:r w:rsidR="00E408F7" w:rsidRPr="00A4259B">
        <w:rPr>
          <w:rFonts w:ascii="Georgia" w:hAnsi="Georgia" w:cs="Times New Roman (Body CS)"/>
        </w:rPr>
        <w:t xml:space="preserve"> that</w:t>
      </w:r>
      <w:r w:rsidR="0074400E" w:rsidRPr="00A4259B">
        <w:rPr>
          <w:rFonts w:ascii="Georgia" w:hAnsi="Georgia" w:cs="Times New Roman (Body CS)"/>
        </w:rPr>
        <w:t xml:space="preserve">, in 9 out </w:t>
      </w:r>
      <w:r w:rsidR="00970F02">
        <w:rPr>
          <w:rFonts w:ascii="Georgia" w:hAnsi="Georgia" w:cs="Times New Roman (Body CS)"/>
        </w:rPr>
        <w:t xml:space="preserve">of </w:t>
      </w:r>
      <w:r w:rsidR="0074400E" w:rsidRPr="00A4259B">
        <w:rPr>
          <w:rFonts w:ascii="Georgia" w:hAnsi="Georgia" w:cs="Times New Roman (Body CS)"/>
        </w:rPr>
        <w:t>10 cases, firms receive tax incentive</w:t>
      </w:r>
      <w:r w:rsidR="00E408F7" w:rsidRPr="00A4259B">
        <w:rPr>
          <w:rFonts w:ascii="Georgia" w:hAnsi="Georgia" w:cs="Times New Roman (Body CS)"/>
        </w:rPr>
        <w:t xml:space="preserve">s </w:t>
      </w:r>
      <w:r w:rsidR="0074400E" w:rsidRPr="00A4259B">
        <w:rPr>
          <w:rFonts w:ascii="Georgia" w:hAnsi="Georgia" w:cs="Times New Roman (Body CS)"/>
        </w:rPr>
        <w:t>for location decision</w:t>
      </w:r>
      <w:r w:rsidR="00E408F7" w:rsidRPr="00A4259B">
        <w:rPr>
          <w:rFonts w:ascii="Georgia" w:hAnsi="Georgia" w:cs="Times New Roman (Body CS)"/>
        </w:rPr>
        <w:t>s</w:t>
      </w:r>
      <w:r w:rsidR="0074400E" w:rsidRPr="00A4259B">
        <w:rPr>
          <w:rFonts w:ascii="Georgia" w:hAnsi="Georgia" w:cs="Times New Roman (Body CS)"/>
        </w:rPr>
        <w:t xml:space="preserve"> that they would have made, </w:t>
      </w:r>
      <w:r w:rsidR="0074400E" w:rsidRPr="00A4259B">
        <w:rPr>
          <w:rFonts w:ascii="Georgia" w:hAnsi="Georgia" w:cs="Times New Roman (Body CS)"/>
          <w:i/>
          <w:iCs/>
        </w:rPr>
        <w:t xml:space="preserve">even if no incentive had been </w:t>
      </w:r>
      <w:r w:rsidR="00D97EC2">
        <w:rPr>
          <w:rFonts w:ascii="Georgia" w:hAnsi="Georgia" w:cs="Times New Roman (Body CS)"/>
          <w:i/>
          <w:iCs/>
        </w:rPr>
        <w:t>offered</w:t>
      </w:r>
      <w:r w:rsidR="0074400E" w:rsidRPr="00A4259B">
        <w:rPr>
          <w:rFonts w:ascii="Georgia" w:hAnsi="Georgia" w:cs="Times New Roman (Body CS)"/>
          <w:i/>
          <w:iCs/>
        </w:rPr>
        <w:t>.</w:t>
      </w:r>
      <w:r w:rsidR="0074400E" w:rsidRPr="00A4259B">
        <w:rPr>
          <w:rFonts w:ascii="Georgia" w:hAnsi="Georgia" w:cs="Times New Roman (Body CS)"/>
        </w:rPr>
        <w:t xml:space="preserve"> Also, </w:t>
      </w:r>
      <w:r w:rsidR="00E408F7" w:rsidRPr="00A4259B">
        <w:rPr>
          <w:rFonts w:ascii="Georgia" w:hAnsi="Georgia" w:cs="Times New Roman (Body CS)"/>
        </w:rPr>
        <w:t xml:space="preserve">would the </w:t>
      </w:r>
      <w:r w:rsidR="0074400E" w:rsidRPr="00A4259B">
        <w:rPr>
          <w:rFonts w:ascii="Georgia" w:hAnsi="Georgia" w:cs="Times New Roman (Body CS)"/>
        </w:rPr>
        <w:t xml:space="preserve">location of the Complex in Ohio or West Virginia, rather than Pennsylvania, </w:t>
      </w:r>
      <w:r>
        <w:rPr>
          <w:rFonts w:ascii="Georgia" w:hAnsi="Georgia" w:cs="Times New Roman (Body CS)"/>
        </w:rPr>
        <w:t xml:space="preserve">have </w:t>
      </w:r>
      <w:r w:rsidR="00E408F7" w:rsidRPr="00A4259B">
        <w:rPr>
          <w:rFonts w:ascii="Georgia" w:hAnsi="Georgia" w:cs="Times New Roman (Body CS)"/>
        </w:rPr>
        <w:t>prove</w:t>
      </w:r>
      <w:r>
        <w:rPr>
          <w:rFonts w:ascii="Georgia" w:hAnsi="Georgia" w:cs="Times New Roman (Body CS)"/>
        </w:rPr>
        <w:t>d</w:t>
      </w:r>
      <w:r w:rsidR="0074400E" w:rsidRPr="00A4259B">
        <w:rPr>
          <w:rFonts w:ascii="Georgia" w:hAnsi="Georgia" w:cs="Times New Roman (Body CS)"/>
        </w:rPr>
        <w:t xml:space="preserve"> beneficial for Pennsylvania residents in the region</w:t>
      </w:r>
      <w:r w:rsidR="00E408F7" w:rsidRPr="00A4259B">
        <w:rPr>
          <w:rFonts w:ascii="Georgia" w:hAnsi="Georgia" w:cs="Times New Roman (Body CS)"/>
        </w:rPr>
        <w:t xml:space="preserve"> but without</w:t>
      </w:r>
      <w:r w:rsidR="001E7B2C">
        <w:rPr>
          <w:rFonts w:ascii="Georgia" w:hAnsi="Georgia" w:cs="Times New Roman (Body CS)"/>
        </w:rPr>
        <w:t xml:space="preserve"> citizen’s</w:t>
      </w:r>
      <w:r w:rsidR="00E408F7" w:rsidRPr="00A4259B">
        <w:rPr>
          <w:rFonts w:ascii="Georgia" w:hAnsi="Georgia" w:cs="Times New Roman (Body CS)"/>
        </w:rPr>
        <w:t xml:space="preserve"> tax </w:t>
      </w:r>
      <w:r w:rsidR="00A4259B" w:rsidRPr="00A4259B">
        <w:rPr>
          <w:rFonts w:ascii="Georgia" w:hAnsi="Georgia" w:cs="Times New Roman (Body CS)"/>
        </w:rPr>
        <w:t>incentives</w:t>
      </w:r>
      <w:r w:rsidR="00E408F7" w:rsidRPr="00A4259B">
        <w:rPr>
          <w:rFonts w:ascii="Georgia" w:hAnsi="Georgia" w:cs="Times New Roman (Body CS)"/>
        </w:rPr>
        <w:t xml:space="preserve"> </w:t>
      </w:r>
      <w:r w:rsidR="00A4259B" w:rsidRPr="00A4259B">
        <w:rPr>
          <w:rFonts w:ascii="Georgia" w:hAnsi="Georgia" w:cs="Times New Roman (Body CS)"/>
        </w:rPr>
        <w:t>expended?</w:t>
      </w:r>
    </w:p>
    <w:p w14:paraId="2971A556" w14:textId="77777777" w:rsidR="0089777A" w:rsidRPr="001E7B2C" w:rsidRDefault="0089777A" w:rsidP="001E7B2C">
      <w:pPr>
        <w:ind w:left="1080"/>
        <w:rPr>
          <w:rFonts w:ascii="Georgia" w:hAnsi="Georgia" w:cs="Times New Roman (Body CS)"/>
          <w:sz w:val="16"/>
        </w:rPr>
      </w:pPr>
    </w:p>
    <w:p w14:paraId="30F44F83" w14:textId="2721A864" w:rsidR="00CD1E34" w:rsidRPr="00A4259B" w:rsidRDefault="00CD1E34" w:rsidP="00CD1E34">
      <w:pPr>
        <w:spacing w:line="300" w:lineRule="atLeast"/>
        <w:rPr>
          <w:rFonts w:ascii="Georgia" w:hAnsi="Georgia" w:cs="Times New Roman (Body CS)"/>
        </w:rPr>
      </w:pPr>
      <w:r w:rsidRPr="00A4259B">
        <w:rPr>
          <w:rFonts w:ascii="Georgia" w:hAnsi="Georgia" w:cs="Times New Roman (Body CS)"/>
        </w:rPr>
        <w:t xml:space="preserve">My blog posting serves as a cautionary </w:t>
      </w:r>
      <w:r w:rsidR="004A0E9E">
        <w:rPr>
          <w:rFonts w:ascii="Georgia" w:hAnsi="Georgia" w:cs="Times New Roman (Body CS)"/>
        </w:rPr>
        <w:t>note</w:t>
      </w:r>
      <w:r w:rsidRPr="00A4259B">
        <w:rPr>
          <w:rFonts w:ascii="Georgia" w:hAnsi="Georgia" w:cs="Times New Roman (Body CS)"/>
        </w:rPr>
        <w:t xml:space="preserve"> about </w:t>
      </w:r>
      <w:r w:rsidR="00B952F5">
        <w:rPr>
          <w:rFonts w:ascii="Georgia" w:hAnsi="Georgia" w:cs="Times New Roman (Body CS)"/>
        </w:rPr>
        <w:t xml:space="preserve">how </w:t>
      </w:r>
      <w:r w:rsidR="00D43EC8">
        <w:rPr>
          <w:rFonts w:ascii="Georgia" w:hAnsi="Georgia" w:cs="Times New Roman (Body CS)"/>
        </w:rPr>
        <w:t>representatives of the Commonwealth’s citizens</w:t>
      </w:r>
      <w:r w:rsidR="00B952F5">
        <w:rPr>
          <w:rFonts w:ascii="Georgia" w:hAnsi="Georgia" w:cs="Times New Roman (Body CS)"/>
        </w:rPr>
        <w:t xml:space="preserve"> weigh</w:t>
      </w:r>
      <w:r w:rsidRPr="00A4259B">
        <w:rPr>
          <w:rFonts w:ascii="Georgia" w:hAnsi="Georgia" w:cs="Times New Roman (Body CS)"/>
        </w:rPr>
        <w:t xml:space="preserve"> proposals for </w:t>
      </w:r>
      <w:r w:rsidR="00D97EC2">
        <w:rPr>
          <w:rFonts w:ascii="Georgia" w:hAnsi="Georgia" w:cs="Times New Roman (Body CS)"/>
        </w:rPr>
        <w:t>using</w:t>
      </w:r>
      <w:r w:rsidRPr="00A4259B">
        <w:rPr>
          <w:rFonts w:ascii="Georgia" w:hAnsi="Georgia" w:cs="Times New Roman (Body CS)"/>
        </w:rPr>
        <w:t xml:space="preserve"> public monies to subsidize innovation by private enterprises. The case for public </w:t>
      </w:r>
      <w:r w:rsidR="00D43EC8">
        <w:rPr>
          <w:rFonts w:ascii="Georgia" w:hAnsi="Georgia" w:cs="Times New Roman (Body CS)"/>
        </w:rPr>
        <w:t xml:space="preserve">expenditures and </w:t>
      </w:r>
      <w:r w:rsidRPr="00A4259B">
        <w:rPr>
          <w:rFonts w:ascii="Georgia" w:hAnsi="Georgia" w:cs="Times New Roman (Body CS)"/>
        </w:rPr>
        <w:t xml:space="preserve">subsidies often rests solely on the </w:t>
      </w:r>
      <w:r w:rsidR="00D43EC8">
        <w:rPr>
          <w:rFonts w:ascii="Georgia" w:hAnsi="Georgia" w:cs="Times New Roman (Body CS)"/>
        </w:rPr>
        <w:t xml:space="preserve">public’s </w:t>
      </w:r>
      <w:r w:rsidRPr="00A4259B">
        <w:rPr>
          <w:rFonts w:ascii="Georgia" w:hAnsi="Georgia" w:cs="Times New Roman (Body CS)"/>
        </w:rPr>
        <w:t xml:space="preserve">perception of the </w:t>
      </w:r>
      <w:r w:rsidR="00D43EC8">
        <w:rPr>
          <w:rFonts w:ascii="Georgia" w:hAnsi="Georgia" w:cs="Times New Roman (Body CS)"/>
        </w:rPr>
        <w:t xml:space="preserve">positive </w:t>
      </w:r>
      <w:r w:rsidRPr="00A4259B">
        <w:rPr>
          <w:rFonts w:ascii="Georgia" w:hAnsi="Georgia" w:cs="Times New Roman (Body CS)"/>
        </w:rPr>
        <w:t>economic benefits of the innovation</w:t>
      </w:r>
      <w:r w:rsidR="00970F02">
        <w:rPr>
          <w:rFonts w:ascii="Georgia" w:hAnsi="Georgia" w:cs="Times New Roman (Body CS)"/>
        </w:rPr>
        <w:t xml:space="preserve"> derived from formidable, recondite mathematics and software</w:t>
      </w:r>
      <w:r w:rsidRPr="00A4259B">
        <w:rPr>
          <w:rFonts w:ascii="Georgia" w:hAnsi="Georgia" w:cs="Times New Roman (Body CS)"/>
        </w:rPr>
        <w:t xml:space="preserve">. </w:t>
      </w:r>
      <w:r w:rsidR="001E7B2C" w:rsidRPr="00A4259B">
        <w:rPr>
          <w:rFonts w:ascii="Georgia" w:hAnsi="Georgia" w:cs="Times New Roman (Body CS)"/>
        </w:rPr>
        <w:t>Seldom identified and analyzed are the total costs</w:t>
      </w:r>
      <w:r w:rsidR="001E7B2C">
        <w:rPr>
          <w:rFonts w:ascii="Georgia" w:hAnsi="Georgia" w:cs="Times New Roman (Body CS)"/>
        </w:rPr>
        <w:t xml:space="preserve"> and the range of</w:t>
      </w:r>
      <w:r w:rsidR="001E7B2C" w:rsidRPr="00A4259B">
        <w:rPr>
          <w:rFonts w:ascii="Georgia" w:hAnsi="Georgia" w:cs="Times New Roman (Body CS)"/>
        </w:rPr>
        <w:t xml:space="preserve"> risks and uncertainties that the public must bear when deciding to expend current or potential tax revenue.</w:t>
      </w:r>
      <w:r w:rsidR="001E7B2C">
        <w:rPr>
          <w:rFonts w:ascii="Georgia" w:hAnsi="Georgia" w:cs="Times New Roman (Body CS)"/>
        </w:rPr>
        <w:t xml:space="preserve"> P</w:t>
      </w:r>
      <w:r w:rsidRPr="00A4259B">
        <w:rPr>
          <w:rFonts w:ascii="Georgia" w:hAnsi="Georgia" w:cs="Times New Roman (Body CS)"/>
        </w:rPr>
        <w:t xml:space="preserve">roposals touting </w:t>
      </w:r>
      <w:r w:rsidR="00BB5DFF">
        <w:rPr>
          <w:rFonts w:ascii="Georgia" w:hAnsi="Georgia" w:cs="Times New Roman (Body CS)"/>
        </w:rPr>
        <w:t xml:space="preserve">only </w:t>
      </w:r>
      <w:r w:rsidRPr="00A4259B">
        <w:rPr>
          <w:rFonts w:ascii="Georgia" w:hAnsi="Georgia" w:cs="Times New Roman (Body CS)"/>
        </w:rPr>
        <w:t>benefits present merely a one-sided</w:t>
      </w:r>
      <w:r w:rsidR="00BB5DFF">
        <w:rPr>
          <w:rFonts w:ascii="Georgia" w:hAnsi="Georgia" w:cs="Times New Roman (Body CS)"/>
        </w:rPr>
        <w:t>, incomplete</w:t>
      </w:r>
      <w:r w:rsidRPr="00A4259B">
        <w:rPr>
          <w:rFonts w:ascii="Georgia" w:hAnsi="Georgia" w:cs="Times New Roman (Body CS)"/>
        </w:rPr>
        <w:t xml:space="preserve"> argument. </w:t>
      </w:r>
    </w:p>
    <w:p w14:paraId="7B55BF78" w14:textId="77777777" w:rsidR="00CD1E34" w:rsidRPr="00A4259B" w:rsidRDefault="00CD1E34" w:rsidP="00CD1E34">
      <w:pPr>
        <w:rPr>
          <w:rFonts w:ascii="Georgia" w:hAnsi="Georgia" w:cs="Times New Roman (Body CS)"/>
          <w:sz w:val="16"/>
        </w:rPr>
      </w:pPr>
    </w:p>
    <w:p w14:paraId="05A06AC0" w14:textId="17066DB7" w:rsidR="0012637C" w:rsidRPr="0097086E" w:rsidRDefault="0012637C" w:rsidP="0070652A">
      <w:pPr>
        <w:spacing w:line="300" w:lineRule="atLeast"/>
        <w:rPr>
          <w:rFonts w:ascii="Georgia" w:hAnsi="Georgia" w:cs="Times New Roman (Body CS)"/>
          <w:i/>
          <w:iCs/>
        </w:rPr>
      </w:pPr>
      <w:r w:rsidRPr="0097086E">
        <w:rPr>
          <w:rFonts w:ascii="Georgia" w:hAnsi="Georgia" w:cs="Times New Roman (Body CS)"/>
          <w:i/>
          <w:iCs/>
        </w:rPr>
        <w:t>I am available to discuss my essay.</w:t>
      </w:r>
    </w:p>
    <w:p w14:paraId="6CABCDB5" w14:textId="77777777" w:rsidR="009263BD" w:rsidRDefault="009263BD" w:rsidP="0070652A">
      <w:pPr>
        <w:spacing w:line="300" w:lineRule="atLeast"/>
        <w:rPr>
          <w:rFonts w:cs="Times New Roman (Body CS)"/>
        </w:rPr>
      </w:pPr>
    </w:p>
    <w:p w14:paraId="0A305610" w14:textId="26710B61" w:rsidR="00B6628F" w:rsidRDefault="00B6628F" w:rsidP="0070652A">
      <w:pPr>
        <w:spacing w:line="300" w:lineRule="atLeast"/>
        <w:rPr>
          <w:rFonts w:cs="Times New Roman (Body CS)"/>
        </w:rPr>
      </w:pPr>
      <w:r>
        <w:rPr>
          <w:rFonts w:cs="Times New Roman (Body CS)"/>
          <w:noProof/>
        </w:rPr>
        <w:drawing>
          <wp:inline distT="0" distB="0" distL="0" distR="0" wp14:anchorId="50DA04C2" wp14:editId="1B6F324B">
            <wp:extent cx="1644304" cy="3640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5830" cy="397617"/>
                    </a:xfrm>
                    <a:prstGeom prst="rect">
                      <a:avLst/>
                    </a:prstGeom>
                  </pic:spPr>
                </pic:pic>
              </a:graphicData>
            </a:graphic>
          </wp:inline>
        </w:drawing>
      </w:r>
    </w:p>
    <w:p w14:paraId="59CE5A95" w14:textId="5C75F7DE" w:rsidR="00136A6A" w:rsidRDefault="00136A6A" w:rsidP="0070652A">
      <w:pPr>
        <w:spacing w:line="300" w:lineRule="atLeast"/>
        <w:rPr>
          <w:rFonts w:cs="Times New Roman (Body CS)"/>
        </w:rPr>
      </w:pPr>
    </w:p>
    <w:p w14:paraId="0C418F39" w14:textId="018055E3" w:rsidR="00136A6A" w:rsidRPr="00136A6A" w:rsidRDefault="00CD1E34" w:rsidP="007662A4">
      <w:pPr>
        <w:ind w:left="720" w:right="864"/>
        <w:rPr>
          <w:rFonts w:ascii="Georgia" w:hAnsi="Georgia"/>
        </w:rPr>
      </w:pPr>
      <w:r>
        <w:rPr>
          <w:rFonts w:ascii="Georgia" w:hAnsi="Georgia" w:cs="Arial"/>
          <w:sz w:val="19"/>
          <w:szCs w:val="19"/>
          <w:shd w:val="clear" w:color="auto" w:fill="FFFFFF"/>
        </w:rPr>
        <w:t>[</w:t>
      </w:r>
      <w:r w:rsidR="00136A6A">
        <w:rPr>
          <w:rFonts w:ascii="Georgia" w:hAnsi="Georgia" w:cs="Arial"/>
          <w:sz w:val="19"/>
          <w:szCs w:val="19"/>
          <w:shd w:val="clear" w:color="auto" w:fill="FFFFFF"/>
        </w:rPr>
        <w:t xml:space="preserve">I am the sole, independent author of my essay and have not received funds or other support from any entity to complete my essay. </w:t>
      </w:r>
      <w:r w:rsidR="00136A6A" w:rsidRPr="00136A6A">
        <w:rPr>
          <w:rFonts w:ascii="Georgia" w:hAnsi="Georgia" w:cs="Arial"/>
          <w:sz w:val="19"/>
          <w:szCs w:val="19"/>
          <w:shd w:val="clear" w:color="auto" w:fill="FFFFFF"/>
        </w:rPr>
        <w:t xml:space="preserve">I do not mean </w:t>
      </w:r>
      <w:r w:rsidR="00535C1C">
        <w:rPr>
          <w:rFonts w:ascii="Georgia" w:hAnsi="Georgia" w:cs="Arial"/>
          <w:sz w:val="19"/>
          <w:szCs w:val="19"/>
          <w:shd w:val="clear" w:color="auto" w:fill="FFFFFF"/>
        </w:rPr>
        <w:t>my essay</w:t>
      </w:r>
      <w:r w:rsidR="00136A6A" w:rsidRPr="00136A6A">
        <w:rPr>
          <w:rFonts w:ascii="Georgia" w:hAnsi="Georgia" w:cs="Arial"/>
          <w:sz w:val="19"/>
          <w:szCs w:val="19"/>
          <w:shd w:val="clear" w:color="auto" w:fill="FFFFFF"/>
        </w:rPr>
        <w:t xml:space="preserve"> to advocate or denounce, take a position</w:t>
      </w:r>
      <w:r w:rsidR="00136A6A">
        <w:rPr>
          <w:rFonts w:ascii="Georgia" w:hAnsi="Georgia" w:cs="Arial"/>
          <w:sz w:val="19"/>
          <w:szCs w:val="19"/>
          <w:shd w:val="clear" w:color="auto" w:fill="FFFFFF"/>
        </w:rPr>
        <w:t xml:space="preserve"> </w:t>
      </w:r>
      <w:r w:rsidR="00136A6A" w:rsidRPr="00136A6A">
        <w:rPr>
          <w:rStyle w:val="Emphasis"/>
          <w:rFonts w:ascii="Georgia" w:hAnsi="Georgia" w:cs="Arial"/>
          <w:sz w:val="19"/>
          <w:szCs w:val="19"/>
          <w:shd w:val="clear" w:color="auto" w:fill="FFFFFF"/>
        </w:rPr>
        <w:t>pro</w:t>
      </w:r>
      <w:r w:rsidR="00136A6A">
        <w:rPr>
          <w:rFonts w:ascii="Georgia" w:hAnsi="Georgia" w:cs="Arial"/>
          <w:sz w:val="19"/>
          <w:szCs w:val="19"/>
          <w:shd w:val="clear" w:color="auto" w:fill="FFFFFF"/>
        </w:rPr>
        <w:t xml:space="preserve"> </w:t>
      </w:r>
      <w:r w:rsidR="00136A6A" w:rsidRPr="00136A6A">
        <w:rPr>
          <w:rFonts w:ascii="Georgia" w:hAnsi="Georgia" w:cs="Arial"/>
          <w:sz w:val="19"/>
          <w:szCs w:val="19"/>
          <w:shd w:val="clear" w:color="auto" w:fill="FFFFFF"/>
        </w:rPr>
        <w:t>or</w:t>
      </w:r>
      <w:r w:rsidR="00136A6A">
        <w:rPr>
          <w:rFonts w:ascii="Georgia" w:hAnsi="Georgia" w:cs="Arial"/>
          <w:sz w:val="19"/>
          <w:szCs w:val="19"/>
          <w:shd w:val="clear" w:color="auto" w:fill="FFFFFF"/>
        </w:rPr>
        <w:t xml:space="preserve"> </w:t>
      </w:r>
      <w:r w:rsidR="00136A6A" w:rsidRPr="00136A6A">
        <w:rPr>
          <w:rStyle w:val="Emphasis"/>
          <w:rFonts w:ascii="Georgia" w:hAnsi="Georgia" w:cs="Arial"/>
          <w:sz w:val="19"/>
          <w:szCs w:val="19"/>
          <w:shd w:val="clear" w:color="auto" w:fill="FFFFFF"/>
        </w:rPr>
        <w:t>con</w:t>
      </w:r>
      <w:r w:rsidR="00136A6A">
        <w:rPr>
          <w:rFonts w:ascii="Georgia" w:hAnsi="Georgia" w:cs="Arial"/>
          <w:sz w:val="19"/>
          <w:szCs w:val="19"/>
          <w:shd w:val="clear" w:color="auto" w:fill="FFFFFF"/>
        </w:rPr>
        <w:t xml:space="preserve"> </w:t>
      </w:r>
      <w:r w:rsidR="00136A6A" w:rsidRPr="00136A6A">
        <w:rPr>
          <w:rFonts w:ascii="Georgia" w:hAnsi="Georgia" w:cs="Arial"/>
          <w:sz w:val="19"/>
          <w:szCs w:val="19"/>
          <w:shd w:val="clear" w:color="auto" w:fill="FFFFFF"/>
        </w:rPr>
        <w:t xml:space="preserve">about, the Pennsylvania Petrochemicals Complex, although my narrative in </w:t>
      </w:r>
      <w:r w:rsidR="00136A6A">
        <w:rPr>
          <w:rFonts w:ascii="Georgia" w:hAnsi="Georgia" w:cs="Arial"/>
          <w:sz w:val="19"/>
          <w:szCs w:val="19"/>
          <w:shd w:val="clear" w:color="auto" w:fill="FFFFFF"/>
        </w:rPr>
        <w:t>my</w:t>
      </w:r>
      <w:r w:rsidR="00136A6A" w:rsidRPr="00136A6A">
        <w:rPr>
          <w:rFonts w:ascii="Georgia" w:hAnsi="Georgia" w:cs="Arial"/>
          <w:sz w:val="19"/>
          <w:szCs w:val="19"/>
          <w:shd w:val="clear" w:color="auto" w:fill="FFFFFF"/>
        </w:rPr>
        <w:t xml:space="preserve"> </w:t>
      </w:r>
      <w:r w:rsidR="00136A6A">
        <w:rPr>
          <w:rFonts w:ascii="Georgia" w:hAnsi="Georgia" w:cs="Arial"/>
          <w:sz w:val="19"/>
          <w:szCs w:val="19"/>
          <w:shd w:val="clear" w:color="auto" w:fill="FFFFFF"/>
        </w:rPr>
        <w:t xml:space="preserve">blog </w:t>
      </w:r>
      <w:r w:rsidR="00136A6A" w:rsidRPr="00136A6A">
        <w:rPr>
          <w:rFonts w:ascii="Georgia" w:hAnsi="Georgia" w:cs="Arial"/>
          <w:sz w:val="19"/>
          <w:szCs w:val="19"/>
          <w:shd w:val="clear" w:color="auto" w:fill="FFFFFF"/>
        </w:rPr>
        <w:t xml:space="preserve">posting carries a critical and evaluative tone. Instead, I wrote </w:t>
      </w:r>
      <w:r w:rsidR="00136A6A">
        <w:rPr>
          <w:rFonts w:ascii="Georgia" w:hAnsi="Georgia" w:cs="Arial"/>
          <w:sz w:val="19"/>
          <w:szCs w:val="19"/>
          <w:shd w:val="clear" w:color="auto" w:fill="FFFFFF"/>
        </w:rPr>
        <w:t>my essay</w:t>
      </w:r>
      <w:r w:rsidR="00136A6A" w:rsidRPr="00136A6A">
        <w:rPr>
          <w:rFonts w:ascii="Georgia" w:hAnsi="Georgia" w:cs="Arial"/>
          <w:sz w:val="19"/>
          <w:szCs w:val="19"/>
          <w:shd w:val="clear" w:color="auto" w:fill="FFFFFF"/>
        </w:rPr>
        <w:t xml:space="preserve"> </w:t>
      </w:r>
      <w:r w:rsidR="00136A6A">
        <w:rPr>
          <w:rFonts w:ascii="Georgia" w:hAnsi="Georgia" w:cs="Arial"/>
          <w:sz w:val="19"/>
          <w:szCs w:val="19"/>
          <w:shd w:val="clear" w:color="auto" w:fill="FFFFFF"/>
        </w:rPr>
        <w:t xml:space="preserve">in my role as a Pennsylvania citizen </w:t>
      </w:r>
      <w:r w:rsidR="00136A6A" w:rsidRPr="00136A6A">
        <w:rPr>
          <w:rFonts w:ascii="Georgia" w:hAnsi="Georgia" w:cs="Arial"/>
          <w:sz w:val="19"/>
          <w:szCs w:val="19"/>
          <w:shd w:val="clear" w:color="auto" w:fill="FFFFFF"/>
        </w:rPr>
        <w:t>to document and clarify the meanings I attached to the political (somewhat) and economic (more so) history, status, and future of the Complex.</w:t>
      </w:r>
      <w:r>
        <w:rPr>
          <w:rFonts w:ascii="Georgia" w:hAnsi="Georgia" w:cs="Arial"/>
          <w:sz w:val="19"/>
          <w:szCs w:val="19"/>
          <w:shd w:val="clear" w:color="auto" w:fill="FFFFFF"/>
        </w:rPr>
        <w:t>]</w:t>
      </w:r>
    </w:p>
    <w:p w14:paraId="34B2F583" w14:textId="77777777" w:rsidR="00136A6A" w:rsidRPr="0070652A" w:rsidRDefault="00136A6A" w:rsidP="0070652A">
      <w:pPr>
        <w:spacing w:line="300" w:lineRule="atLeast"/>
        <w:rPr>
          <w:rFonts w:cs="Times New Roman (Body CS)"/>
        </w:rPr>
      </w:pPr>
    </w:p>
    <w:sectPr w:rsidR="00136A6A" w:rsidRPr="0070652A" w:rsidSect="004818C6">
      <w:headerReference w:type="default" r:id="rId8"/>
      <w:footerReference w:type="even" r:id="rId9"/>
      <w:footerReference w:type="default" r:id="rId10"/>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BEF3B" w14:textId="77777777" w:rsidR="00EE41CC" w:rsidRDefault="00EE41CC" w:rsidP="002B4A84">
      <w:r>
        <w:separator/>
      </w:r>
    </w:p>
  </w:endnote>
  <w:endnote w:type="continuationSeparator" w:id="0">
    <w:p w14:paraId="7E09A58E" w14:textId="77777777" w:rsidR="00EE41CC" w:rsidRDefault="00EE41CC" w:rsidP="002B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Ǡ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ajan Pro 3 Semibold">
    <w:altName w:val="Cambria"/>
    <w:panose1 w:val="02020602050503020301"/>
    <w:charset w:val="00"/>
    <w:family w:val="roman"/>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7037865"/>
      <w:docPartObj>
        <w:docPartGallery w:val="Page Numbers (Bottom of Page)"/>
        <w:docPartUnique/>
      </w:docPartObj>
    </w:sdtPr>
    <w:sdtContent>
      <w:p w14:paraId="41FA72C8" w14:textId="18960F91" w:rsidR="004818C6" w:rsidRDefault="004818C6" w:rsidP="00A22C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6C4EE1" w14:textId="77777777" w:rsidR="004818C6" w:rsidRDefault="00481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103414003"/>
      <w:docPartObj>
        <w:docPartGallery w:val="Page Numbers (Bottom of Page)"/>
        <w:docPartUnique/>
      </w:docPartObj>
    </w:sdtPr>
    <w:sdtContent>
      <w:p w14:paraId="24EDBB91" w14:textId="19C68C58" w:rsidR="004818C6" w:rsidRPr="004818C6" w:rsidRDefault="004818C6" w:rsidP="00A22CE2">
        <w:pPr>
          <w:pStyle w:val="Footer"/>
          <w:framePr w:wrap="none" w:vAnchor="text" w:hAnchor="margin" w:xAlign="center" w:y="1"/>
          <w:rPr>
            <w:rStyle w:val="PageNumber"/>
            <w:sz w:val="20"/>
            <w:szCs w:val="20"/>
          </w:rPr>
        </w:pPr>
        <w:r w:rsidRPr="004818C6">
          <w:rPr>
            <w:rStyle w:val="PageNumber"/>
            <w:sz w:val="20"/>
            <w:szCs w:val="20"/>
          </w:rPr>
          <w:fldChar w:fldCharType="begin"/>
        </w:r>
        <w:r w:rsidRPr="004818C6">
          <w:rPr>
            <w:rStyle w:val="PageNumber"/>
            <w:sz w:val="20"/>
            <w:szCs w:val="20"/>
          </w:rPr>
          <w:instrText xml:space="preserve"> PAGE </w:instrText>
        </w:r>
        <w:r w:rsidRPr="004818C6">
          <w:rPr>
            <w:rStyle w:val="PageNumber"/>
            <w:sz w:val="20"/>
            <w:szCs w:val="20"/>
          </w:rPr>
          <w:fldChar w:fldCharType="separate"/>
        </w:r>
        <w:r w:rsidRPr="004818C6">
          <w:rPr>
            <w:rStyle w:val="PageNumber"/>
            <w:noProof/>
            <w:sz w:val="20"/>
            <w:szCs w:val="20"/>
          </w:rPr>
          <w:t>1</w:t>
        </w:r>
        <w:r w:rsidRPr="004818C6">
          <w:rPr>
            <w:rStyle w:val="PageNumber"/>
            <w:sz w:val="20"/>
            <w:szCs w:val="20"/>
          </w:rPr>
          <w:fldChar w:fldCharType="end"/>
        </w:r>
      </w:p>
    </w:sdtContent>
  </w:sdt>
  <w:p w14:paraId="7A75E102" w14:textId="4488D3A7" w:rsidR="004818C6" w:rsidRPr="004818C6" w:rsidRDefault="004818C6" w:rsidP="004818C6">
    <w:pPr>
      <w:pStyle w:val="Footer"/>
      <w:tabs>
        <w:tab w:val="clear" w:pos="4680"/>
      </w:tabs>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3DCC5" w14:textId="77777777" w:rsidR="00EE41CC" w:rsidRDefault="00EE41CC" w:rsidP="002B4A84">
      <w:r>
        <w:separator/>
      </w:r>
    </w:p>
  </w:footnote>
  <w:footnote w:type="continuationSeparator" w:id="0">
    <w:p w14:paraId="1352C9CD" w14:textId="77777777" w:rsidR="00EE41CC" w:rsidRDefault="00EE41CC" w:rsidP="002B4A84">
      <w:r>
        <w:continuationSeparator/>
      </w:r>
    </w:p>
  </w:footnote>
  <w:footnote w:id="1">
    <w:p w14:paraId="75427C37" w14:textId="03E08CC8" w:rsidR="00C430B2" w:rsidRDefault="00C430B2">
      <w:pPr>
        <w:pStyle w:val="FootnoteText"/>
      </w:pPr>
      <w:r>
        <w:rPr>
          <w:rStyle w:val="FootnoteReference"/>
        </w:rPr>
        <w:footnoteRef/>
      </w:r>
      <w:r>
        <w:t xml:space="preserve"> Contact Passmore directly to receive the long URL if this shortened URL is </w:t>
      </w:r>
      <w:r w:rsidR="0055140B">
        <w:t>rejected</w:t>
      </w:r>
      <w:r>
        <w:t xml:space="preserve"> by your browser.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933CE" w14:textId="211FDB64" w:rsidR="002B4A84" w:rsidRDefault="002B4A84" w:rsidP="002B4A84">
    <w:pPr>
      <w:jc w:val="right"/>
      <w:rPr>
        <w:rFonts w:ascii="Trajan Pro 3 Semibold" w:hAnsi="Trajan Pro 3 Semibold"/>
        <w:b/>
        <w:bCs/>
      </w:rPr>
    </w:pPr>
  </w:p>
  <w:p w14:paraId="51DE1AAF" w14:textId="77777777" w:rsidR="002B4A84" w:rsidRDefault="002B4A84" w:rsidP="002127AC">
    <w:pPr>
      <w:rPr>
        <w:rFonts w:ascii="Trajan Pro 3 Semibold" w:hAnsi="Trajan Pro 3 Semibold"/>
        <w:b/>
        <w:bCs/>
      </w:rPr>
    </w:pPr>
  </w:p>
  <w:p w14:paraId="7C5D5529" w14:textId="22192821" w:rsidR="002B4A84" w:rsidRPr="004818C6" w:rsidRDefault="004818C6" w:rsidP="004818C6">
    <w:pPr>
      <w:jc w:val="right"/>
      <w:rPr>
        <w:rFonts w:ascii="Trajan Pro 3 Semibold" w:hAnsi="Trajan Pro 3 Semibold" w:cs="Times New Roman (Body CS)"/>
        <w:b/>
        <w:bCs/>
        <w:smallCaps/>
        <w:sz w:val="26"/>
        <w:szCs w:val="26"/>
      </w:rPr>
    </w:pPr>
    <w:proofErr w:type="spellStart"/>
    <w:r w:rsidRPr="004818C6">
      <w:rPr>
        <w:rFonts w:ascii="Trajan Pro 3 Semibold" w:hAnsi="Trajan Pro 3 Semibold" w:cs="Times New Roman (Body CS)"/>
        <w:b/>
        <w:bCs/>
        <w:smallCaps/>
        <w:sz w:val="26"/>
        <w:szCs w:val="26"/>
      </w:rPr>
      <w:t>d</w:t>
    </w:r>
    <w:r w:rsidR="002B4A84" w:rsidRPr="004818C6">
      <w:rPr>
        <w:rFonts w:ascii="Trajan Pro 3 Semibold" w:hAnsi="Trajan Pro 3 Semibold" w:cs="Times New Roman (Body CS)"/>
        <w:b/>
        <w:bCs/>
        <w:smallCaps/>
        <w:sz w:val="26"/>
        <w:szCs w:val="26"/>
      </w:rPr>
      <w:t>avid</w:t>
    </w:r>
    <w:proofErr w:type="spellEnd"/>
    <w:r w:rsidR="002B4A84" w:rsidRPr="004818C6">
      <w:rPr>
        <w:rFonts w:ascii="Trajan Pro 3 Semibold" w:hAnsi="Trajan Pro 3 Semibold" w:cs="Times New Roman (Body CS)"/>
        <w:b/>
        <w:bCs/>
        <w:smallCaps/>
        <w:sz w:val="26"/>
        <w:szCs w:val="26"/>
      </w:rPr>
      <w:t xml:space="preserve"> </w:t>
    </w:r>
    <w:r w:rsidRPr="004818C6">
      <w:rPr>
        <w:rFonts w:ascii="Trajan Pro 3 Semibold" w:hAnsi="Trajan Pro 3 Semibold" w:cs="Times New Roman (Body CS)"/>
        <w:b/>
        <w:bCs/>
        <w:smallCaps/>
        <w:sz w:val="26"/>
        <w:szCs w:val="26"/>
      </w:rPr>
      <w:t>l</w:t>
    </w:r>
    <w:r w:rsidR="002B4A84" w:rsidRPr="004818C6">
      <w:rPr>
        <w:rFonts w:ascii="Trajan Pro 3 Semibold" w:hAnsi="Trajan Pro 3 Semibold" w:cs="Times New Roman (Body CS)"/>
        <w:b/>
        <w:bCs/>
        <w:smallCaps/>
        <w:sz w:val="26"/>
        <w:szCs w:val="26"/>
      </w:rPr>
      <w:t xml:space="preserve">. </w:t>
    </w:r>
    <w:proofErr w:type="spellStart"/>
    <w:r w:rsidRPr="004818C6">
      <w:rPr>
        <w:rFonts w:ascii="Trajan Pro 3 Semibold" w:hAnsi="Trajan Pro 3 Semibold" w:cs="Times New Roman (Body CS)"/>
        <w:b/>
        <w:bCs/>
        <w:smallCaps/>
        <w:sz w:val="26"/>
        <w:szCs w:val="26"/>
      </w:rPr>
      <w:t>p</w:t>
    </w:r>
    <w:r w:rsidR="002B4A84" w:rsidRPr="004818C6">
      <w:rPr>
        <w:rFonts w:ascii="Trajan Pro 3 Semibold" w:hAnsi="Trajan Pro 3 Semibold" w:cs="Times New Roman (Body CS)"/>
        <w:b/>
        <w:bCs/>
        <w:smallCaps/>
        <w:sz w:val="26"/>
        <w:szCs w:val="26"/>
      </w:rPr>
      <w:t>assmore</w:t>
    </w:r>
    <w:proofErr w:type="spellEnd"/>
  </w:p>
  <w:p w14:paraId="0BF4E067" w14:textId="60CEF763" w:rsidR="002B4A84" w:rsidRPr="0030202F" w:rsidRDefault="002B4A84" w:rsidP="001C7DF5">
    <w:pPr>
      <w:pStyle w:val="Header"/>
      <w:tabs>
        <w:tab w:val="clear" w:pos="4680"/>
        <w:tab w:val="right" w:leader="underscore" w:pos="9360"/>
      </w:tabs>
      <w:rPr>
        <w:sz w:val="10"/>
        <w:szCs w:val="10"/>
      </w:rPr>
    </w:pPr>
    <w:r w:rsidRPr="0030202F">
      <w:rPr>
        <w:sz w:val="10"/>
        <w:szCs w:val="10"/>
      </w:rPr>
      <w:tab/>
    </w:r>
  </w:p>
  <w:p w14:paraId="7EF582ED" w14:textId="77777777" w:rsidR="002F25AD" w:rsidRPr="004A0E9E" w:rsidRDefault="002F25AD" w:rsidP="001C7DF5">
    <w:pPr>
      <w:pStyle w:val="Header"/>
      <w:tabs>
        <w:tab w:val="clear" w:pos="4680"/>
        <w:tab w:val="right" w:leader="underscore" w:pos="9360"/>
      </w:tabs>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1636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E0B4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E4D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8CAB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6A6B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36B5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A083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E82B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64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2AFD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F61CB"/>
    <w:multiLevelType w:val="hybridMultilevel"/>
    <w:tmpl w:val="B7AAA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C7E67"/>
    <w:multiLevelType w:val="hybridMultilevel"/>
    <w:tmpl w:val="2F06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C400B"/>
    <w:multiLevelType w:val="hybridMultilevel"/>
    <w:tmpl w:val="74D0BE10"/>
    <w:lvl w:ilvl="0" w:tplc="9F26EECA">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5450F"/>
    <w:multiLevelType w:val="hybridMultilevel"/>
    <w:tmpl w:val="D492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306708">
    <w:abstractNumId w:val="12"/>
  </w:num>
  <w:num w:numId="2" w16cid:durableId="1219702451">
    <w:abstractNumId w:val="0"/>
  </w:num>
  <w:num w:numId="3" w16cid:durableId="503856747">
    <w:abstractNumId w:val="1"/>
  </w:num>
  <w:num w:numId="4" w16cid:durableId="813178634">
    <w:abstractNumId w:val="2"/>
  </w:num>
  <w:num w:numId="5" w16cid:durableId="1307397142">
    <w:abstractNumId w:val="3"/>
  </w:num>
  <w:num w:numId="6" w16cid:durableId="121964709">
    <w:abstractNumId w:val="8"/>
  </w:num>
  <w:num w:numId="7" w16cid:durableId="1161317151">
    <w:abstractNumId w:val="4"/>
  </w:num>
  <w:num w:numId="8" w16cid:durableId="1989168106">
    <w:abstractNumId w:val="5"/>
  </w:num>
  <w:num w:numId="9" w16cid:durableId="903373234">
    <w:abstractNumId w:val="6"/>
  </w:num>
  <w:num w:numId="10" w16cid:durableId="1235969117">
    <w:abstractNumId w:val="7"/>
  </w:num>
  <w:num w:numId="11" w16cid:durableId="258565403">
    <w:abstractNumId w:val="9"/>
  </w:num>
  <w:num w:numId="12" w16cid:durableId="166140330">
    <w:abstractNumId w:val="11"/>
  </w:num>
  <w:num w:numId="13" w16cid:durableId="1832679179">
    <w:abstractNumId w:val="13"/>
  </w:num>
  <w:num w:numId="14" w16cid:durableId="1584412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84"/>
    <w:rsid w:val="00000533"/>
    <w:rsid w:val="00002E1C"/>
    <w:rsid w:val="0000773C"/>
    <w:rsid w:val="00014E8F"/>
    <w:rsid w:val="00016CBE"/>
    <w:rsid w:val="00027606"/>
    <w:rsid w:val="0003098D"/>
    <w:rsid w:val="00030F60"/>
    <w:rsid w:val="000311D0"/>
    <w:rsid w:val="00036E63"/>
    <w:rsid w:val="0004217D"/>
    <w:rsid w:val="0004369E"/>
    <w:rsid w:val="000448D9"/>
    <w:rsid w:val="00051E44"/>
    <w:rsid w:val="00054D7D"/>
    <w:rsid w:val="000625F8"/>
    <w:rsid w:val="000733EF"/>
    <w:rsid w:val="00076747"/>
    <w:rsid w:val="00076863"/>
    <w:rsid w:val="000768B6"/>
    <w:rsid w:val="00083991"/>
    <w:rsid w:val="000851BE"/>
    <w:rsid w:val="00093A97"/>
    <w:rsid w:val="00095A47"/>
    <w:rsid w:val="000A1F60"/>
    <w:rsid w:val="000A2ABF"/>
    <w:rsid w:val="000B383D"/>
    <w:rsid w:val="000B594D"/>
    <w:rsid w:val="000B61F8"/>
    <w:rsid w:val="000C7267"/>
    <w:rsid w:val="000D3E76"/>
    <w:rsid w:val="000D44DA"/>
    <w:rsid w:val="000D71BA"/>
    <w:rsid w:val="000E3ADD"/>
    <w:rsid w:val="000E40B0"/>
    <w:rsid w:val="000E61AA"/>
    <w:rsid w:val="000F0E10"/>
    <w:rsid w:val="00105E0B"/>
    <w:rsid w:val="00107043"/>
    <w:rsid w:val="00110FAC"/>
    <w:rsid w:val="00113816"/>
    <w:rsid w:val="00115AB2"/>
    <w:rsid w:val="001252EA"/>
    <w:rsid w:val="0012637C"/>
    <w:rsid w:val="0013197D"/>
    <w:rsid w:val="00133381"/>
    <w:rsid w:val="0013369A"/>
    <w:rsid w:val="00136A6A"/>
    <w:rsid w:val="00142B37"/>
    <w:rsid w:val="00153FA1"/>
    <w:rsid w:val="00171D24"/>
    <w:rsid w:val="00177901"/>
    <w:rsid w:val="00177BA2"/>
    <w:rsid w:val="001831D2"/>
    <w:rsid w:val="00183639"/>
    <w:rsid w:val="0019643B"/>
    <w:rsid w:val="00197CA2"/>
    <w:rsid w:val="00197F53"/>
    <w:rsid w:val="001A0299"/>
    <w:rsid w:val="001A6FE6"/>
    <w:rsid w:val="001B0922"/>
    <w:rsid w:val="001B3BD6"/>
    <w:rsid w:val="001C106E"/>
    <w:rsid w:val="001C1836"/>
    <w:rsid w:val="001C251A"/>
    <w:rsid w:val="001C29B8"/>
    <w:rsid w:val="001C7DF5"/>
    <w:rsid w:val="001D1B04"/>
    <w:rsid w:val="001D3701"/>
    <w:rsid w:val="001D624B"/>
    <w:rsid w:val="001D6A56"/>
    <w:rsid w:val="001E5125"/>
    <w:rsid w:val="001E7B2C"/>
    <w:rsid w:val="001F3EEE"/>
    <w:rsid w:val="001F615B"/>
    <w:rsid w:val="001F7EEA"/>
    <w:rsid w:val="00200494"/>
    <w:rsid w:val="002021DC"/>
    <w:rsid w:val="002063F5"/>
    <w:rsid w:val="00206B4F"/>
    <w:rsid w:val="002074DE"/>
    <w:rsid w:val="00211C31"/>
    <w:rsid w:val="002127AC"/>
    <w:rsid w:val="00216718"/>
    <w:rsid w:val="00224781"/>
    <w:rsid w:val="00227545"/>
    <w:rsid w:val="00227C1E"/>
    <w:rsid w:val="00230B25"/>
    <w:rsid w:val="00231605"/>
    <w:rsid w:val="00232557"/>
    <w:rsid w:val="002348E0"/>
    <w:rsid w:val="00237D80"/>
    <w:rsid w:val="00240FFA"/>
    <w:rsid w:val="00241E5C"/>
    <w:rsid w:val="0024556C"/>
    <w:rsid w:val="00247436"/>
    <w:rsid w:val="00250D98"/>
    <w:rsid w:val="00260056"/>
    <w:rsid w:val="0027037A"/>
    <w:rsid w:val="002723EF"/>
    <w:rsid w:val="00281D35"/>
    <w:rsid w:val="0028508A"/>
    <w:rsid w:val="00285780"/>
    <w:rsid w:val="00286002"/>
    <w:rsid w:val="002916EA"/>
    <w:rsid w:val="00295B39"/>
    <w:rsid w:val="002A0A9A"/>
    <w:rsid w:val="002A475C"/>
    <w:rsid w:val="002A6C58"/>
    <w:rsid w:val="002B0931"/>
    <w:rsid w:val="002B1696"/>
    <w:rsid w:val="002B3F9F"/>
    <w:rsid w:val="002B4A84"/>
    <w:rsid w:val="002C37DC"/>
    <w:rsid w:val="002C387C"/>
    <w:rsid w:val="002C4935"/>
    <w:rsid w:val="002C6578"/>
    <w:rsid w:val="002C77C0"/>
    <w:rsid w:val="002E0997"/>
    <w:rsid w:val="002E0C3A"/>
    <w:rsid w:val="002E3040"/>
    <w:rsid w:val="002E3B91"/>
    <w:rsid w:val="002E407B"/>
    <w:rsid w:val="002F1C54"/>
    <w:rsid w:val="002F25AD"/>
    <w:rsid w:val="002F5199"/>
    <w:rsid w:val="00300810"/>
    <w:rsid w:val="0030202F"/>
    <w:rsid w:val="003079FD"/>
    <w:rsid w:val="00314DFC"/>
    <w:rsid w:val="003159FA"/>
    <w:rsid w:val="00316EF7"/>
    <w:rsid w:val="0031718F"/>
    <w:rsid w:val="00321267"/>
    <w:rsid w:val="003218D3"/>
    <w:rsid w:val="00325BC8"/>
    <w:rsid w:val="00326C0B"/>
    <w:rsid w:val="00327549"/>
    <w:rsid w:val="003277E9"/>
    <w:rsid w:val="00327C03"/>
    <w:rsid w:val="00327C64"/>
    <w:rsid w:val="00333ACD"/>
    <w:rsid w:val="00333CF0"/>
    <w:rsid w:val="003378D1"/>
    <w:rsid w:val="0035366C"/>
    <w:rsid w:val="00356C28"/>
    <w:rsid w:val="00360A81"/>
    <w:rsid w:val="00371330"/>
    <w:rsid w:val="00374C64"/>
    <w:rsid w:val="003772DF"/>
    <w:rsid w:val="00383907"/>
    <w:rsid w:val="00391C62"/>
    <w:rsid w:val="003A0F3C"/>
    <w:rsid w:val="003A0F82"/>
    <w:rsid w:val="003B3C5B"/>
    <w:rsid w:val="003B452C"/>
    <w:rsid w:val="003B4688"/>
    <w:rsid w:val="003B7424"/>
    <w:rsid w:val="003C3024"/>
    <w:rsid w:val="003C3108"/>
    <w:rsid w:val="003C45E4"/>
    <w:rsid w:val="003C4E2D"/>
    <w:rsid w:val="003D1A8F"/>
    <w:rsid w:val="003D23CA"/>
    <w:rsid w:val="003D324A"/>
    <w:rsid w:val="003D3B60"/>
    <w:rsid w:val="003D6B6F"/>
    <w:rsid w:val="003E5ADC"/>
    <w:rsid w:val="003E6871"/>
    <w:rsid w:val="003E6B7F"/>
    <w:rsid w:val="003F0E31"/>
    <w:rsid w:val="003F3D35"/>
    <w:rsid w:val="003F3D42"/>
    <w:rsid w:val="003F46A2"/>
    <w:rsid w:val="003F54B4"/>
    <w:rsid w:val="003F7178"/>
    <w:rsid w:val="003F77F4"/>
    <w:rsid w:val="00414B83"/>
    <w:rsid w:val="004171A5"/>
    <w:rsid w:val="00423BD8"/>
    <w:rsid w:val="00434D45"/>
    <w:rsid w:val="0043535D"/>
    <w:rsid w:val="00445025"/>
    <w:rsid w:val="004463B4"/>
    <w:rsid w:val="004468C8"/>
    <w:rsid w:val="00450046"/>
    <w:rsid w:val="00453C16"/>
    <w:rsid w:val="00454C2F"/>
    <w:rsid w:val="004560F6"/>
    <w:rsid w:val="004612EC"/>
    <w:rsid w:val="0046452E"/>
    <w:rsid w:val="00465BA0"/>
    <w:rsid w:val="00466323"/>
    <w:rsid w:val="00471BBB"/>
    <w:rsid w:val="00473A79"/>
    <w:rsid w:val="004747DA"/>
    <w:rsid w:val="00477445"/>
    <w:rsid w:val="00480CA9"/>
    <w:rsid w:val="004818C6"/>
    <w:rsid w:val="00490B4A"/>
    <w:rsid w:val="004A0A16"/>
    <w:rsid w:val="004A0E9E"/>
    <w:rsid w:val="004A22EE"/>
    <w:rsid w:val="004A3DF3"/>
    <w:rsid w:val="004B07B2"/>
    <w:rsid w:val="004B2611"/>
    <w:rsid w:val="004B564C"/>
    <w:rsid w:val="004C09E1"/>
    <w:rsid w:val="004C2875"/>
    <w:rsid w:val="004C441A"/>
    <w:rsid w:val="004C68E9"/>
    <w:rsid w:val="004D42BF"/>
    <w:rsid w:val="004D54E3"/>
    <w:rsid w:val="004D68CA"/>
    <w:rsid w:val="004D7E00"/>
    <w:rsid w:val="004E576B"/>
    <w:rsid w:val="004E58ED"/>
    <w:rsid w:val="004F28A5"/>
    <w:rsid w:val="004F391D"/>
    <w:rsid w:val="004F5EC1"/>
    <w:rsid w:val="0050208C"/>
    <w:rsid w:val="00505279"/>
    <w:rsid w:val="005056E9"/>
    <w:rsid w:val="00515551"/>
    <w:rsid w:val="00516C04"/>
    <w:rsid w:val="00521D6C"/>
    <w:rsid w:val="00525C01"/>
    <w:rsid w:val="00535C1C"/>
    <w:rsid w:val="00536DCD"/>
    <w:rsid w:val="00541862"/>
    <w:rsid w:val="005427B1"/>
    <w:rsid w:val="00544820"/>
    <w:rsid w:val="0055140B"/>
    <w:rsid w:val="0055547D"/>
    <w:rsid w:val="00557480"/>
    <w:rsid w:val="0056048A"/>
    <w:rsid w:val="005617DD"/>
    <w:rsid w:val="00564B79"/>
    <w:rsid w:val="005718DB"/>
    <w:rsid w:val="00571A13"/>
    <w:rsid w:val="00572320"/>
    <w:rsid w:val="00572571"/>
    <w:rsid w:val="00573ED2"/>
    <w:rsid w:val="00574233"/>
    <w:rsid w:val="00576BB4"/>
    <w:rsid w:val="0057769A"/>
    <w:rsid w:val="0058172C"/>
    <w:rsid w:val="0058203B"/>
    <w:rsid w:val="00582CBC"/>
    <w:rsid w:val="00583067"/>
    <w:rsid w:val="0058768F"/>
    <w:rsid w:val="00587AA1"/>
    <w:rsid w:val="0059739D"/>
    <w:rsid w:val="00597E21"/>
    <w:rsid w:val="005A2C94"/>
    <w:rsid w:val="005A6C2D"/>
    <w:rsid w:val="005B1F36"/>
    <w:rsid w:val="005B2DF8"/>
    <w:rsid w:val="005B51D7"/>
    <w:rsid w:val="005B5BCD"/>
    <w:rsid w:val="005C06AE"/>
    <w:rsid w:val="005C25D3"/>
    <w:rsid w:val="005C74B5"/>
    <w:rsid w:val="005D593B"/>
    <w:rsid w:val="005D6FDF"/>
    <w:rsid w:val="005E1E0D"/>
    <w:rsid w:val="005E27F1"/>
    <w:rsid w:val="005E55DF"/>
    <w:rsid w:val="005F1BBC"/>
    <w:rsid w:val="005F240E"/>
    <w:rsid w:val="005F40F2"/>
    <w:rsid w:val="0060205B"/>
    <w:rsid w:val="00602C30"/>
    <w:rsid w:val="00604073"/>
    <w:rsid w:val="006062F8"/>
    <w:rsid w:val="006066FC"/>
    <w:rsid w:val="006178C0"/>
    <w:rsid w:val="00622ED6"/>
    <w:rsid w:val="00623513"/>
    <w:rsid w:val="00624ACC"/>
    <w:rsid w:val="00626EA1"/>
    <w:rsid w:val="00627409"/>
    <w:rsid w:val="00640A10"/>
    <w:rsid w:val="00644064"/>
    <w:rsid w:val="00650369"/>
    <w:rsid w:val="00651027"/>
    <w:rsid w:val="00653923"/>
    <w:rsid w:val="006628C5"/>
    <w:rsid w:val="00663F9A"/>
    <w:rsid w:val="0066625A"/>
    <w:rsid w:val="00667A2B"/>
    <w:rsid w:val="00671BB3"/>
    <w:rsid w:val="00671DE6"/>
    <w:rsid w:val="00672920"/>
    <w:rsid w:val="00674B0B"/>
    <w:rsid w:val="006828E4"/>
    <w:rsid w:val="00683466"/>
    <w:rsid w:val="0069400C"/>
    <w:rsid w:val="006A010E"/>
    <w:rsid w:val="006A02AA"/>
    <w:rsid w:val="006A474B"/>
    <w:rsid w:val="006B22CA"/>
    <w:rsid w:val="006B58C6"/>
    <w:rsid w:val="006C35AA"/>
    <w:rsid w:val="006D1589"/>
    <w:rsid w:val="006D38A1"/>
    <w:rsid w:val="006E2BD9"/>
    <w:rsid w:val="006E67F3"/>
    <w:rsid w:val="006F1B4E"/>
    <w:rsid w:val="006F2694"/>
    <w:rsid w:val="006F7640"/>
    <w:rsid w:val="007049A9"/>
    <w:rsid w:val="0070652A"/>
    <w:rsid w:val="007076BE"/>
    <w:rsid w:val="0071248A"/>
    <w:rsid w:val="0071449F"/>
    <w:rsid w:val="00714EEA"/>
    <w:rsid w:val="00716A4B"/>
    <w:rsid w:val="00724605"/>
    <w:rsid w:val="00725715"/>
    <w:rsid w:val="00727CAB"/>
    <w:rsid w:val="00740B89"/>
    <w:rsid w:val="00741D9A"/>
    <w:rsid w:val="0074400E"/>
    <w:rsid w:val="00745AF8"/>
    <w:rsid w:val="0076280F"/>
    <w:rsid w:val="00763003"/>
    <w:rsid w:val="00763CD4"/>
    <w:rsid w:val="007662A4"/>
    <w:rsid w:val="00772DC1"/>
    <w:rsid w:val="0077300E"/>
    <w:rsid w:val="00776D7D"/>
    <w:rsid w:val="00783707"/>
    <w:rsid w:val="00784B69"/>
    <w:rsid w:val="00786D41"/>
    <w:rsid w:val="00791174"/>
    <w:rsid w:val="0079594E"/>
    <w:rsid w:val="00796845"/>
    <w:rsid w:val="007A30F5"/>
    <w:rsid w:val="007A44AD"/>
    <w:rsid w:val="007A4B22"/>
    <w:rsid w:val="007A5844"/>
    <w:rsid w:val="007B20D8"/>
    <w:rsid w:val="007B3682"/>
    <w:rsid w:val="007B3932"/>
    <w:rsid w:val="007B42DB"/>
    <w:rsid w:val="007B4372"/>
    <w:rsid w:val="007B4EC1"/>
    <w:rsid w:val="007B61F6"/>
    <w:rsid w:val="007B70B4"/>
    <w:rsid w:val="007D4092"/>
    <w:rsid w:val="007D4325"/>
    <w:rsid w:val="007D5DF9"/>
    <w:rsid w:val="007E5F5E"/>
    <w:rsid w:val="007E7AB2"/>
    <w:rsid w:val="007F1327"/>
    <w:rsid w:val="007F17D5"/>
    <w:rsid w:val="007F1D9F"/>
    <w:rsid w:val="007F2AB7"/>
    <w:rsid w:val="00804DA0"/>
    <w:rsid w:val="00805099"/>
    <w:rsid w:val="008065BD"/>
    <w:rsid w:val="00806D46"/>
    <w:rsid w:val="008163AD"/>
    <w:rsid w:val="00821DF7"/>
    <w:rsid w:val="00822039"/>
    <w:rsid w:val="008244BA"/>
    <w:rsid w:val="008307E0"/>
    <w:rsid w:val="0083250A"/>
    <w:rsid w:val="008344F7"/>
    <w:rsid w:val="00836640"/>
    <w:rsid w:val="00847DF3"/>
    <w:rsid w:val="008625DD"/>
    <w:rsid w:val="00867E39"/>
    <w:rsid w:val="008720B8"/>
    <w:rsid w:val="0087409E"/>
    <w:rsid w:val="008756D1"/>
    <w:rsid w:val="00875A74"/>
    <w:rsid w:val="00875AC2"/>
    <w:rsid w:val="00876FEC"/>
    <w:rsid w:val="008873A2"/>
    <w:rsid w:val="0089219A"/>
    <w:rsid w:val="0089254A"/>
    <w:rsid w:val="0089777A"/>
    <w:rsid w:val="008A1375"/>
    <w:rsid w:val="008A6B03"/>
    <w:rsid w:val="008B43C3"/>
    <w:rsid w:val="008B6D5E"/>
    <w:rsid w:val="008B71D3"/>
    <w:rsid w:val="008C57EB"/>
    <w:rsid w:val="008C7D36"/>
    <w:rsid w:val="008D2677"/>
    <w:rsid w:val="008D2C00"/>
    <w:rsid w:val="008D5F16"/>
    <w:rsid w:val="008E20EF"/>
    <w:rsid w:val="008E2F37"/>
    <w:rsid w:val="00902B16"/>
    <w:rsid w:val="00903A59"/>
    <w:rsid w:val="00904EFE"/>
    <w:rsid w:val="00906829"/>
    <w:rsid w:val="00912A3A"/>
    <w:rsid w:val="00917A8E"/>
    <w:rsid w:val="00922CCC"/>
    <w:rsid w:val="00923867"/>
    <w:rsid w:val="00924C88"/>
    <w:rsid w:val="00924E28"/>
    <w:rsid w:val="009263BD"/>
    <w:rsid w:val="00942E9A"/>
    <w:rsid w:val="00943895"/>
    <w:rsid w:val="00943F91"/>
    <w:rsid w:val="009441AF"/>
    <w:rsid w:val="00944255"/>
    <w:rsid w:val="0094688D"/>
    <w:rsid w:val="00947E5C"/>
    <w:rsid w:val="009542D0"/>
    <w:rsid w:val="009549B2"/>
    <w:rsid w:val="009605F2"/>
    <w:rsid w:val="0097086E"/>
    <w:rsid w:val="00970F02"/>
    <w:rsid w:val="009719B4"/>
    <w:rsid w:val="00972F97"/>
    <w:rsid w:val="00976C79"/>
    <w:rsid w:val="009829F6"/>
    <w:rsid w:val="00985581"/>
    <w:rsid w:val="00985ADF"/>
    <w:rsid w:val="00986DE6"/>
    <w:rsid w:val="0098784B"/>
    <w:rsid w:val="0099120C"/>
    <w:rsid w:val="00993B07"/>
    <w:rsid w:val="0099424A"/>
    <w:rsid w:val="0099493E"/>
    <w:rsid w:val="00997EDE"/>
    <w:rsid w:val="009A435F"/>
    <w:rsid w:val="009A5298"/>
    <w:rsid w:val="009A7FB3"/>
    <w:rsid w:val="009B320B"/>
    <w:rsid w:val="009B3420"/>
    <w:rsid w:val="009C3ABD"/>
    <w:rsid w:val="009C7E4A"/>
    <w:rsid w:val="009D0226"/>
    <w:rsid w:val="009D27B4"/>
    <w:rsid w:val="009D5D41"/>
    <w:rsid w:val="009E43B9"/>
    <w:rsid w:val="009E6EF6"/>
    <w:rsid w:val="009F2855"/>
    <w:rsid w:val="009F3EF5"/>
    <w:rsid w:val="009F4C4E"/>
    <w:rsid w:val="009F6763"/>
    <w:rsid w:val="009F7FB9"/>
    <w:rsid w:val="00A0001F"/>
    <w:rsid w:val="00A03921"/>
    <w:rsid w:val="00A04486"/>
    <w:rsid w:val="00A052F1"/>
    <w:rsid w:val="00A10277"/>
    <w:rsid w:val="00A211FD"/>
    <w:rsid w:val="00A22157"/>
    <w:rsid w:val="00A221ED"/>
    <w:rsid w:val="00A268BC"/>
    <w:rsid w:val="00A3068C"/>
    <w:rsid w:val="00A334D7"/>
    <w:rsid w:val="00A33997"/>
    <w:rsid w:val="00A4259B"/>
    <w:rsid w:val="00A42ED1"/>
    <w:rsid w:val="00A44075"/>
    <w:rsid w:val="00A46DB9"/>
    <w:rsid w:val="00A4743B"/>
    <w:rsid w:val="00A519AB"/>
    <w:rsid w:val="00A53AC6"/>
    <w:rsid w:val="00A54AEB"/>
    <w:rsid w:val="00A605A8"/>
    <w:rsid w:val="00A677F3"/>
    <w:rsid w:val="00A82773"/>
    <w:rsid w:val="00A83D10"/>
    <w:rsid w:val="00A843EA"/>
    <w:rsid w:val="00A8637D"/>
    <w:rsid w:val="00A873AE"/>
    <w:rsid w:val="00A91EAE"/>
    <w:rsid w:val="00A92A84"/>
    <w:rsid w:val="00A92F6F"/>
    <w:rsid w:val="00A94FA3"/>
    <w:rsid w:val="00AA0976"/>
    <w:rsid w:val="00AA404F"/>
    <w:rsid w:val="00AB5971"/>
    <w:rsid w:val="00AB7C73"/>
    <w:rsid w:val="00AC6C40"/>
    <w:rsid w:val="00AE21F3"/>
    <w:rsid w:val="00AE53A6"/>
    <w:rsid w:val="00AE74BA"/>
    <w:rsid w:val="00AF6B96"/>
    <w:rsid w:val="00B016F6"/>
    <w:rsid w:val="00B128DC"/>
    <w:rsid w:val="00B1293E"/>
    <w:rsid w:val="00B2775C"/>
    <w:rsid w:val="00B329F2"/>
    <w:rsid w:val="00B33D7E"/>
    <w:rsid w:val="00B3569F"/>
    <w:rsid w:val="00B4438C"/>
    <w:rsid w:val="00B5404D"/>
    <w:rsid w:val="00B57473"/>
    <w:rsid w:val="00B61623"/>
    <w:rsid w:val="00B62A8D"/>
    <w:rsid w:val="00B653B0"/>
    <w:rsid w:val="00B6628F"/>
    <w:rsid w:val="00B66CAE"/>
    <w:rsid w:val="00B72B7D"/>
    <w:rsid w:val="00B7376A"/>
    <w:rsid w:val="00B75828"/>
    <w:rsid w:val="00B762A0"/>
    <w:rsid w:val="00B859AA"/>
    <w:rsid w:val="00B85BFC"/>
    <w:rsid w:val="00B903ED"/>
    <w:rsid w:val="00B94F0A"/>
    <w:rsid w:val="00B952F5"/>
    <w:rsid w:val="00BA0AB6"/>
    <w:rsid w:val="00BA3386"/>
    <w:rsid w:val="00BB1A27"/>
    <w:rsid w:val="00BB43F2"/>
    <w:rsid w:val="00BB4522"/>
    <w:rsid w:val="00BB5DFF"/>
    <w:rsid w:val="00BB6A0A"/>
    <w:rsid w:val="00BB7821"/>
    <w:rsid w:val="00BC655A"/>
    <w:rsid w:val="00BD0E71"/>
    <w:rsid w:val="00BD408E"/>
    <w:rsid w:val="00BD456F"/>
    <w:rsid w:val="00BE0326"/>
    <w:rsid w:val="00BE579F"/>
    <w:rsid w:val="00BF217A"/>
    <w:rsid w:val="00BF22F9"/>
    <w:rsid w:val="00BF6A03"/>
    <w:rsid w:val="00C0356D"/>
    <w:rsid w:val="00C07A86"/>
    <w:rsid w:val="00C13541"/>
    <w:rsid w:val="00C14F35"/>
    <w:rsid w:val="00C216CD"/>
    <w:rsid w:val="00C23084"/>
    <w:rsid w:val="00C25163"/>
    <w:rsid w:val="00C272C3"/>
    <w:rsid w:val="00C304B4"/>
    <w:rsid w:val="00C310F7"/>
    <w:rsid w:val="00C32274"/>
    <w:rsid w:val="00C430B2"/>
    <w:rsid w:val="00C550B2"/>
    <w:rsid w:val="00C67985"/>
    <w:rsid w:val="00C76A5A"/>
    <w:rsid w:val="00C84EB6"/>
    <w:rsid w:val="00C92060"/>
    <w:rsid w:val="00CA042D"/>
    <w:rsid w:val="00CB6BC3"/>
    <w:rsid w:val="00CD1E34"/>
    <w:rsid w:val="00CD1EB5"/>
    <w:rsid w:val="00CD30B9"/>
    <w:rsid w:val="00CE1822"/>
    <w:rsid w:val="00CE745D"/>
    <w:rsid w:val="00CF2CB0"/>
    <w:rsid w:val="00CF4B30"/>
    <w:rsid w:val="00D004A2"/>
    <w:rsid w:val="00D0283F"/>
    <w:rsid w:val="00D06565"/>
    <w:rsid w:val="00D15967"/>
    <w:rsid w:val="00D17A14"/>
    <w:rsid w:val="00D20D76"/>
    <w:rsid w:val="00D22A8C"/>
    <w:rsid w:val="00D24B0C"/>
    <w:rsid w:val="00D2709A"/>
    <w:rsid w:val="00D30A83"/>
    <w:rsid w:val="00D30D78"/>
    <w:rsid w:val="00D316AE"/>
    <w:rsid w:val="00D32C21"/>
    <w:rsid w:val="00D34EFA"/>
    <w:rsid w:val="00D36D45"/>
    <w:rsid w:val="00D36E71"/>
    <w:rsid w:val="00D4354E"/>
    <w:rsid w:val="00D43C5E"/>
    <w:rsid w:val="00D43DA0"/>
    <w:rsid w:val="00D43EC8"/>
    <w:rsid w:val="00D4485A"/>
    <w:rsid w:val="00D45AD1"/>
    <w:rsid w:val="00D519D6"/>
    <w:rsid w:val="00D53864"/>
    <w:rsid w:val="00D570AA"/>
    <w:rsid w:val="00D57684"/>
    <w:rsid w:val="00D64FD0"/>
    <w:rsid w:val="00D66B27"/>
    <w:rsid w:val="00D72671"/>
    <w:rsid w:val="00D72F86"/>
    <w:rsid w:val="00D75875"/>
    <w:rsid w:val="00D76607"/>
    <w:rsid w:val="00D80250"/>
    <w:rsid w:val="00D8283F"/>
    <w:rsid w:val="00D832B9"/>
    <w:rsid w:val="00D837CE"/>
    <w:rsid w:val="00D86A1A"/>
    <w:rsid w:val="00D87F61"/>
    <w:rsid w:val="00D90092"/>
    <w:rsid w:val="00D97ABC"/>
    <w:rsid w:val="00D97EC2"/>
    <w:rsid w:val="00DB05FF"/>
    <w:rsid w:val="00DB15CC"/>
    <w:rsid w:val="00DB3119"/>
    <w:rsid w:val="00DC275F"/>
    <w:rsid w:val="00DD25DF"/>
    <w:rsid w:val="00DD2B57"/>
    <w:rsid w:val="00DE0A2B"/>
    <w:rsid w:val="00DE1581"/>
    <w:rsid w:val="00DE4A43"/>
    <w:rsid w:val="00DE7B58"/>
    <w:rsid w:val="00DF26B6"/>
    <w:rsid w:val="00DF3C09"/>
    <w:rsid w:val="00DF3E78"/>
    <w:rsid w:val="00DF7BA3"/>
    <w:rsid w:val="00E01A87"/>
    <w:rsid w:val="00E036D3"/>
    <w:rsid w:val="00E04456"/>
    <w:rsid w:val="00E04FBD"/>
    <w:rsid w:val="00E10912"/>
    <w:rsid w:val="00E126EC"/>
    <w:rsid w:val="00E14031"/>
    <w:rsid w:val="00E2726E"/>
    <w:rsid w:val="00E31E50"/>
    <w:rsid w:val="00E32D34"/>
    <w:rsid w:val="00E37231"/>
    <w:rsid w:val="00E4044C"/>
    <w:rsid w:val="00E408F7"/>
    <w:rsid w:val="00E42377"/>
    <w:rsid w:val="00E50BC9"/>
    <w:rsid w:val="00E5471B"/>
    <w:rsid w:val="00E6008F"/>
    <w:rsid w:val="00E654F1"/>
    <w:rsid w:val="00E71B07"/>
    <w:rsid w:val="00E734E8"/>
    <w:rsid w:val="00E74C18"/>
    <w:rsid w:val="00E75FB7"/>
    <w:rsid w:val="00E76690"/>
    <w:rsid w:val="00E77DB8"/>
    <w:rsid w:val="00E80540"/>
    <w:rsid w:val="00E8143E"/>
    <w:rsid w:val="00E81619"/>
    <w:rsid w:val="00E84658"/>
    <w:rsid w:val="00E85949"/>
    <w:rsid w:val="00E90147"/>
    <w:rsid w:val="00E919E7"/>
    <w:rsid w:val="00E91E40"/>
    <w:rsid w:val="00E9232C"/>
    <w:rsid w:val="00E9547A"/>
    <w:rsid w:val="00E95E6E"/>
    <w:rsid w:val="00E95FBA"/>
    <w:rsid w:val="00E979E1"/>
    <w:rsid w:val="00E97B93"/>
    <w:rsid w:val="00EA2F55"/>
    <w:rsid w:val="00EA3F0F"/>
    <w:rsid w:val="00EB1960"/>
    <w:rsid w:val="00EB1A17"/>
    <w:rsid w:val="00EB20AF"/>
    <w:rsid w:val="00EC07C4"/>
    <w:rsid w:val="00EC0C24"/>
    <w:rsid w:val="00EC40D1"/>
    <w:rsid w:val="00ED0CE4"/>
    <w:rsid w:val="00ED0DAF"/>
    <w:rsid w:val="00ED2DC2"/>
    <w:rsid w:val="00ED6FD4"/>
    <w:rsid w:val="00EE41CC"/>
    <w:rsid w:val="00EE6677"/>
    <w:rsid w:val="00EE6E59"/>
    <w:rsid w:val="00EF5571"/>
    <w:rsid w:val="00F00B27"/>
    <w:rsid w:val="00F010B6"/>
    <w:rsid w:val="00F04DFD"/>
    <w:rsid w:val="00F07360"/>
    <w:rsid w:val="00F07D64"/>
    <w:rsid w:val="00F12C35"/>
    <w:rsid w:val="00F165C8"/>
    <w:rsid w:val="00F23252"/>
    <w:rsid w:val="00F345AD"/>
    <w:rsid w:val="00F42709"/>
    <w:rsid w:val="00F42AEA"/>
    <w:rsid w:val="00F437AE"/>
    <w:rsid w:val="00F4674A"/>
    <w:rsid w:val="00F5222A"/>
    <w:rsid w:val="00F532BB"/>
    <w:rsid w:val="00F573DD"/>
    <w:rsid w:val="00F57CDE"/>
    <w:rsid w:val="00F62140"/>
    <w:rsid w:val="00F62C91"/>
    <w:rsid w:val="00F6471D"/>
    <w:rsid w:val="00F72D9C"/>
    <w:rsid w:val="00F76BF1"/>
    <w:rsid w:val="00F76DD7"/>
    <w:rsid w:val="00F819CA"/>
    <w:rsid w:val="00F839AD"/>
    <w:rsid w:val="00F8479F"/>
    <w:rsid w:val="00F85064"/>
    <w:rsid w:val="00F877D0"/>
    <w:rsid w:val="00F96A6F"/>
    <w:rsid w:val="00FA2935"/>
    <w:rsid w:val="00FA3626"/>
    <w:rsid w:val="00FB0807"/>
    <w:rsid w:val="00FB4252"/>
    <w:rsid w:val="00FB6E25"/>
    <w:rsid w:val="00FB77E8"/>
    <w:rsid w:val="00FC0DCF"/>
    <w:rsid w:val="00FC44FF"/>
    <w:rsid w:val="00FC57B8"/>
    <w:rsid w:val="00FC5C8C"/>
    <w:rsid w:val="00FC6CE9"/>
    <w:rsid w:val="00FD08AD"/>
    <w:rsid w:val="00FD17FE"/>
    <w:rsid w:val="00FD35E8"/>
    <w:rsid w:val="00FD4A0B"/>
    <w:rsid w:val="00FD6221"/>
    <w:rsid w:val="00FE0C41"/>
    <w:rsid w:val="00FE16C5"/>
    <w:rsid w:val="00FE3A20"/>
    <w:rsid w:val="00FF40A1"/>
    <w:rsid w:val="00FF4F85"/>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2E82"/>
  <w15:chartTrackingRefBased/>
  <w15:docId w15:val="{12BC3C57-9689-EF4B-A376-4DB47261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stpara"/>
    <w:qFormat/>
    <w:rsid w:val="00136A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84"/>
    <w:pPr>
      <w:tabs>
        <w:tab w:val="center" w:pos="4680"/>
        <w:tab w:val="right" w:pos="9360"/>
      </w:tabs>
    </w:pPr>
  </w:style>
  <w:style w:type="character" w:customStyle="1" w:styleId="HeaderChar">
    <w:name w:val="Header Char"/>
    <w:basedOn w:val="DefaultParagraphFont"/>
    <w:link w:val="Header"/>
    <w:uiPriority w:val="99"/>
    <w:rsid w:val="002B4A84"/>
  </w:style>
  <w:style w:type="paragraph" w:styleId="Footer">
    <w:name w:val="footer"/>
    <w:basedOn w:val="Normal"/>
    <w:link w:val="FooterChar"/>
    <w:uiPriority w:val="99"/>
    <w:unhideWhenUsed/>
    <w:rsid w:val="002B4A84"/>
    <w:pPr>
      <w:tabs>
        <w:tab w:val="center" w:pos="4680"/>
        <w:tab w:val="right" w:pos="9360"/>
      </w:tabs>
    </w:pPr>
  </w:style>
  <w:style w:type="character" w:customStyle="1" w:styleId="FooterChar">
    <w:name w:val="Footer Char"/>
    <w:basedOn w:val="DefaultParagraphFont"/>
    <w:link w:val="Footer"/>
    <w:uiPriority w:val="99"/>
    <w:rsid w:val="002B4A84"/>
  </w:style>
  <w:style w:type="character" w:styleId="PageNumber">
    <w:name w:val="page number"/>
    <w:basedOn w:val="DefaultParagraphFont"/>
    <w:uiPriority w:val="99"/>
    <w:semiHidden/>
    <w:unhideWhenUsed/>
    <w:rsid w:val="004818C6"/>
  </w:style>
  <w:style w:type="paragraph" w:customStyle="1" w:styleId="para1">
    <w:name w:val="para1"/>
    <w:basedOn w:val="Normal"/>
    <w:next w:val="para2"/>
    <w:qFormat/>
    <w:rsid w:val="001C7DF5"/>
  </w:style>
  <w:style w:type="paragraph" w:customStyle="1" w:styleId="para2">
    <w:name w:val="para2"/>
    <w:basedOn w:val="para1"/>
    <w:next w:val="para1"/>
    <w:qFormat/>
    <w:rsid w:val="00DF7BA3"/>
    <w:pPr>
      <w:ind w:firstLine="288"/>
    </w:pPr>
  </w:style>
  <w:style w:type="paragraph" w:styleId="HTMLPreformatted">
    <w:name w:val="HTML Preformatted"/>
    <w:basedOn w:val="Normal"/>
    <w:link w:val="HTMLPreformattedChar"/>
    <w:uiPriority w:val="99"/>
    <w:semiHidden/>
    <w:unhideWhenUsed/>
    <w:rsid w:val="0062351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23513"/>
    <w:rPr>
      <w:rFonts w:ascii="Consolas" w:hAnsi="Consolas" w:cs="Consolas"/>
      <w:sz w:val="20"/>
      <w:szCs w:val="20"/>
    </w:rPr>
  </w:style>
  <w:style w:type="character" w:styleId="Hyperlink">
    <w:name w:val="Hyperlink"/>
    <w:basedOn w:val="DefaultParagraphFont"/>
    <w:uiPriority w:val="99"/>
    <w:unhideWhenUsed/>
    <w:rsid w:val="00B7376A"/>
    <w:rPr>
      <w:color w:val="0563C1" w:themeColor="hyperlink"/>
      <w:u w:val="single"/>
    </w:rPr>
  </w:style>
  <w:style w:type="character" w:styleId="UnresolvedMention">
    <w:name w:val="Unresolved Mention"/>
    <w:basedOn w:val="DefaultParagraphFont"/>
    <w:uiPriority w:val="99"/>
    <w:semiHidden/>
    <w:unhideWhenUsed/>
    <w:rsid w:val="00B7376A"/>
    <w:rPr>
      <w:color w:val="605E5C"/>
      <w:shd w:val="clear" w:color="auto" w:fill="E1DFDD"/>
    </w:rPr>
  </w:style>
  <w:style w:type="paragraph" w:styleId="BalloonText">
    <w:name w:val="Balloon Text"/>
    <w:basedOn w:val="Normal"/>
    <w:link w:val="BalloonTextChar"/>
    <w:uiPriority w:val="99"/>
    <w:semiHidden/>
    <w:unhideWhenUsed/>
    <w:rsid w:val="00FB0807"/>
    <w:rPr>
      <w:sz w:val="18"/>
      <w:szCs w:val="18"/>
    </w:rPr>
  </w:style>
  <w:style w:type="character" w:customStyle="1" w:styleId="BalloonTextChar">
    <w:name w:val="Balloon Text Char"/>
    <w:basedOn w:val="DefaultParagraphFont"/>
    <w:link w:val="BalloonText"/>
    <w:uiPriority w:val="99"/>
    <w:semiHidden/>
    <w:rsid w:val="00FB0807"/>
    <w:rPr>
      <w:rFonts w:ascii="Times New Roman" w:hAnsi="Times New Roman" w:cs="Times New Roman"/>
      <w:sz w:val="18"/>
      <w:szCs w:val="18"/>
    </w:rPr>
  </w:style>
  <w:style w:type="paragraph" w:styleId="ListParagraph">
    <w:name w:val="List Paragraph"/>
    <w:basedOn w:val="Normal"/>
    <w:uiPriority w:val="34"/>
    <w:qFormat/>
    <w:rsid w:val="00A873AE"/>
    <w:pPr>
      <w:ind w:left="720"/>
      <w:contextualSpacing/>
    </w:pPr>
  </w:style>
  <w:style w:type="paragraph" w:styleId="FootnoteText">
    <w:name w:val="footnote text"/>
    <w:basedOn w:val="Normal"/>
    <w:link w:val="FootnoteTextChar"/>
    <w:uiPriority w:val="99"/>
    <w:semiHidden/>
    <w:unhideWhenUsed/>
    <w:rsid w:val="00C430B2"/>
    <w:rPr>
      <w:sz w:val="20"/>
      <w:szCs w:val="20"/>
    </w:rPr>
  </w:style>
  <w:style w:type="character" w:customStyle="1" w:styleId="FootnoteTextChar">
    <w:name w:val="Footnote Text Char"/>
    <w:basedOn w:val="DefaultParagraphFont"/>
    <w:link w:val="FootnoteText"/>
    <w:uiPriority w:val="99"/>
    <w:semiHidden/>
    <w:rsid w:val="00C430B2"/>
    <w:rPr>
      <w:rFonts w:ascii="Georgia" w:hAnsi="Georgia"/>
      <w:sz w:val="20"/>
      <w:szCs w:val="20"/>
    </w:rPr>
  </w:style>
  <w:style w:type="character" w:styleId="FootnoteReference">
    <w:name w:val="footnote reference"/>
    <w:basedOn w:val="DefaultParagraphFont"/>
    <w:uiPriority w:val="99"/>
    <w:semiHidden/>
    <w:unhideWhenUsed/>
    <w:rsid w:val="00C430B2"/>
    <w:rPr>
      <w:vertAlign w:val="superscript"/>
    </w:rPr>
  </w:style>
  <w:style w:type="character" w:styleId="Emphasis">
    <w:name w:val="Emphasis"/>
    <w:basedOn w:val="DefaultParagraphFont"/>
    <w:uiPriority w:val="20"/>
    <w:qFormat/>
    <w:rsid w:val="00136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07827">
      <w:bodyDiv w:val="1"/>
      <w:marLeft w:val="0"/>
      <w:marRight w:val="0"/>
      <w:marTop w:val="0"/>
      <w:marBottom w:val="0"/>
      <w:divBdr>
        <w:top w:val="none" w:sz="0" w:space="0" w:color="auto"/>
        <w:left w:val="none" w:sz="0" w:space="0" w:color="auto"/>
        <w:bottom w:val="none" w:sz="0" w:space="0" w:color="auto"/>
        <w:right w:val="none" w:sz="0" w:space="0" w:color="auto"/>
      </w:divBdr>
    </w:div>
    <w:div w:id="225340035">
      <w:bodyDiv w:val="1"/>
      <w:marLeft w:val="0"/>
      <w:marRight w:val="0"/>
      <w:marTop w:val="0"/>
      <w:marBottom w:val="0"/>
      <w:divBdr>
        <w:top w:val="none" w:sz="0" w:space="0" w:color="auto"/>
        <w:left w:val="none" w:sz="0" w:space="0" w:color="auto"/>
        <w:bottom w:val="none" w:sz="0" w:space="0" w:color="auto"/>
        <w:right w:val="none" w:sz="0" w:space="0" w:color="auto"/>
      </w:divBdr>
    </w:div>
    <w:div w:id="295331242">
      <w:bodyDiv w:val="1"/>
      <w:marLeft w:val="0"/>
      <w:marRight w:val="0"/>
      <w:marTop w:val="0"/>
      <w:marBottom w:val="0"/>
      <w:divBdr>
        <w:top w:val="none" w:sz="0" w:space="0" w:color="auto"/>
        <w:left w:val="none" w:sz="0" w:space="0" w:color="auto"/>
        <w:bottom w:val="none" w:sz="0" w:space="0" w:color="auto"/>
        <w:right w:val="none" w:sz="0" w:space="0" w:color="auto"/>
      </w:divBdr>
    </w:div>
    <w:div w:id="452673258">
      <w:bodyDiv w:val="1"/>
      <w:marLeft w:val="0"/>
      <w:marRight w:val="0"/>
      <w:marTop w:val="0"/>
      <w:marBottom w:val="0"/>
      <w:divBdr>
        <w:top w:val="none" w:sz="0" w:space="0" w:color="auto"/>
        <w:left w:val="none" w:sz="0" w:space="0" w:color="auto"/>
        <w:bottom w:val="none" w:sz="0" w:space="0" w:color="auto"/>
        <w:right w:val="none" w:sz="0" w:space="0" w:color="auto"/>
      </w:divBdr>
    </w:div>
    <w:div w:id="1423527943">
      <w:bodyDiv w:val="1"/>
      <w:marLeft w:val="0"/>
      <w:marRight w:val="0"/>
      <w:marTop w:val="0"/>
      <w:marBottom w:val="0"/>
      <w:divBdr>
        <w:top w:val="none" w:sz="0" w:space="0" w:color="auto"/>
        <w:left w:val="none" w:sz="0" w:space="0" w:color="auto"/>
        <w:bottom w:val="none" w:sz="0" w:space="0" w:color="auto"/>
        <w:right w:val="none" w:sz="0" w:space="0" w:color="auto"/>
      </w:divBdr>
    </w:div>
    <w:div w:id="1774549347">
      <w:bodyDiv w:val="1"/>
      <w:marLeft w:val="0"/>
      <w:marRight w:val="0"/>
      <w:marTop w:val="0"/>
      <w:marBottom w:val="0"/>
      <w:divBdr>
        <w:top w:val="none" w:sz="0" w:space="0" w:color="auto"/>
        <w:left w:val="none" w:sz="0" w:space="0" w:color="auto"/>
        <w:bottom w:val="none" w:sz="0" w:space="0" w:color="auto"/>
        <w:right w:val="none" w:sz="0" w:space="0" w:color="auto"/>
      </w:divBdr>
    </w:div>
    <w:div w:id="18447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B253A7-FAEA-734B-947E-722528AD572B}">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Passmore</dc:creator>
  <cp:keywords/>
  <dc:description/>
  <cp:lastModifiedBy>David Passmore</cp:lastModifiedBy>
  <cp:revision>2</cp:revision>
  <cp:lastPrinted>2022-06-25T09:37:00Z</cp:lastPrinted>
  <dcterms:created xsi:type="dcterms:W3CDTF">2024-06-04T11:27:00Z</dcterms:created>
  <dcterms:modified xsi:type="dcterms:W3CDTF">2024-06-04T11:27:00Z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documentId_5923</vt:lpwstr>
  </property>
  <property fmtid="{D5CDD505-2E9C-101B-9397-08002B2CF9AE}" pid="3" name="grammarly_documentContext">
    <vt:lpwstr>{"goals":[],"domain":"general","emotions":[],"dialect":"american"}</vt:lpwstr>
  </property>
</Properties>
</file>