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645.0" w:type="dxa"/>
        <w:jc w:val="left"/>
        <w:tblInd w:w="165.0" w:type="dxa"/>
        <w:tblLayout w:type="fixed"/>
        <w:tblLook w:val="0600"/>
      </w:tblPr>
      <w:tblGrid>
        <w:gridCol w:w="1170"/>
        <w:gridCol w:w="360"/>
        <w:gridCol w:w="1335"/>
        <w:gridCol w:w="360"/>
        <w:gridCol w:w="1335"/>
        <w:gridCol w:w="360"/>
        <w:gridCol w:w="1335"/>
        <w:gridCol w:w="360"/>
        <w:gridCol w:w="1335"/>
        <w:gridCol w:w="360"/>
        <w:gridCol w:w="1335"/>
        <w:tblGridChange w:id="0">
          <w:tblGrid>
            <w:gridCol w:w="1170"/>
            <w:gridCol w:w="360"/>
            <w:gridCol w:w="1335"/>
            <w:gridCol w:w="360"/>
            <w:gridCol w:w="1335"/>
            <w:gridCol w:w="360"/>
            <w:gridCol w:w="1335"/>
            <w:gridCol w:w="360"/>
            <w:gridCol w:w="1335"/>
            <w:gridCol w:w="360"/>
            <w:gridCol w:w="1335"/>
          </w:tblGrid>
        </w:tblGridChange>
      </w:tblGrid>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Ventilation i bostaden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01820"/>
                <w:sz w:val="20"/>
                <w:szCs w:val="20"/>
                <w:rtl w:val="0"/>
              </w:rPr>
              <w:t xml:space="preserve">Vatten</w:t>
              <w:tab/>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Bostaden är utrustad med mekanisk frånluftsventilation via frånluftsvärmepumpen från NIBE. Värmen i frånluften återvinns i värmepumpen, varvid värmen återförs till golvvärmesystemet samt till tappvarmvattnet. Ventilationssystemet har genomgått godkänd OVK-besiktning och är inusterat vid inflytt.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 att systemet skall fungera optimalt så bör du inte ändra på förinställda värden på vare sig don eller värmepump. Vid vädring via fönster och dörrar störs flödena i systemet. Det rekommenderas därför att enbart vädra vid behov.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Tilluft/friskluft:</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Vid matplats, i sovrum och i vardagsrum finns fasadventiler där friskluft strömmar in i huset. På det vita donet finns ett reglage där installatören har ställt in rätt värde på motståndet i donet, så att rätt mängd luft sugs in i huset.</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I donet finns även ett filter som du som boende bör rengöra vid behov, cirka en gång per halvår. Ta bort det vita locket och plocka ur filtret. Filtret kan dammsugas alternativt bytas ut om detta är kraftigt nedsmutsat.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Frånluft:</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I kök, förråd och WC-rum finns runda, vita frånluftsdon. Donet är injusterat så att rätt luftflöden går genom donet. Frånluftsdonet rengörs med en fuktig trasa vid behov. </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Vid värmepumpen, bakom den övre luckan, finns ett centralt frånluftsfilter som skall rengöras vid behov, cirka en gång var 3:e månad.</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 mer information, se användarmanual från NIBE.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Huvudavstängningen för husets kall- &amp; varmvatten finns bakom installationsluckan bredvid värmepumpen i hallen - blå kran för kallvatten och röd kran för varmvatten.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Föreningen har gemensamma kallvattenmätare i de tre gemensamma förråden, se vidare info i dokument om Gemensamma utrymmen. Kallvattnet ingår i månadsavgiften.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Husets varmvatten uppvärms i värmepumpen. Vid eventuella problem med varmvatten i husets kranar/duschar skall NIBE kontaktas, se instruktion för Felanmälan.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Vid problem med husets kallvatten är det en föreningsfråga, och då skall styrelsen kontaktas.  </w:t>
            </w: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color w:val="101820"/>
          <w:sz w:val="20"/>
          <w:szCs w:val="20"/>
          <w:rtl w:val="0"/>
        </w:rPr>
        <w:tab/>
        <w:tab/>
        <w:tab/>
      </w:r>
    </w:p>
    <w:sectPr>
      <w:headerReference r:id="rId5" w:type="default"/>
      <w:footerReference r:id="rId6"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1.png"/>
                <a:graphic>
                  <a:graphicData uri="http://schemas.openxmlformats.org/drawingml/2006/picture">
                    <pic:pic>
                      <pic:nvPicPr>
                        <pic:cNvPr descr="Wallin_logo_pos_RGB.png" id="0" name="image01.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