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Bredband &amp; TV</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Som boende i BRF Vårvetet har du kollektivt bredband och TV samt telefoni via föreningen. Leverantör är Telia.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Utrustningen som berör internet och Tv som finns i bostaden vid tillträde hör till bostaden och skall lämnas kvar vid en eventuell flytt.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Nedan följer en guide från Telia om hur du kommer igång: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Aktivering av tjänster:</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Det första ni kommer att behöva göra är att aktivera era tjänster. Detta måste göras även om ni väljer att ha det som ingår i avgifter till föreningen. Aktivering görs via blanketten ni fick på mötet, direkt i en Teliabutik eller via vår kundtjänst på 90 200.</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Koppla ihop hårdvara:</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I hushållen ska det finnas hård vara på plats (router och TV-box). Det innebär att ni ska kunna börja använda tjänsterna ganska omgående efter aktiveringen.</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Routern kopplar ni in till det kopplingsskåp som finns hemma hos er med en vanlig nätverkskabel. En kort kabel finns med i lådan som routern ligger i. Ibland kan det finnas flera olika uttag i skåpet så funkar det inte med första uttag testa ett annat. Normalt sätt brukar rätt uttag vara märkt med ”WAN”. Från routern kan ni sedan dra ytterligare närverkskablar till datorer och TV-boxen.</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Har ni möjlighet att ta emot signaler via WIFI till er dator, telefon eller surfplatta finner ni inloggnings uppgifter på undersidan av routern. Leta upp ”network name” och ”wireless key”.</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Vill man koppla in TVn trådlöst behöver man separata sändare och mottagare för detta. En sändare som man kopplar ihop med routern och en mottagare som man kopplar ihop med varje tv-box man inte vill dra kabel till. Detta är något man köper till extra för 649kr (totalpris för både sändare och mottagare). Med i förpackningen finns naturligtvis en bruksanvisning för exakt hur man synkar ihop de två, men passa gärna på att fråga oss vid köptillfället vi visar vi praktiskt hur det går till.</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Telefonin kopplar ni också via routern. På routerns baksida finns alla utgångar. Till vänster sida finns 4 st mindre uttag märkta i grönt. Från dessa kan ni koppla era telefoner med en modulatorsladd (en vanligt telefonkabel).</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Aktivera TVn</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För att vi ska veta vilka kanaler som går till vilken box kommer ni att få aktiveringskoder till er TV. Dessa kommer normalt sätt via brev men om ni beställer i butik kan ni begära att få dessa utskrivna på plats. Man kan även se sina koder på ”Mitt Telia” på </w:t>
            </w:r>
            <w:hyperlink r:id="rId5">
              <w:r w:rsidDel="00000000" w:rsidR="00000000" w:rsidRPr="00000000">
                <w:rPr>
                  <w:color w:val="101820"/>
                  <w:sz w:val="20"/>
                  <w:szCs w:val="20"/>
                  <w:rtl w:val="0"/>
                </w:rPr>
                <w:t xml:space="preserve">telia.se</w:t>
              </w:r>
            </w:hyperlink>
            <w:r w:rsidDel="00000000" w:rsidR="00000000" w:rsidRPr="00000000">
              <w:rPr>
                <w:color w:val="101820"/>
                <w:sz w:val="20"/>
                <w:szCs w:val="20"/>
                <w:rtl w:val="0"/>
              </w:rPr>
              <w:t xml:space="preserve">.</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Första gången ni startar igång TV-boxen kommer den att fråga efter ”identifikationskod” och ”kontrollkod”. Tryck helt enkelt in de koderna som efterfrågas så kommer boxen automatiskt att hämta hem de kanaler som ni har beställt.</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sectPr>
      <w:headerReference r:id="rId6" w:type="default"/>
      <w:footerReference r:id="rId7" w:type="default"/>
      <w:pgSz w:h="16838" w:w="11906"/>
      <w:pgMar w:bottom="850.3937007874016" w:top="850.3937007874016" w:left="850.3937007874016"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921.0" w:type="dxa"/>
      <w:jc w:val="left"/>
      <w:tblLayout w:type="fixed"/>
      <w:tblLook w:val="0600"/>
    </w:tblPr>
    <w:tblGrid>
      <w:gridCol w:w="9921"/>
      <w:tblGridChange w:id="0">
        <w:tblGrid>
          <w:gridCol w:w="9921"/>
        </w:tblGrid>
      </w:tblGridChange>
    </w:tblGrid>
    <w:tr>
      <w:tc>
        <w:tcPr>
          <w:tcMar>
            <w:left w:w="0.0" w:type="dxa"/>
            <w:right w:w="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01820"/>
              <w:sz w:val="16"/>
              <w:szCs w:val="16"/>
              <w:rtl w:val="0"/>
            </w:rPr>
            <w:t xml:space="preserve">_______________________________________________________________________________________________________________</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Sid </w:t>
          </w:r>
          <w:fldSimple w:instr="PAGE" w:fldLock="0" w:dirty="0">
            <w:r w:rsidDel="00000000" w:rsidR="00000000" w:rsidRPr="00000000">
              <w:rPr>
                <w:color w:val="101820"/>
                <w:sz w:val="16"/>
                <w:szCs w:val="16"/>
              </w:rPr>
            </w:r>
          </w:fldSimple>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Byggnadsfirman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 Wallin AB</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Box 92114,</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Kryssargatan 2</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SE - 120 07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Stockholm</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+46 8 545 533 60</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erikwallin.se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3"/>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66800" cy="279400"/>
                <wp:effectExtent b="0" l="0" r="0" t="0"/>
                <wp:docPr descr="Wallin_logo_pos_RGB.png" id="1" name="image01.png"/>
                <a:graphic>
                  <a:graphicData uri="http://schemas.openxmlformats.org/drawingml/2006/picture">
                    <pic:pic>
                      <pic:nvPicPr>
                        <pic:cNvPr descr="Wallin_logo_pos_RGB.png" id="0" name="image01.png"/>
                        <pic:cNvPicPr preferRelativeResize="0"/>
                      </pic:nvPicPr>
                      <pic:blipFill>
                        <a:blip r:embed="rId1"/>
                        <a:srcRect b="0" l="0" r="0" t="0"/>
                        <a:stretch>
                          <a:fillRect/>
                        </a:stretch>
                      </pic:blipFill>
                      <pic:spPr>
                        <a:xfrm>
                          <a:off x="0" y="0"/>
                          <a:ext cx="1066800" cy="2794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elia.se/" TargetMode="Externa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