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101820"/>
          <w:sz w:val="20"/>
          <w:szCs w:val="20"/>
          <w:rtl w:val="0"/>
        </w:rPr>
        <w:tab/>
        <w:tab/>
      </w:r>
    </w:p>
    <w:tbl>
      <w:tblPr>
        <w:tblStyle w:val="Table1"/>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2"/>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spacing w:line="240" w:lineRule="auto"/>
              <w:contextualSpacing w:val="0"/>
            </w:pPr>
            <w:r w:rsidDel="00000000" w:rsidR="00000000" w:rsidRPr="00000000">
              <w:rPr>
                <w:color w:val="101820"/>
                <w:sz w:val="20"/>
                <w:szCs w:val="20"/>
                <w:rtl w:val="0"/>
              </w:rPr>
              <w:t xml:space="preserve">Altan</w:t>
              <w:tab/>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101820"/>
                <w:sz w:val="20"/>
                <w:szCs w:val="20"/>
                <w:highlight w:val="white"/>
                <w:rtl w:val="0"/>
              </w:rPr>
              <w:t xml:space="preserve">Ett trädäck av tryckimpregnerat virke innebär att det är skyddat mot röta, men det innebär inte att det är skyddat mot fukt.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101820"/>
                <w:sz w:val="20"/>
                <w:szCs w:val="20"/>
                <w:highlight w:val="white"/>
                <w:rtl w:val="0"/>
              </w:rPr>
              <w:t xml:space="preserve">För att skydda och öka livslägden på ett trädäck mot fukt måste man således olja in det med jämna mellanrum. Oljans effekt avtar med tiden och då krävs det ny olja. I regel behöver man olja in det på nytt varje år om du vill att det bibehåller full fuktavvisande effekt.</w:t>
            </w:r>
          </w:p>
          <w:p w:rsidR="00000000" w:rsidDel="00000000" w:rsidP="00000000" w:rsidRDefault="00000000" w:rsidRPr="00000000">
            <w:pPr>
              <w:spacing w:line="240" w:lineRule="auto"/>
              <w:contextualSpacing w:val="0"/>
            </w:pPr>
            <w:r w:rsidDel="00000000" w:rsidR="00000000" w:rsidRPr="00000000">
              <w:rPr>
                <w:color w:val="101820"/>
                <w:sz w:val="20"/>
                <w:szCs w:val="20"/>
                <w:highlight w:val="white"/>
                <w:rtl w:val="0"/>
              </w:rPr>
              <w:t xml:space="preserve">När virket är nyimpregnerat är det blött och behöver torka, avvakta därför ca 1 år innan första inoljningen.</w:t>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ind w:left="724.6062992125983" w:hanging="424.9999999999997"/>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8" w:w="11906"/>
      <w:pgMar w:bottom="850.3937007874016" w:top="850.3937007874016" w:left="850.3937007874016"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921.0" w:type="dxa"/>
      <w:jc w:val="left"/>
      <w:tblLayout w:type="fixed"/>
      <w:tblLook w:val="0600"/>
    </w:tblPr>
    <w:tblGrid>
      <w:gridCol w:w="9921"/>
      <w:tblGridChange w:id="0">
        <w:tblGrid>
          <w:gridCol w:w="992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01820"/>
              <w:sz w:val="16"/>
              <w:szCs w:val="16"/>
              <w:rtl w:val="0"/>
            </w:rPr>
            <w:t xml:space="preserve">_______________________________________________________________________________________________________________</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Sid </w:t>
          </w:r>
          <w:fldSimple w:instr="PAGE" w:fldLock="0" w:dirty="0">
            <w:r w:rsidDel="00000000" w:rsidR="00000000" w:rsidRPr="00000000">
              <w:rPr>
                <w:color w:val="101820"/>
                <w:sz w:val="16"/>
                <w:szCs w:val="16"/>
              </w:rPr>
            </w:r>
          </w:fldSimple>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Byggnadsfirman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 Wallin AB</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Box 92114,</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Kryssargatan 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SE - 120 07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Stockholm</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+46 8 545 533 60</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erikwallin.se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3"/>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66800" cy="279400"/>
                <wp:effectExtent b="0" l="0" r="0" t="0"/>
                <wp:docPr descr="Wallin_logo_pos_RGB.png" id="1" name="image01.png"/>
                <a:graphic>
                  <a:graphicData uri="http://schemas.openxmlformats.org/drawingml/2006/picture">
                    <pic:pic>
                      <pic:nvPicPr>
                        <pic:cNvPr descr="Wallin_logo_pos_RGB.png" id="0" name="image01.png"/>
                        <pic:cNvPicPr preferRelativeResize="0"/>
                      </pic:nvPicPr>
                      <pic:blipFill>
                        <a:blip r:embed="rId1"/>
                        <a:srcRect b="0" l="0" r="0" t="0"/>
                        <a:stretch>
                          <a:fillRect/>
                        </a:stretch>
                      </pic:blipFill>
                      <pic:spPr>
                        <a:xfrm>
                          <a:off x="0" y="0"/>
                          <a:ext cx="1066800" cy="279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