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5.0" w:type="dxa"/>
        <w:jc w:val="left"/>
        <w:tblInd w:w="165.0" w:type="dxa"/>
        <w:tblLayout w:type="fixed"/>
        <w:tblLook w:val="0600"/>
      </w:tblPr>
      <w:tblGrid>
        <w:gridCol w:w="1170"/>
        <w:gridCol w:w="360"/>
        <w:gridCol w:w="1335"/>
        <w:gridCol w:w="360"/>
        <w:gridCol w:w="1335"/>
        <w:gridCol w:w="360"/>
        <w:gridCol w:w="1335"/>
        <w:gridCol w:w="360"/>
        <w:gridCol w:w="1335"/>
        <w:gridCol w:w="360"/>
        <w:gridCol w:w="1335"/>
        <w:tblGridChange w:id="0">
          <w:tblGrid>
            <w:gridCol w:w="1170"/>
            <w:gridCol w:w="360"/>
            <w:gridCol w:w="1335"/>
            <w:gridCol w:w="360"/>
            <w:gridCol w:w="1335"/>
            <w:gridCol w:w="360"/>
            <w:gridCol w:w="1335"/>
            <w:gridCol w:w="360"/>
            <w:gridCol w:w="1335"/>
            <w:gridCol w:w="360"/>
            <w:gridCol w:w="1335"/>
          </w:tblGrid>
        </w:tblGridChange>
      </w:tblGrid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Avfallshantering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Som boende i BRF Vårvetet har du dina egna sopkärl och därmed stor möjlighet att själv källsortera.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Hämtningsdag för hushållsavfall i området är var 14:e dag. Önskar ni ändra hämtningsintervall eller har övriga frågor kontakta Stockholm vatten - Avfall för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Vid tömningstillfället ska kärlen som ska tömmas vara framdragna i anslutning till gatan, annars finns risk att ditt kärl inte tömms.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Avtal för hämntning av avfall tecknas separat mellan den boende och Stockholm vatten - Avfall.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u w:val="single"/>
                <w:rtl w:val="0"/>
              </w:rPr>
              <w:t xml:space="preserve">Återvinningskärl för tidningar, glas papper och metall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Stjärnssundsgatan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124 59 Bandhagen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u w:val="single"/>
                <w:rtl w:val="0"/>
              </w:rPr>
              <w:t xml:space="preserve">Grovsopor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Vantörs återvinningscentral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Kvicksundsvägen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101820"/>
                <w:sz w:val="20"/>
                <w:szCs w:val="20"/>
                <w:rtl w:val="0"/>
              </w:rPr>
              <w:t xml:space="preserve">124 59 Bandhagen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850.3937007874016" w:top="850.3937007874016" w:left="850.3937007874016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921.0" w:type="dxa"/>
      <w:jc w:val="left"/>
      <w:tblLayout w:type="fixed"/>
      <w:tblLook w:val="0600"/>
    </w:tblPr>
    <w:tblGrid>
      <w:gridCol w:w="9921"/>
      <w:tblGridChange w:id="0">
        <w:tblGrid>
          <w:gridCol w:w="9921"/>
        </w:tblGrid>
      </w:tblGridChange>
    </w:tblGrid>
    <w:tr>
      <w:tc>
        <w:tcPr>
          <w:tcMar>
            <w:left w:w="0.0" w:type="dxa"/>
            <w:right w:w="0.0" w:type="dxa"/>
          </w:tcMar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_______________________________________________________________________________________________________________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Sid </w:t>
          </w:r>
          <w:fldSimple w:instr="PAGE" w:fldLock="0" w:dirty="0">
            <w:r w:rsidDel="00000000" w:rsidR="00000000" w:rsidRPr="00000000">
              <w:rPr>
                <w:color w:val="101820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Byggnadsfirman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 Wallin AB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Box 92114,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Kryssargatan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SE - 120 07 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Stockholm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+46 8 545 533 60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color w:val="101820"/>
              <w:sz w:val="16"/>
              <w:szCs w:val="16"/>
              <w:rtl w:val="0"/>
            </w:rPr>
            <w:t xml:space="preserve">erikwallin.se</w:t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1.0" w:type="dxa"/>
      <w:jc w:val="left"/>
      <w:tblLayout w:type="fixed"/>
      <w:tblLook w:val="0600"/>
    </w:tblPr>
    <w:tblGrid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gridCol w:w="360"/>
      <w:gridCol w:w="1353.5"/>
      <w:tblGridChange w:id="0">
        <w:tblGrid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  <w:gridCol w:w="360"/>
          <w:gridCol w:w="1353.5"/>
        </w:tblGrid>
      </w:tblGridChange>
    </w:tblGrid>
    <w:tr>
      <w:tc>
        <w:tcPr>
          <w:gridSpan w:val="3"/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drawing>
              <wp:inline distB="114300" distT="114300" distL="114300" distR="114300">
                <wp:extent cx="1066800" cy="279400"/>
                <wp:effectExtent b="0" l="0" r="0" t="0"/>
                <wp:docPr descr="Wallin_logo_pos_RGB.png" id="1" name="image01.png"/>
                <a:graphic>
                  <a:graphicData uri="http://schemas.openxmlformats.org/drawingml/2006/picture">
                    <pic:pic>
                      <pic:nvPicPr>
                        <pic:cNvPr descr="Wallin_logo_pos_RGB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