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Change Continuum Framework</w:t>
      </w:r>
    </w:p>
    <w:p>
      <w:r>
        <w:t>[INSERT PROJECT]: Apply this framework as you move through each phase of the [INSERT PROJECT] Change Continuum.</w:t>
      </w:r>
    </w:p>
    <w:p>
      <w:pPr>
        <w:pStyle w:val="Heading2"/>
      </w:pPr>
      <w:r>
        <w:t>Introduction</w:t>
      </w:r>
    </w:p>
    <w:p>
      <w:r>
        <w:t>Change within [INSERT PROJECT] progresses through an integrated, cyclical continuum designed to drive alignment, operational discipline, and workforce readiness. This evolved model incorporates global best practices including vision setting, stakeholder analysis, readiness assessment, risk mitigation, reinforcement mechanisms, and benefits realization, while maintaining the established sequence of governance, communication, enablement, feedback, and re-evaluation.</w:t>
      </w:r>
    </w:p>
    <w:p>
      <w:pPr>
        <w:pStyle w:val="Heading2"/>
      </w:pPr>
      <w:r>
        <w:t>The Shared Vision</w:t>
      </w:r>
    </w:p>
    <w:p>
      <w:r>
        <w:t>To drive clarity and alignment across all levels, each change initiative must begin with:</w:t>
      </w:r>
    </w:p>
    <w:p>
      <w:r>
        <w:t>• A clear, documented case for change (why, why now, and the risks of not changing).</w:t>
      </w:r>
    </w:p>
    <w:p>
      <w:r>
        <w:t>• A succinct future-state vision for [INSERT PROJECT] that leaders can articulate consistently.</w:t>
      </w:r>
    </w:p>
    <w:p>
      <w:r>
        <w:t>• Defined success metrics (adoption, compliance, quality, efficiency) and measurement methodology.</w:t>
      </w:r>
    </w:p>
    <w:p>
      <w:r>
        <w:t>• A unified narrative leaders can cascade to their teams with precision.</w:t>
      </w:r>
    </w:p>
    <w:p>
      <w:pPr>
        <w:pStyle w:val="Heading2"/>
      </w:pPr>
      <w:r>
        <w:t>Stakeholder &amp; Readiness Assessment</w:t>
      </w:r>
    </w:p>
    <w:p>
      <w:r>
        <w:t>Before governance activities, stakeholders are identified and segmented by role and impact level. Readiness indicators (knowledge, capacity, prior experience with similar changes) are reviewed, informing governance decisions and setting realistic expectations. This ensures strategic alignment, risk awareness, and improved adoption outcomes.</w:t>
      </w:r>
    </w:p>
    <w:p>
      <w:pPr>
        <w:pStyle w:val="Heading2"/>
      </w:pPr>
      <w:r>
        <w:t>1. Executive Governance</w:t>
      </w:r>
    </w:p>
    <w:p>
      <w:r>
        <w:t>The [INSERT PROJECT] Executive Steering Committee serves as the strategic advisory body. Responsibilities include vetting proposals, validating risk and readiness assessments, approving direction, identifying Change Champions, and confirming alignment with enterprise standards.</w:t>
      </w:r>
    </w:p>
    <w:p>
      <w:pPr>
        <w:pStyle w:val="Heading2"/>
      </w:pPr>
      <w:r>
        <w:t>2. Directors Meeting (Structured Decision-Making)</w:t>
      </w:r>
    </w:p>
    <w:p>
      <w:r>
        <w:t>Upon Steering Committee approval, the change moves to Directors for operational validation. Leaders assess feasibility, downstream impacts, mitigation strategies, and confirm organizational readiness before formally endorsing the change across departments and units.</w:t>
      </w:r>
    </w:p>
    <w:p>
      <w:pPr>
        <w:pStyle w:val="Heading2"/>
      </w:pPr>
      <w:r>
        <w:t>3. Strategic Communication</w:t>
      </w:r>
    </w:p>
    <w:p>
      <w:r>
        <w:t>Approved changes transition into a coordinated communication phase. Messaging is refined into clear, actionable, manager-ready content that includes the rationale, expected outcomes, team impacts, and role-specific actions. Leaders receive talking points, FAQs, and micro-learning resources to model effective sponsorship and set conditions for successful adoption.</w:t>
      </w:r>
    </w:p>
    <w:p>
      <w:pPr>
        <w:pStyle w:val="Heading2"/>
      </w:pPr>
      <w:r>
        <w:t>4. Staff Meetings &amp; Tiered Huddles</w:t>
      </w:r>
    </w:p>
    <w:p>
      <w:r>
        <w:t>The change is translated into frontline-ready language and reinforced through staff meetings and tiered huddles. Leaders communicate updates using streamlined operational summaries, emphasizing what is changing, required actions, and support resources. Change Champions reinforce standards and influence frontline adoption, ensuring alignment with project design principles.</w:t>
      </w:r>
    </w:p>
    <w:p>
      <w:pPr>
        <w:pStyle w:val="Heading2"/>
      </w:pPr>
      <w:r>
        <w:t>5. Education &amp; Enablement</w:t>
      </w:r>
    </w:p>
    <w:p>
      <w:r>
        <w:t>Teams receive the capability-building resources needed for successful execution. This includes training modules, demonstrations, job aids, and reference materials. Learning is structured to minimize overload while maximizing clarity and relevance. Coaching prompts and reinforcement mechanisms strengthen the adoption curve and build team competence.</w:t>
      </w:r>
    </w:p>
    <w:p>
      <w:pPr>
        <w:pStyle w:val="Heading2"/>
      </w:pPr>
      <w:r>
        <w:t>6. Operational Listening &amp; Adaptive Refinement</w:t>
      </w:r>
    </w:p>
    <w:p>
      <w:r>
        <w:t>Active listening mechanisms—including feedback loops, observations, and frontline insights—surface barriers, questions, and improvement opportunities. Feedback is evaluated against policy and standards to avoid unnecessary variation. Adjustments are prioritized based on impact, feasibility, and alignment with strategic objectives.</w:t>
      </w:r>
    </w:p>
    <w:p>
      <w:pPr>
        <w:pStyle w:val="Heading2"/>
      </w:pPr>
      <w:r>
        <w:t>7. Return to Governance (Closed-Loop Alignment &amp; Benefits Realization)</w:t>
      </w:r>
    </w:p>
    <w:p>
      <w:r>
        <w:t>Insights, adoption data, and recommended refinements return to the Steering Committee for final review. Benefits realization is assessed against baseline measures. Governance determines whether solutions should be adopted, adapted, or retired based on performance, ensuring continuous alignment and improvement as [INSERT PROJECT] evolves.</w:t>
      </w:r>
    </w:p>
    <w:p>
      <w:pPr>
        <w:pStyle w:val="Heading2"/>
      </w:pPr>
      <w:r>
        <w:t>Summary</w:t>
      </w:r>
    </w:p>
    <w:p>
      <w:r>
        <w:t>This enhanced continuum provides a structured, repeatable lifecycle for managing change within [INSERT PROJECT]. It integrates global change management principles to reinforce consistency, drive engagement, and ensure discipline throughout the change journey.</w:t>
      </w:r>
    </w:p>
    <w:p>
      <w:r>
        <w:br w:type="page"/>
      </w:r>
    </w:p>
    <w:p>
      <w:pPr>
        <w:pStyle w:val="Heading1"/>
      </w:pPr>
      <w:r>
        <w:t>Change Continuum Checklist</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Date 1</w:t>
            </w:r>
          </w:p>
        </w:tc>
        <w:tc>
          <w:tcPr>
            <w:tcW w:type="dxa" w:w="1440"/>
          </w:tcPr>
          <w:p>
            <w:r>
              <w:t>Date 2</w:t>
            </w:r>
          </w:p>
        </w:tc>
        <w:tc>
          <w:tcPr>
            <w:tcW w:type="dxa" w:w="1440"/>
          </w:tcPr>
          <w:p>
            <w:r>
              <w:t>Date 3</w:t>
            </w:r>
          </w:p>
        </w:tc>
        <w:tc>
          <w:tcPr>
            <w:tcW w:type="dxa" w:w="1440"/>
          </w:tcPr>
          <w:p>
            <w:r>
              <w:t>Date 4</w:t>
            </w:r>
          </w:p>
        </w:tc>
        <w:tc>
          <w:tcPr>
            <w:tcW w:type="dxa" w:w="1440"/>
          </w:tcPr>
          <w:p>
            <w:r>
              <w:t>Date 5</w:t>
            </w:r>
          </w:p>
        </w:tc>
      </w:tr>
      <w:tr>
        <w:tc>
          <w:tcPr>
            <w:tcW w:type="dxa" w:w="1440"/>
          </w:tcPr>
          <w:p>
            <w:r>
              <w:t>Stakeholder &amp; Readiness Assessment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Executive Governance</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Directors Meeting</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Strategic Communication</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Staff Meetings &amp; Tiered Huddles</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Education &amp; Enablement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Operational Listening &amp; Refinement</w:t>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Return to Governance</w:t>
            </w:r>
          </w:p>
        </w:tc>
        <w:tc>
          <w:tcPr>
            <w:tcW w:type="dxa" w:w="1440"/>
          </w:tcPr>
          <w:p>
            <w:r/>
          </w:p>
        </w:tc>
        <w:tc>
          <w:tcPr>
            <w:tcW w:type="dxa" w:w="1440"/>
          </w:tcPr>
          <w:p>
            <w:r/>
          </w:p>
        </w:tc>
        <w:tc>
          <w:tcPr>
            <w:tcW w:type="dxa" w:w="1440"/>
          </w:tcPr>
          <w:p>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