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83592" w14:textId="77777777" w:rsidR="00D056B9" w:rsidRDefault="00D056B9" w:rsidP="00EB144C">
      <w:pPr>
        <w:spacing w:line="360" w:lineRule="auto"/>
        <w:ind w:hanging="1440"/>
      </w:pPr>
    </w:p>
    <w:p w14:paraId="34CC0DF0" w14:textId="77777777" w:rsidR="008F59D7" w:rsidRDefault="008F59D7" w:rsidP="00EB144C">
      <w:pPr>
        <w:pStyle w:val="TableParagraph"/>
        <w:spacing w:line="360" w:lineRule="auto"/>
        <w:ind w:left="0"/>
      </w:pPr>
    </w:p>
    <w:p w14:paraId="133F793F" w14:textId="77777777" w:rsidR="008F59D7" w:rsidRDefault="005A53E5" w:rsidP="00EB144C">
      <w:pPr>
        <w:pStyle w:val="Ttulo1"/>
        <w:ind w:left="0" w:firstLine="0"/>
        <w:jc w:val="center"/>
      </w:pPr>
      <w:r>
        <w:t>Violencia</w:t>
      </w:r>
      <w:r>
        <w:rPr>
          <w:spacing w:val="-4"/>
        </w:rPr>
        <w:t xml:space="preserve"> </w:t>
      </w:r>
      <w:r>
        <w:t>en</w:t>
      </w:r>
      <w:r>
        <w:rPr>
          <w:spacing w:val="-4"/>
        </w:rPr>
        <w:t xml:space="preserve"> </w:t>
      </w:r>
      <w:r>
        <w:t>el</w:t>
      </w:r>
      <w:r>
        <w:rPr>
          <w:spacing w:val="-4"/>
        </w:rPr>
        <w:t xml:space="preserve"> </w:t>
      </w:r>
      <w:r>
        <w:t>Fútbol</w:t>
      </w:r>
      <w:r>
        <w:rPr>
          <w:spacing w:val="-4"/>
        </w:rPr>
        <w:t xml:space="preserve"> </w:t>
      </w:r>
      <w:r>
        <w:t>Colombiano:</w:t>
      </w:r>
      <w:r>
        <w:rPr>
          <w:spacing w:val="-4"/>
        </w:rPr>
        <w:t xml:space="preserve"> </w:t>
      </w:r>
      <w:r>
        <w:t>Desafíos,</w:t>
      </w:r>
      <w:r>
        <w:rPr>
          <w:spacing w:val="-4"/>
        </w:rPr>
        <w:t xml:space="preserve"> </w:t>
      </w:r>
      <w:r>
        <w:t>Impactos,</w:t>
      </w:r>
      <w:r>
        <w:rPr>
          <w:spacing w:val="-4"/>
        </w:rPr>
        <w:t xml:space="preserve"> </w:t>
      </w:r>
      <w:r>
        <w:t>Derecho</w:t>
      </w:r>
      <w:r>
        <w:rPr>
          <w:spacing w:val="-4"/>
        </w:rPr>
        <w:t xml:space="preserve"> </w:t>
      </w:r>
      <w:r>
        <w:t>y</w:t>
      </w:r>
      <w:r>
        <w:rPr>
          <w:spacing w:val="-4"/>
        </w:rPr>
        <w:t xml:space="preserve"> </w:t>
      </w:r>
      <w:r>
        <w:t>la</w:t>
      </w:r>
      <w:r>
        <w:rPr>
          <w:spacing w:val="-2"/>
        </w:rPr>
        <w:t xml:space="preserve"> </w:t>
      </w:r>
      <w:r>
        <w:t>Responsabilidad</w:t>
      </w:r>
      <w:r>
        <w:rPr>
          <w:spacing w:val="-4"/>
        </w:rPr>
        <w:t xml:space="preserve"> </w:t>
      </w:r>
      <w:r>
        <w:t>de sus Actores</w:t>
      </w:r>
    </w:p>
    <w:p w14:paraId="051B1D30" w14:textId="77777777" w:rsidR="008F59D7" w:rsidRDefault="008F59D7" w:rsidP="00EB144C">
      <w:pPr>
        <w:pStyle w:val="Textoindependiente"/>
        <w:ind w:left="0"/>
        <w:jc w:val="left"/>
        <w:rPr>
          <w:b/>
        </w:rPr>
      </w:pPr>
    </w:p>
    <w:p w14:paraId="7C3B6FDC" w14:textId="77777777" w:rsidR="008F59D7" w:rsidRDefault="005A53E5" w:rsidP="00EB144C">
      <w:pPr>
        <w:pStyle w:val="Textoindependiente"/>
        <w:ind w:left="0" w:hanging="12"/>
        <w:jc w:val="center"/>
      </w:pPr>
      <w:r>
        <w:t>Trabajo</w:t>
      </w:r>
      <w:r>
        <w:rPr>
          <w:spacing w:val="-4"/>
        </w:rPr>
        <w:t xml:space="preserve"> </w:t>
      </w:r>
      <w:r>
        <w:t xml:space="preserve">de </w:t>
      </w:r>
      <w:r>
        <w:rPr>
          <w:spacing w:val="-4"/>
        </w:rPr>
        <w:t>Grado</w:t>
      </w:r>
    </w:p>
    <w:p w14:paraId="0F3F3852" w14:textId="77777777" w:rsidR="008F59D7" w:rsidRDefault="005A53E5" w:rsidP="00EB144C">
      <w:pPr>
        <w:pStyle w:val="Textoindependiente"/>
        <w:ind w:left="0"/>
        <w:jc w:val="center"/>
      </w:pPr>
      <w:r>
        <w:t>en la modalidad Artículo de Investigación para optar al título de Abogado(a)</w:t>
      </w:r>
    </w:p>
    <w:p w14:paraId="07605CC3" w14:textId="77777777" w:rsidR="008F59D7" w:rsidRDefault="008F59D7" w:rsidP="00EB144C">
      <w:pPr>
        <w:pStyle w:val="Textoindependiente"/>
        <w:ind w:left="0"/>
        <w:jc w:val="left"/>
      </w:pPr>
    </w:p>
    <w:p w14:paraId="16D35672" w14:textId="77777777" w:rsidR="008F59D7" w:rsidRDefault="005A53E5" w:rsidP="00EB144C">
      <w:pPr>
        <w:pStyle w:val="Textoindependiente"/>
        <w:ind w:left="0"/>
        <w:jc w:val="center"/>
      </w:pPr>
      <w:r>
        <w:t>Juan Fernando Rivera Arango</w:t>
      </w:r>
      <w:r>
        <w:br/>
        <w:t>Juan Manuel Suárez</w:t>
      </w:r>
    </w:p>
    <w:p w14:paraId="44A81055" w14:textId="77777777" w:rsidR="008F59D7" w:rsidRDefault="008F59D7" w:rsidP="00EB144C">
      <w:pPr>
        <w:pStyle w:val="Textoindependiente"/>
        <w:ind w:left="0"/>
        <w:jc w:val="left"/>
      </w:pPr>
    </w:p>
    <w:p w14:paraId="7E875A34" w14:textId="77777777" w:rsidR="008F59D7" w:rsidRDefault="008F59D7" w:rsidP="00EB144C">
      <w:pPr>
        <w:pStyle w:val="Textoindependiente"/>
        <w:ind w:left="0"/>
        <w:jc w:val="left"/>
      </w:pPr>
    </w:p>
    <w:p w14:paraId="299C681D" w14:textId="77777777" w:rsidR="008F59D7" w:rsidRDefault="005A53E5" w:rsidP="00EB144C">
      <w:pPr>
        <w:pStyle w:val="Textoindependiente"/>
        <w:ind w:left="0" w:firstLine="2"/>
        <w:jc w:val="center"/>
      </w:pPr>
      <w:r>
        <w:t xml:space="preserve">Asesor temático: </w:t>
      </w:r>
    </w:p>
    <w:p w14:paraId="7052F7AD" w14:textId="77777777" w:rsidR="009A36E9" w:rsidRDefault="009A36E9" w:rsidP="00EB144C">
      <w:pPr>
        <w:pStyle w:val="Textoindependiente"/>
        <w:ind w:left="0" w:firstLine="2"/>
        <w:jc w:val="center"/>
      </w:pPr>
      <w:r>
        <w:t xml:space="preserve">Manuel Gómez </w:t>
      </w:r>
    </w:p>
    <w:p w14:paraId="39F48B34" w14:textId="77777777" w:rsidR="008F59D7" w:rsidRDefault="008F59D7" w:rsidP="00EB144C">
      <w:pPr>
        <w:pStyle w:val="Textoindependiente"/>
        <w:ind w:left="0"/>
        <w:jc w:val="left"/>
        <w:rPr>
          <w:sz w:val="20"/>
        </w:rPr>
      </w:pPr>
    </w:p>
    <w:p w14:paraId="758D1E55" w14:textId="77777777" w:rsidR="008F59D7" w:rsidRDefault="008F59D7" w:rsidP="00EB144C">
      <w:pPr>
        <w:pStyle w:val="Textoindependiente"/>
        <w:ind w:left="0"/>
        <w:jc w:val="left"/>
        <w:rPr>
          <w:sz w:val="20"/>
        </w:rPr>
      </w:pPr>
    </w:p>
    <w:p w14:paraId="41D197EB" w14:textId="77777777" w:rsidR="008F59D7" w:rsidRDefault="008F59D7" w:rsidP="00EB144C">
      <w:pPr>
        <w:pStyle w:val="Textoindependiente"/>
        <w:ind w:left="0"/>
        <w:jc w:val="left"/>
        <w:rPr>
          <w:sz w:val="20"/>
        </w:rPr>
      </w:pPr>
    </w:p>
    <w:p w14:paraId="20BDE1B9" w14:textId="77777777" w:rsidR="008F59D7" w:rsidRDefault="008F59D7" w:rsidP="00EB144C">
      <w:pPr>
        <w:pStyle w:val="Textoindependiente"/>
        <w:ind w:left="0"/>
        <w:jc w:val="left"/>
        <w:rPr>
          <w:sz w:val="20"/>
        </w:rPr>
      </w:pPr>
    </w:p>
    <w:p w14:paraId="2F893765" w14:textId="77777777" w:rsidR="008F59D7" w:rsidRDefault="008F59D7" w:rsidP="00EB144C">
      <w:pPr>
        <w:pStyle w:val="Textoindependiente"/>
        <w:ind w:left="0"/>
        <w:jc w:val="left"/>
        <w:rPr>
          <w:sz w:val="20"/>
        </w:rPr>
      </w:pPr>
    </w:p>
    <w:p w14:paraId="3E1EF894" w14:textId="77777777" w:rsidR="008F59D7" w:rsidRDefault="008F59D7" w:rsidP="00EB144C">
      <w:pPr>
        <w:pStyle w:val="Textoindependiente"/>
        <w:ind w:left="0"/>
        <w:jc w:val="left"/>
        <w:rPr>
          <w:sz w:val="20"/>
        </w:rPr>
      </w:pPr>
    </w:p>
    <w:p w14:paraId="45332C44" w14:textId="77777777" w:rsidR="008F59D7" w:rsidRDefault="008F59D7" w:rsidP="00EB144C">
      <w:pPr>
        <w:pStyle w:val="Textoindependiente"/>
        <w:ind w:left="0"/>
        <w:jc w:val="left"/>
        <w:rPr>
          <w:sz w:val="20"/>
        </w:rPr>
      </w:pPr>
    </w:p>
    <w:p w14:paraId="57361920" w14:textId="77777777" w:rsidR="008F59D7" w:rsidRDefault="005A53E5" w:rsidP="00EB144C">
      <w:pPr>
        <w:pStyle w:val="Textoindependiente"/>
        <w:ind w:left="0"/>
        <w:jc w:val="left"/>
        <w:rPr>
          <w:sz w:val="20"/>
        </w:rPr>
      </w:pPr>
      <w:r>
        <w:rPr>
          <w:noProof/>
          <w:sz w:val="20"/>
          <w:lang w:val="es-CO" w:eastAsia="es-CO"/>
        </w:rPr>
        <w:drawing>
          <wp:anchor distT="0" distB="0" distL="0" distR="0" simplePos="0" relativeHeight="487587840" behindDoc="1" locked="0" layoutInCell="1" allowOverlap="1" wp14:anchorId="2FDFDE32" wp14:editId="3A5BFD41">
            <wp:simplePos x="0" y="0"/>
            <wp:positionH relativeFrom="page">
              <wp:posOffset>3483756</wp:posOffset>
            </wp:positionH>
            <wp:positionV relativeFrom="paragraph">
              <wp:posOffset>170483</wp:posOffset>
            </wp:positionV>
            <wp:extent cx="798354" cy="871727"/>
            <wp:effectExtent l="0" t="0" r="0" b="0"/>
            <wp:wrapTopAndBottom/>
            <wp:docPr id="4" name="Image 4" descr="C:\Users\coord.referencia\Documents\Mis archivos recibidos\logos USB Colombia-0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C:\Users\coord.referencia\Documents\Mis archivos recibidos\logos USB Colombia-02.png"/>
                    <pic:cNvPicPr/>
                  </pic:nvPicPr>
                  <pic:blipFill>
                    <a:blip r:embed="rId8" cstate="print"/>
                    <a:stretch>
                      <a:fillRect/>
                    </a:stretch>
                  </pic:blipFill>
                  <pic:spPr>
                    <a:xfrm>
                      <a:off x="0" y="0"/>
                      <a:ext cx="798354" cy="871727"/>
                    </a:xfrm>
                    <a:prstGeom prst="rect">
                      <a:avLst/>
                    </a:prstGeom>
                  </pic:spPr>
                </pic:pic>
              </a:graphicData>
            </a:graphic>
          </wp:anchor>
        </w:drawing>
      </w:r>
    </w:p>
    <w:p w14:paraId="516EB418" w14:textId="77777777" w:rsidR="008F59D7" w:rsidRDefault="008F59D7" w:rsidP="00EB144C">
      <w:pPr>
        <w:pStyle w:val="Textoindependiente"/>
        <w:ind w:left="0"/>
        <w:jc w:val="center"/>
      </w:pPr>
    </w:p>
    <w:p w14:paraId="1EFFE3E6" w14:textId="77777777" w:rsidR="008F59D7" w:rsidRDefault="005A53E5" w:rsidP="00EB144C">
      <w:pPr>
        <w:pStyle w:val="Textoindependiente"/>
        <w:ind w:left="0"/>
        <w:jc w:val="center"/>
      </w:pPr>
      <w:r>
        <w:t>Universidad de San Buenaventura</w:t>
      </w:r>
      <w:r>
        <w:br/>
        <w:t>Facultad de Derecho</w:t>
      </w:r>
      <w:r>
        <w:br/>
        <w:t>Pregrado de Derecho</w:t>
      </w:r>
      <w:r>
        <w:br/>
        <w:t>Medellín, Colombia</w:t>
      </w:r>
    </w:p>
    <w:p w14:paraId="59D6A69A" w14:textId="77777777" w:rsidR="008F59D7" w:rsidRDefault="005A53E5" w:rsidP="00EB144C">
      <w:pPr>
        <w:pStyle w:val="Textoindependiente"/>
        <w:ind w:left="0"/>
        <w:jc w:val="center"/>
      </w:pPr>
      <w:r>
        <w:rPr>
          <w:spacing w:val="-4"/>
        </w:rPr>
        <w:t>2026</w:t>
      </w:r>
    </w:p>
    <w:p w14:paraId="1AC236B1" w14:textId="77777777" w:rsidR="008F59D7" w:rsidRDefault="008F59D7" w:rsidP="00EB144C">
      <w:pPr>
        <w:pStyle w:val="Textoindependiente"/>
        <w:ind w:left="0"/>
        <w:jc w:val="left"/>
        <w:sectPr w:rsidR="008F59D7" w:rsidSect="00FF0028">
          <w:headerReference w:type="default" r:id="rId9"/>
          <w:footerReference w:type="default" r:id="rId10"/>
          <w:type w:val="continuous"/>
          <w:pgSz w:w="12240" w:h="15840"/>
          <w:pgMar w:top="1418" w:right="1418" w:bottom="1418" w:left="1418" w:header="717" w:footer="0" w:gutter="0"/>
          <w:pgNumType w:start="1"/>
          <w:cols w:space="720"/>
        </w:sectPr>
      </w:pPr>
    </w:p>
    <w:p w14:paraId="27B8E87D" w14:textId="77777777" w:rsidR="008F59D7" w:rsidRDefault="008F59D7" w:rsidP="00EB144C">
      <w:pPr>
        <w:pStyle w:val="Textoindependiente"/>
        <w:ind w:left="0"/>
        <w:jc w:val="left"/>
        <w:rPr>
          <w:sz w:val="7"/>
        </w:rPr>
      </w:pPr>
    </w:p>
    <w:tbl>
      <w:tblPr>
        <w:tblStyle w:val="TableNormal"/>
        <w:tblW w:w="0" w:type="auto"/>
        <w:tblInd w:w="339" w:type="dxa"/>
        <w:tblLayout w:type="fixed"/>
        <w:tblLook w:val="01E0" w:firstRow="1" w:lastRow="1" w:firstColumn="1" w:lastColumn="1" w:noHBand="0" w:noVBand="0"/>
      </w:tblPr>
      <w:tblGrid>
        <w:gridCol w:w="2302"/>
        <w:gridCol w:w="7111"/>
      </w:tblGrid>
      <w:tr w:rsidR="008F59D7" w14:paraId="11DBC7B5" w14:textId="77777777">
        <w:trPr>
          <w:trHeight w:val="414"/>
        </w:trPr>
        <w:tc>
          <w:tcPr>
            <w:tcW w:w="2302" w:type="dxa"/>
            <w:tcBorders>
              <w:top w:val="single" w:sz="12" w:space="0" w:color="EC7C30"/>
              <w:bottom w:val="single" w:sz="4" w:space="0" w:color="EC7C30"/>
            </w:tcBorders>
          </w:tcPr>
          <w:p w14:paraId="7BBBC21F" w14:textId="77777777" w:rsidR="008F59D7" w:rsidRDefault="005A53E5" w:rsidP="00EB144C">
            <w:pPr>
              <w:pStyle w:val="TableParagraph"/>
              <w:ind w:left="0"/>
              <w:rPr>
                <w:sz w:val="24"/>
              </w:rPr>
            </w:pPr>
            <w:r>
              <w:rPr>
                <w:sz w:val="24"/>
              </w:rPr>
              <w:t>Citar/How</w:t>
            </w:r>
            <w:r>
              <w:rPr>
                <w:spacing w:val="-2"/>
                <w:sz w:val="24"/>
              </w:rPr>
              <w:t xml:space="preserve"> </w:t>
            </w:r>
            <w:r>
              <w:rPr>
                <w:sz w:val="24"/>
              </w:rPr>
              <w:t>to</w:t>
            </w:r>
            <w:r>
              <w:rPr>
                <w:spacing w:val="-1"/>
                <w:sz w:val="24"/>
              </w:rPr>
              <w:t xml:space="preserve"> </w:t>
            </w:r>
            <w:r>
              <w:rPr>
                <w:spacing w:val="-4"/>
                <w:sz w:val="24"/>
              </w:rPr>
              <w:t>cite</w:t>
            </w:r>
          </w:p>
        </w:tc>
        <w:tc>
          <w:tcPr>
            <w:tcW w:w="7111" w:type="dxa"/>
            <w:tcBorders>
              <w:top w:val="single" w:sz="12" w:space="0" w:color="EC7C30"/>
            </w:tcBorders>
          </w:tcPr>
          <w:p w14:paraId="6D1320BC" w14:textId="77777777" w:rsidR="008F59D7" w:rsidRDefault="005A53E5" w:rsidP="00EB144C">
            <w:pPr>
              <w:pStyle w:val="TableParagraph"/>
              <w:ind w:left="0"/>
              <w:rPr>
                <w:sz w:val="24"/>
              </w:rPr>
            </w:pPr>
            <w:r>
              <w:rPr>
                <w:sz w:val="24"/>
              </w:rPr>
              <w:t>(Rivera</w:t>
            </w:r>
            <w:r>
              <w:rPr>
                <w:spacing w:val="-2"/>
                <w:sz w:val="24"/>
              </w:rPr>
              <w:t xml:space="preserve"> </w:t>
            </w:r>
            <w:r>
              <w:rPr>
                <w:sz w:val="24"/>
              </w:rPr>
              <w:t>Arango</w:t>
            </w:r>
            <w:r>
              <w:rPr>
                <w:spacing w:val="-1"/>
                <w:sz w:val="24"/>
              </w:rPr>
              <w:t xml:space="preserve"> </w:t>
            </w:r>
            <w:r>
              <w:rPr>
                <w:sz w:val="24"/>
              </w:rPr>
              <w:t>&amp;</w:t>
            </w:r>
            <w:r>
              <w:rPr>
                <w:spacing w:val="-1"/>
                <w:sz w:val="24"/>
              </w:rPr>
              <w:t xml:space="preserve"> </w:t>
            </w:r>
            <w:r>
              <w:rPr>
                <w:sz w:val="24"/>
              </w:rPr>
              <w:t>Suárez,</w:t>
            </w:r>
            <w:r>
              <w:rPr>
                <w:spacing w:val="-1"/>
                <w:sz w:val="24"/>
              </w:rPr>
              <w:t xml:space="preserve"> </w:t>
            </w:r>
            <w:r>
              <w:rPr>
                <w:spacing w:val="-2"/>
                <w:sz w:val="24"/>
              </w:rPr>
              <w:t>2026)</w:t>
            </w:r>
          </w:p>
        </w:tc>
      </w:tr>
      <w:tr w:rsidR="008F59D7" w14:paraId="4F243BC9" w14:textId="77777777">
        <w:trPr>
          <w:trHeight w:val="1328"/>
        </w:trPr>
        <w:tc>
          <w:tcPr>
            <w:tcW w:w="2302" w:type="dxa"/>
            <w:tcBorders>
              <w:top w:val="single" w:sz="4" w:space="0" w:color="EC7C30"/>
              <w:bottom w:val="single" w:sz="12" w:space="0" w:color="EC7C30"/>
            </w:tcBorders>
          </w:tcPr>
          <w:p w14:paraId="37892486" w14:textId="77777777" w:rsidR="008F59D7" w:rsidRDefault="005A53E5" w:rsidP="00EB144C">
            <w:pPr>
              <w:pStyle w:val="TableParagraph"/>
              <w:ind w:left="0"/>
              <w:rPr>
                <w:sz w:val="24"/>
              </w:rPr>
            </w:pPr>
            <w:r>
              <w:rPr>
                <w:spacing w:val="-2"/>
                <w:sz w:val="24"/>
              </w:rPr>
              <w:t>Referencia/Reference Estilo/Style: APA 7ma ed. (2020)</w:t>
            </w:r>
          </w:p>
          <w:p w14:paraId="234B043E" w14:textId="77777777" w:rsidR="008F59D7" w:rsidRDefault="008F59D7" w:rsidP="00EB144C">
            <w:pPr>
              <w:pStyle w:val="TableParagraph"/>
              <w:ind w:left="0"/>
              <w:rPr>
                <w:sz w:val="24"/>
              </w:rPr>
            </w:pPr>
          </w:p>
        </w:tc>
        <w:tc>
          <w:tcPr>
            <w:tcW w:w="7111" w:type="dxa"/>
            <w:tcBorders>
              <w:bottom w:val="single" w:sz="12" w:space="0" w:color="EC7C30"/>
            </w:tcBorders>
          </w:tcPr>
          <w:p w14:paraId="0FEE9704" w14:textId="77777777" w:rsidR="008F59D7" w:rsidRDefault="005A53E5" w:rsidP="00EB144C">
            <w:pPr>
              <w:pStyle w:val="TableParagraph"/>
              <w:ind w:left="0" w:hanging="708"/>
              <w:jc w:val="both"/>
              <w:rPr>
                <w:sz w:val="24"/>
              </w:rPr>
            </w:pPr>
            <w:r>
              <w:rPr>
                <w:sz w:val="24"/>
              </w:rPr>
              <w:t>Rivera Arango, J. F., &amp; Suárez, J. M. (2026). Violencia en el Fútbol Colombiano:</w:t>
            </w:r>
            <w:r>
              <w:rPr>
                <w:spacing w:val="-1"/>
                <w:sz w:val="24"/>
              </w:rPr>
              <w:t xml:space="preserve"> </w:t>
            </w:r>
            <w:r>
              <w:rPr>
                <w:sz w:val="24"/>
              </w:rPr>
              <w:t>Desafíos,</w:t>
            </w:r>
            <w:r>
              <w:rPr>
                <w:spacing w:val="-1"/>
                <w:sz w:val="24"/>
              </w:rPr>
              <w:t xml:space="preserve"> </w:t>
            </w:r>
            <w:r>
              <w:rPr>
                <w:sz w:val="24"/>
              </w:rPr>
              <w:t>Impactos, Derecho</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Responsabilidad de sus Actores [Artículo de investigación]. Universidad de San Buenaventura Medellín.</w:t>
            </w:r>
          </w:p>
        </w:tc>
      </w:tr>
    </w:tbl>
    <w:p w14:paraId="3C1664DD" w14:textId="77777777" w:rsidR="008F59D7" w:rsidRDefault="008F59D7" w:rsidP="00EB144C">
      <w:pPr>
        <w:pStyle w:val="Textoindependiente"/>
        <w:ind w:left="0"/>
        <w:jc w:val="left"/>
        <w:rPr>
          <w:sz w:val="2"/>
        </w:rPr>
      </w:pPr>
    </w:p>
    <w:p w14:paraId="422839C4" w14:textId="77777777" w:rsidR="008F59D7" w:rsidRDefault="005A53E5" w:rsidP="00EB144C">
      <w:pPr>
        <w:rPr>
          <w:sz w:val="20"/>
        </w:rPr>
      </w:pPr>
      <w:r>
        <w:rPr>
          <w:noProof/>
          <w:sz w:val="20"/>
          <w:lang w:val="es-CO" w:eastAsia="es-CO"/>
        </w:rPr>
        <mc:AlternateContent>
          <mc:Choice Requires="wpg">
            <w:drawing>
              <wp:inline distT="0" distB="0" distL="0" distR="0" wp14:anchorId="760F7F53" wp14:editId="4B9495C1">
                <wp:extent cx="1540510" cy="269875"/>
                <wp:effectExtent l="0" t="0" r="0" b="6350"/>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40510" cy="269875"/>
                          <a:chOff x="0" y="0"/>
                          <a:chExt cx="1540510" cy="269875"/>
                        </a:xfrm>
                      </wpg:grpSpPr>
                      <pic:pic xmlns:pic="http://schemas.openxmlformats.org/drawingml/2006/picture">
                        <pic:nvPicPr>
                          <pic:cNvPr id="6" name="Image 6">
                            <a:hlinkClick r:id="rId11"/>
                          </pic:cNvPr>
                          <pic:cNvPicPr/>
                        </pic:nvPicPr>
                        <pic:blipFill>
                          <a:blip r:embed="rId12" cstate="print"/>
                          <a:stretch>
                            <a:fillRect/>
                          </a:stretch>
                        </pic:blipFill>
                        <pic:spPr>
                          <a:xfrm>
                            <a:off x="0" y="13743"/>
                            <a:ext cx="725642" cy="189143"/>
                          </a:xfrm>
                          <a:prstGeom prst="rect">
                            <a:avLst/>
                          </a:prstGeom>
                        </pic:spPr>
                      </pic:pic>
                      <pic:pic xmlns:pic="http://schemas.openxmlformats.org/drawingml/2006/picture">
                        <pic:nvPicPr>
                          <pic:cNvPr id="7" name="Image 7">
                            <a:hlinkClick r:id="rId11"/>
                          </pic:cNvPr>
                          <pic:cNvPicPr/>
                        </pic:nvPicPr>
                        <pic:blipFill>
                          <a:blip r:embed="rId13" cstate="print"/>
                          <a:stretch>
                            <a:fillRect/>
                          </a:stretch>
                        </pic:blipFill>
                        <pic:spPr>
                          <a:xfrm>
                            <a:off x="768550" y="0"/>
                            <a:ext cx="771347" cy="269875"/>
                          </a:xfrm>
                          <a:prstGeom prst="rect">
                            <a:avLst/>
                          </a:prstGeom>
                        </pic:spPr>
                      </pic:pic>
                    </wpg:wgp>
                  </a:graphicData>
                </a:graphic>
              </wp:inline>
            </w:drawing>
          </mc:Choice>
          <mc:Fallback>
            <w:pict>
              <v:group w14:anchorId="40F1D6B4" id="Group 5" o:spid="_x0000_s1026" style="width:121.3pt;height:21.25pt;mso-position-horizontal-relative:char;mso-position-vertical-relative:line" coordsize="15405,2698" o:gfxdata="UEsDBBQABgAIAAAAIQDQ4HPPFAEAAEcCAAATAAAAW0NvbnRlbnRfVHlwZXNdLnhtbJSSQU7DMBBF 90jcwfIWJQ5dIISSdEHKEhAqB7DsSWKIx5bHhPb2OGkrQdVWYumZef/Pt10uN3ZgIwQyDit+mxec ASqnDXYVf18/ZfecUZSo5eAQKr4F4sv6+qpcbz0QSzRSxfsY/YMQpHqwknLnAVOndcHKmI6hE16q T9mBWBTFnVAOI2DM4qTB67KBVn4Nka02qbzb5MNDx9njbnDyqrixk8DcECcZj6eRqX6aCDDQkYv0 fjBKxnQfYkR9lCXb58gTOc9QbzzdpLBnHKbO3xi/DfbcS3qAYDSwVxnis7QprNCBBCxc41R+WWNa 0lLm2tYoyJtAq5k67HROW7tvDDD+V7xJ2BuMB3Uxf4P6BwAA//8DAFBLAwQUAAYACAAAACEAOP0h /9YAAACUAQAACwAAAF9yZWxzLy5yZWxzpJDBasMwDIbvg72D0X1xmsMYo04vo9Br6R7A2IpjGltG Mtn69jODwTJ621G/0PeJf3/4TItakSVSNrDrelCYHfmYg4H3y/HpBZRUm71dKKOBGwocxseH/RkX W9uRzLGIapQsBuZay6vW4mZMVjoqmNtmIk62tpGDLtZdbUA99P2z5t8MGDdMdfIG+OQHUJdbaeY/ 7BQdk9BUO0dJ0zRFd4+qPX3kM66NYjlgNeBZvkPGtWvPgb7v3f3TG9iWOboj24Rv5LZ+HKhlP3q9 6XL8AgAA//8DAFBLAwQUAAYACAAAACEAzH+r9HICAAAACAAADgAAAGRycy9lMm9Eb2MueG1s7JXL jtsgFIb3lfoOiP3EcW7OWElm0XSiSKM2mrYPQDC2UcxFQC7z9j1gx7mN2mo0XVTqwhb4mMN3fn5g 8nAQFdoxY7mSUxx3uhgxSVXGZTHFP74/3o0xso7IjFRKsil+YRY/zD5+mOx1ynqqVFXGDIIk0qZ7 PcWlczqNIktLJojtKM0kBHNlBHHQNUWUGbKH7KKKet3uKNork2mjKLMWvs7rIJ6F/HnOqPua55Y5 VE0xsLnwNuG99u9oNiFpYYguOW0wyBsoBOESJm1TzYkjaGv4TSrBqVFW5a5DlYhUnnPKQg1QTdy9 qmZh1FaHWop0X+hWJpD2Sqc3p6Vfdgujv+mVqemh+aToxoIu0V4X6Xnc94vTz4fcCD8IikCHoOhL qyg7OEThYzwcdIcxCE8h1hvdj5NhLTktYV1uhtHy868HRiStpw1wLYzmNIWnEQhaNwL93kgwym0N w00S8Uc5BDGbrb6DtdTE8TWvuHsJvoRV81Byt+LUa+s7oOXKIJ5N8QgjSQRsh6UgBUMj+JukZcXl 5lPF6aZBAJteLfMrVdQWmiu6FUy6ek8YVgGNkrbk2mJkUj+nWWax1z5qUU5UnvEYukBeV1w/8qry fL797mRMrFkN1wOTwEnhQBVtuHS1T6wzzNHSz58DxzNsaA9K0jYQ6jlx+upsY+dXHRr3k0G/Tn50 adIbjgZ+fjBpPL6P63jrNZJqY92CKYF8A6QEirBkZPdkG57jL43ANUJgA6JaaWj8Mw5NLh2a/Hfo Muv/dYcmo/FwCKfl7UGaJHF/AItyeY6+q0XDkQrXTNhezZXo77HzPrTPL+7ZTwAAAP//AwBQSwME CgAAAAAAAAAhAAb/ONicFAAAnBQAABUAAABkcnMvbWVkaWEvaW1hZ2UxLmpwZWf/2P/gABBKRklG AAEBAQBgAGAAAP/bAEMAAwICAwICAwMDAwQDAwQFCAUFBAQFCgcHBggMCgwMCwoLCw0OEhANDhEO CwsQFhARExQVFRUMDxcYFhQYEhQVFP/bAEMBAwQEBQQFCQUFCRQNCw0UFBQUFBQUFBQUFBQUFBQU FBQUFBQUFBQUFBQUFBQUFBQUFBQUFBQUFBQUFBQUFBQUFP/AABEIADAAuAMBIgACEQEDEQH/xAAf AAABBQEBAQEBAQAAAAAAAAAAAQIDBAUGBwgJCgv/xAC1EAACAQMDAgQDBQUEBAAAAX0BAgMABBEF EiExQQYTUWEHInEUMoGRoQgjQrHBFVLR8CQzYnKCCQoWFxgZGiUmJygpKjQ1Njc4OTpDREVGR0hJ SlNUVVZXWFlaY2RlZmdoaWpzdHV2d3h5eoOEhYaHiImKkpOUlZaXmJmaoqOkpaanqKmqsrO0tba3 uLm6wsPExcbHyMnK0tPU1dbX2Nna4eLj5OXm5+jp6vHy8/T19vf4+fr/xAAfAQADAQEBAQEBAQEB AAAAAAAAAQIDBAUGBwgJCgv/xAC1EQACAQIEBAMEBwUEBAABAncAAQIDEQQFITEGEkFRB2FxEyIy gQgUQpGhscEJIzNS8BVictEKFiQ04SXxFxgZGiYnKCkqNTY3ODk6Q0RFRkdISUpTVFVWV1hZWmNk ZWZnaGlqc3R1dnd4eXqCg4SFhoeIiYqSk5SVlpeYmZqio6Slpqeoqaqys7S1tre4ubrCw8TFxsfI ycrS09TV1tfY2dri4+Tl5ufo6ery8/T19vf4+fr/2gAMAwEAAhEDEQA/AP1TpN1cZ8UPif4d+EHg nVvFfivU4tL0PTYzNPPKcZ7KiLn5nY/Kq/xNX542fxl/aa/b01jUG+FG34UfC+OVok1m9+SW4X7u 3equzPtO7bF8q7fv0AfqDupa/Nz/AIdg/GLyv+TpvE3m/wDb7s/9KqwNc8fftVfsDXkOoeNLqP4v /C6N0SbUY97S2sW7b877d8Tf729NzL81AH6hUm4etef/AAV+NHhv49/D3TfGHhW8+06ZeLyjn97b y/xxSL/Cy1+cv7Y/7X/xP+Lf7R3/AAoT4P3lzoHlX39kz3cMvk3F5dfx/vf+WUSf7P8Ac3f7NAH6 tbqN1flRpfwC/bU/Zp8a+G5/Dvi5/iPa6tcql1A+pS3VrAUBbFx9qCmKMru+dP7v97YrcF+2R+1R 8dPAX7aWt+F/CninULMwvpaWvh60Hm2/ny2Fq7xKu351aVmoA/ZTdRur8l/FX7Rn7S37JnwV8T3H xauWHjnxZdwWvhlL68tLh7GBFle6mRIHb+/EvzfxMtc5a/BD9pW7+Cj/ABxl+OtzD4h+x/28vhxt Wff9l2ebvb5vKWTb8/lbP/H/AJaAP2L3Ubq/Pn9kz9sP4pftC/sn+NRoWm2viT4yeHClrZmbyreG 9WUjZK291Tei+bu+6vyJ/erxKH9mP9obWvC/iDxd8XP2gLn4Ya/AX8jS7zXVdJysXybmguBHFv8A u/Jvb/ZoA/W5/kV3r5L/AGV/+CifhT9qr4lT+DdE8Nato95BpsupNPfSROm1HiXb8v8A11/Svln9 h/43/HL9qX4Y+O/h9Y/ER9I8RaMtneaf4muo/NuI4mdleBuPm+7Xyp/wT98D/EH4hfHO4034a+M1 8Da9Fo89xLqbRebvt1li3RY/2mZP++aAP0x8Xftk/FrQv2sLX4a2Xwlnv/BUuv2WmN4m+x3mxLeV ot82/b5fyb3/AO+K+2dw9a/I34rftJfFLTP+Cl1j4CtPGuqWnhKXxhpGntpULr5XkSy2+9Pu/wC2 1a/7Ov7Q3xR+Hv8AwULuPhV8QfGV3rnh6e8vtIiTVrgOqFlaW0dW2rulYpFF/wBtWoA/Vyivyi+P /wC0X8TvHf8AwUHtvhn4H8bar4e8OwX9vZXcVqq7YkiTzbuV/wC8qKsr/wC6tctN8a/jF/wUC/aF 1zwp4J8et8OfAGlbpUnt7p4okt4pdiS702NLK+/7m5fl/wB2gD9hd1LX5EeCfj98Xv2Hf2m9D+HH j3xs/wARfBepvb7ZzJ9qdoJ5XRZondtyMrq25Wf+Gv10U713UAPooooAKKKKAPzQ/bSg1H9rT9tH wH+z9Z3stt4T0qIarrk1u+/HyM77v7jbNsS7v45lr6f+Kn7UXwd/Y/sdG8G6hM1ndRWqLY+G9Bsn uLhYOzbVG1P+BN81fNXwbVtH/wCCwvxUW+zaHUdDkFn5vy+f+6svuf3v9U//AHxWBe+KNJ/Z8/4K i+LfFHxbP9neHtc0t49B1a+i823iZvs+358fJjypl/2d/wDtUAfZOhftp/B7xD8KNV+IsHjGG28M 6XILe+mu7eWKe3n/AOeLRMu5n54VN27+Gue+Gv7bfwU/aN1mXwLaX9z9u1aKWGPStf02SBNSi2fO It3yNlf4fvdflr4g/bs8beEfjh8LdJ8Y/CfQLs+B/DPiyX/hI7m20v7Pb38zovlXS/8APVPllXe3 3fN/2q+wfA37V37P3xR+LHw80jwjpf8Awkniq8sZDY32naL5h0aH5W8q4f70Odn8O7Zt+bYrfMAf P/7PNtd/sWf8FB9a+DsE0g+HvjmD7bpkVydixS7HeFk/vfMksH+18n92vnG/8Rp+yN/wU01DXPFE M8WjQ67cXDXEvzv9julfbcfL975Zd1fS37YET6p/wVK/Z8t7E/aZ7a2sHnSL78aLe3DsW/4D81d9 /wAFHviv+zroFvY6H8UvDE3jPxksJksdO0tvs93bxfeUy3W9fKiZl/2m+bhPvUAd98Vf+ClPwU+G g8Pm08RxeOH1O5WJ4vDDpdy2sRH+tcbv7235Pv8Azfd+WvgX9oPUoda/4KvWWoW/meRd6toMsfnR vE+1rC0+8rfMtaP7Jfx5/ZU8IfEWzvdf+EOpeBNWaWMafquoaq+tWkP/AE1fekXlfNt+ZUf/AIDX 0X+2R4i/Ze+CXxltPiX4q0rU/FXxVvvI1S1tNE1B9o8qJFt5ZfnWKJNsS4+8zZ3bGoA5T/gtZ4B1 bVPDnw68X20LTaVpMt5Y3bqG/dNP5TIzei/umX/gS15t8Mvhr+w7qfwB0jxh4q1yW28SQ6Wh1XRE 1qRL57xUHmrFBu3NufO3+GvUNE/4K3fDn4nNc+F/iz8LrzQfDWoosTv9qXVbdl7+bG0UTKn+0m9v 9mue/aK+FH7Fv7PEnhHV9a8G+K/EGneLIJdS06bwzqHm27xLs/56XEXy/vV27aAOA8PfFLwB8N/2 SfHnxG+Avh/xH4B8VXNzZaBqz6neNeRRJKzvut5fus/yfe2pt3fdrk/gl4A/Zz1r4Dax8Tfi/wDE W48T/EHyrhl8NTamyXfmp8sUW3/Wy7/k+f7nzf7DV7F4u/4KU/AXSvCFr8NPCnwTuda+Gd1Cv261 vJYtP8rdtd9kSrL5rr/eZ0+ZPvbfmrzXW/i5+xf8I38P+JPAPwt1zx/r+xLz+zNa1CW3tbH/AGZy /mq0qt/cV0/26AO1/wCCI3/I9fFL/sFWf/o2WvHv+CXvxF8NfBb9p3Ur/wAcaza+FrRtCvLA3Gpt 5KLP50DeU2fut8jf9819N/sbftA/s4/Cv4W/EX4neEPA/iTwtqWjWtp/wkGkLqB1FmiluPKiaB5Z VVvnf+Ly2+teE/GL4+fsdeNr/UfGOmfCXxjqPi2/ufPmsJ75dKt5WLbnlZoppVTP+wn3v7tAFX4w Os3/AAVz0p1f5G8eaHtb/tra16l/wVT8JXnwX/aT+G3xq0WNUeeWJ2bbu/02zlR0/wC+k2/98tWX o/7UX7JPi3xD/wALr8VeB/E+l/Few1K01CPR7S/luvPuImTynibfFEyL5S7t6p/uv/F3Wkftx/B7 9vXXNC+E/wAWvhzq3h+HUNYt30aa01c3MTXhSWJPNZEiePd5mz5Vddz/ADbNu6gDnf8Agmn8Orn4 3fFn40/GW+gkkkniurDSmu9rbZ7zc7/P/C6ReUn+7O1fMX7LHw1+FVt8d/Efgf8AaHLaBZW0MsEF 3LdyWkVvexSp8jN/cdN/zN/dX+9X6E+Pf2qfgN/wTl0af4ZeCdB1DWNbR2vX0mwn3JFO2zH2q6lZ mXf6KsjLt+6vy187X/7VX7Mf7WPjuN/jX8KdQ8B65I6Rx65p+otPE6lPvXTxJC/Hyhfkf738PcAi 8TeFv2KPDvxu8NeBfDukeJPGP29lSXXvDettcW9nO7KIUX5v3v8Aedk+58v323qv696bZJp+n21t HuaKCJY13/e+Xivzw8TeKP2WP+Cb3xE0pIPAGv6pruq6amqWes2KRah5cDu6YR5502fc/h/2aqeM P+C03g3S/FsFr4f8AavrfhvKpPql1epZTfe+YxQbH3/Lt+86f8BoA/SiivnTxF+3H8MPDf7O2jfG W7u75fDWsfJYWSwKb64n3MjwCLft3oyPu+fb8v3q+YtM/wCCzOjrrnma38JfEGneEZHfyNYtb5Li eVc/LiB4ok/8i/L/ALVAH6UUVw3wj+LHh/42eBtO8YeFria50PUVZrea4tmgd9r7W+Rvm/hooA+H v+Cj3w08V/C74k+Df2mPAFu9xqnhhkg1eEIzKbdN21pdvPlMjvE/+y33q+nfg38WPhd+2V8ObHW7 ew0zWzEq/bNJ1CNZprCX+JGDf+hfxV7jeWcGoWstrcxJcQSqUkilTcrL/davgL4r/wDBMK90LxhL 40/Z88eXHw01uRtzaYZJUtPmPz+XLF88a8/c2uv+7QB9323hnSLLRf7JttKsodK2bPsMNuiw7f7u z7teX/ELxl8J/wBk3whqHijU7bRfCdu6N8tpapFcXjdo0VRuc18bf8Ix/wAFG4j9jTxLo726/uvt BTSfmX+//qt1bnw8/wCCY3iDx14ttfF37RXxDvPiBewPvi0S3nlaA/Mv+tlf5tn/AEyRU7fN/DQB m/sI+CPE37R/7SHir9p/xjZPp1g4ls/DltLFs8zcvlb1+b7kUQ2fxbmlPzfJXzb4I06x+K3/AAVS urbx9Crwy+JrrfY3Tbk3xK/kw/N1Xcqrtr9p9F0Wx8O6VaabplrDYafaxLFBa26bEiRf4VWvzu/b Q/4J0eMfFvxkb4ufBjUobTxDcXEV1eaVNMtq63a7R9ogl+78332Vv4v72/aoB9k/ED9nD4V/EbU9 Au/E/g/R7660mdmsDJAqDcy/cKLjenH3W/u1+V3w88M6N8Tf+CrWu6Z4zEUtjB4kv/JtJ9rxO8G9 be3/AN0bEXb/ALNezJ+yj+1/+0V4p8O2Xxi8djQPDWkXC3a3Gnz26TbuPuJaqu6Xb915fu/NXQft b/8ABNvxXrPxPtfil8FNZFp4kPlS3NjdXHkzG7X5ftcU/wDffh33/wAW9t7bttAHZ/8ABWT4d+Fo v2VLrWE0aws9UsdTtRa3FvbKjLvfY6/LX5Y/EHxDq2vfs4fCa21OZpYNJ1PXbCw3D7lv/oUu3/a/ eyy19r+N/wBkL9sr9qK80PQ/it4k0208N2kpf7Q89r5MXq/k2qr5r7fu7v8Avpa6r9sH/gnH4t13 wT8IvBfwh0mHUtG8JWN7Bc3Oo3sVvLJPPJFI0jbvvM77m+X5V+7QA/8Aa38BeGtG/wCCXfw+u7HR LC0vP7O0Gb7ZFAiSs7Wqs7M/3m3bv1rb/wCCXPwr8I+Mv2NPFkuteHtN1KfUdTv7K5nuLZHleL7P F8m48/xNXqv7SH7OHjr4j/sH+EfhdoljbXPi/TtP0e3ubeS5VIle3gVJf3rfL94Vtf8ABP34A+Mf gB+zZqfg7xhZQ2OuT6neXaRQXKzp5ckUSr8y/wC5QB+Tf7O//JsH7Tn/AGBdG/8ATrFX21/wR88B +HfEvwW+IN3rGiafq1w2qrb+Zd2ySts8j7nzfWvP/hB/wTs+Nvg/4J/G7wzqeg2MOq+KtN0220xE 1KB0leK/SZ97bvk+RK+r/wDgm3+zX46/Zt+Ffi3Q/HWn21hf6jqP2mBbe5W43KItv8NAHwx/wSn8 FaDrf7YfiKz1PR7XUrTTtDvpbOK9iWVYnW6t4g/zfxbHdf8AgdX/AI++G9P8Gf8ABV7wpb6JZQ2k TeJNDuhbwJtTzWli/hr6B/4J+fsWfFX9nv8AaU8T+MvGej2dnoeoaTeWdvNBfxTu0kl1BKvyq392 Jqn+NP7GXxS8a/8ABQfw18V9L0i1k8G2OsaRez3bX0SSiOB0aX91u3fw0AfO3/BPPwzpXxY/b38W 33jmzjvr60g1TVba1vW3ob37XFFja339iSy8f7H+zXvH/BZT4beFdP8Agz4P8T22kWFh4hi8QJps dxbRrE72z29w7oyr98boov8Ad/4FVX9oT/gnV8TPCPx1k+LP7PmrxWl/dXjXjae86WstnK+7zdjN 8skTf3W/vfxVyPiD9h79qv8Aat8c6IPjf4ltLHw/pw/4+hPA3lJuUP5UFuu3zWX+Jv7v3qAPj79p fxDqvifwN8CLzVyzXcXgr7Ojv954otQvUib/AL4Va+/P+ClHw78M+Hf2HvBV1pmg6bptza3Wm+VL aWqROu63ff8AMtY/7dH/AATx8ffEjxX4AtvhPodpc+FPDfhe30VPteoRROrJPM38f3vkdPmr6E/b k/Z18bfHD9ljw/4H8J6fbXmv2dxYvLFLcrEiLFFtf5moA+PIP2W/GH7SH/BNr4ITeCQl/qvh681m VtKlnWL7VFJf3H3N3ysybP8Ax9q46D9p/wCPH7O/gDSfAXxW+D+ma94Hs7aK1S08TaG8TfZlGzYs 6/Ju+X7zq7V9EXP7CXxxuf2Rvhl4Z0TxpL4S8X+E5L64n8NpeItpcSve3E8MqTxf8tdrp99mX/c+ fdxvjb4C/t4fGbwf/wAIH4w1jTLjwxdNFFcGaawXKr/E8kS+a3/s1AH3d+yb8e/Df7SPwa0jxV4V 059CtbeT+zrrR2RcWM8SJuhVl+VkCum1hjKsPlVsqpUH7HP7N9v+y58EbDwYt8uqao1xNf6nexqy rJcybQ2xWPCKiRIP72zd/FiigD//2VBLAwQKAAAAAAAAACEAIVVvmJ0yAACdMgAAFAAAAGRycy9t ZWRpYS9pbWFnZTIucG5niVBORw0KGgoAAAANSUhEUgAAAL4AAABDCAYAAAAieL9aAAAABmJLR0QA /wD/AP+gvaeTAAAACXBIWXMAAA7EAAAOxAGVKw4bAAAgAElEQVR4nO29d3hU1fb//5qSSSYzaQRS SEghoYRAgEDoLRg6EYgFrIiIgIJYuNhFEPTqhXstIKIizYCANEE/gBdBSmhCUEpACCSQhJBeZjJ9 zvePcY4ZZtIg8d7f7/J+njxw2p599ll777XXeq+1JYAcSARmAoMBFXdxF///QxWwF1gC7JMAQyQS yZaw8DB1YHAgUqn0P1u9u7iLJoDVauVm/k2uZV3TCIJwnxx4JrRVqOrxxycK0R2iJRKp5D9dx7u4 i0aHYBW4knmFVV+sVGdnZT8jB+5pGdKS0KhQlJ7K/3T97uIumgyRUZG0DGlJdlb2YDngJXeTo1Te FfqGQBAEhz8AiUTi8Pefhr1eVqvV9n8BJNL/rjrCn21ptVpBACQglUixax+NVU+ZVIZMJgPwkjdK iQ2AIAhYLBasVitWiwWL1QqAVCpFJpUhlUmRSqX/VR/GDrPZjK5KR3FREYUFhWg0GjSVWjQaDVKZ FLVKhcpLjZeXmhYBAfg398fd3R2ZTPaXvYvVasWgN1BWVsbN/JtUVFSgrdSi0VRiMppRqVWo1SpU ahX+zf1pERCASq1CLpf/ZXUUBAGT0URlZSUFNwsoLSn9oy01GAx63N3dUalUqNRqfP18CAwKwsvb C4VC0Whr0L9E8AVBoLysnIzzGVy7mo3BYMBkNmE2mTGZTAgCuLnJkcvdcFPIUSjcaRnSko5xHfFv 7v9XVLFWWK1WLmZc5MSxE5QWl3D92nVyc3KxWCwu71coFISGhRIaGkrzgBb07tebVmGtmtxwUFpS yoF9P5OXm0f+jXyyrmSh0+lqvD8wKJDwiHCaNfcntmMsPfv0bNL6Aeh1etIOHebK5asUFhaSdSWL 0pKSGu/39vYmIiqCgIAAwsLD6NWvN76+vndcjyYVfI1Gw7HDRznz2xnycvIoKS5Bo9GIU7D9Xzvs I45EIsHT0xPfZn4EBQUSExtD73598G/u/5fOAoIgUFhQyO7vd3H86HEKbhY41dkVjEYjVy5f4crl K8jlco4ePkL3nt0ZlTwaP3+/Rq+nTqdj/7/3cfDng1zLuobRaKzXczfzb3Iz/yYSiYS0g2kcO3KU ISOG0rZdW7tK0GiwWq2c/e0su77fxfmz59BV6erVlhUVFfyW/hsASqWSY0eOMXjIPfTp3+eO6igB hL4D+jJ1xjQ8PDxuuyA7rFYr5WVlHDl0lE3rN6LVau+4TACZXMaYlDEMSkokICDAoZM0Nuz65ulT p1m+5DPKSsscrkskEuRyOWq1Gj8/P3x8fBAEgbKyMkpLS9FqtZjNZqdyfX19mTT1Sbr36N4oqoXV aiXrShYrlq/g0sXfna7LZDKUSiW+vr74+vri4eFBRUUFpaWllJWViSpndbh7uDPmvjGMHpOMu7v7 HdXRLtiaSg0bv97Ant17nIRdKpWiUCjw8fHBz88PlUqFTqejrKyM8vJy9Hq9y5m1U+dOPPXMFAID A+utFhv0BpYv+YxDBw41nuDb1JkyMs5fYPM333It+9ptl1Ub1F5qkscm06tvb4KCg5pE8MtKyzi4 7wBrV611OB8QEECbNm2Ii4tj8uTJxMfHO/2+yWTi2LFjLF++nMzMTK5cucLNmzfF615eXoy9fyyD h96DSnX7vkKr1crpk+mkrlnH9Wpt7eXlRZs2bQgMDOSJJ55g5MiRqNVqp+dzc3P57LPPOHToENnZ 2Vy9etXh+uCh9zAm5V6CgoNvu40tFgs38m6w6suV4qgNNmFv164drVq1YvDgwUyaNImAgACHZ+0D yebNm9m2bRt5eXlcuHDBQXVrHd2axyY9Ttv2bXFzc6uzPo0u+BaLheysbLZv3kb6L+no9foa7/Xx 8SEoKAi1Wo1arcbb2xuZTEZlZaVtIabVUlRURFFRkdNoZIfcTU679u0Yde8ounTrilzeOBqbIAgU FRax7dutHNh3AIPBAICfnx8DBw7k4YcfJjExET8/vzqnWYvFQlFREXv37mXdunXs379fnP2USiWD 7hnE/Q89gJeXV4Prqdfr2ffvfWz7diulJaWATZgSEhIYP348ycnJhIeH1ykMVqsVjUbDqVOnSE1N Zffu3Vy/fl283rFzR8Y/PIE27do0eH0iCALnz55nQ+o3XLxwEcEqIJVKiYyMZPTo0UycOJG2bdvi 6elZZ8fS6/Xk5uaSmprK1q1bOXv2rDijtgxpScoD99FvUL8669iogm+1Wjl/9jzr167j8u+XXept 7u7utG7dmkceeYSBAwfi4+ODQqFAoVCI06nRaMRgMGA0GqmqquL06dOsXr2a3377Da1W67Jcv2Z+ 9BvYj/vG34+np2eD634rjEYj36R+w57vd4t6cnBwMG+88Qbjxo0jKMh5hjGbzWg0GiQSCV5eXk6N bzabyc/P57vvvmP27NniiCWTyejVrzdTn53aoHa3WCzs27uPr1eupUpbBYBcLmf69OnMnDmT8PBw FApFg9+9vLycw4cP88Ybb5Ceng7YOlNMbAxPTZ9Cy5CWDRr5S0tKWDh3ocPMn5CQwPvvv0+PHj0a PNsJgoBer+fy5cu8/vrr7NixQ7zm4+PDrL89T4eOHWoV/uqCLwPeDgsPE/XOhiLjXAb/ev+f3Mi7 4fL6wIED+e6773j55ZcZNGgQYWFhBAYG0rx5c/z8/PDy8sLLywtfX1/8/f0JCAggJCSE+Ph4Jk6c yBNPPIGnpycnT57EZDI5lK3X6cm8lInRYKBd+3b1mu5qw+7vd7Fp/SZRp1Qqlaxbt44HHngAHx8f pw+v1+t56623mDRpEh9//DE6nY5BgwY53COVSvH29qZ79+706dOHLVu2YDQaEQSB/Bs38PT0pF37 dvWu4/mz51m7ci3lf6w7ZDIZCxcu5M033yQwMLDGmSgjI4MzZ85gNBpp1qyZ07t4eHgQFRXFgAED OHz4MDdv3hQX9wadnoSeCQ0S/LmvzSX7arZ4HBcXx//93/8RGxt7Wx1TIpHg5uZGQEAA48aNo6qq iqNHjwJgMBg49cspunTtgq9fzRYfi9nCyeO/cC372u0LvtlsZv9P+/n0w6VoNBqHa2q1mv79+7No 0SIWLlxIYGAgbm5uDbLNSyQSUWgGDBhAUlISOp2OmzdvOiyYBUEg60oWeoOedjG3J/xWq5WTJ07y 5bIvxSm0VatWbNu2jUGDBtUoTGlpacyYMYOKigqqqqo4ceIEkZGRdOzY0ek9JRIJYWFhxMfHc/To UUpLS7FarORezyEkpCWBQYF1tk1B/k1Wr1hN9tUswNbOb731Fs8991ydM97rr7/OrFmzABg2bJjL kVEikdCiRQuGDx/O4cOHuXHDNphlZ2WDBGI6xFAXpaWqqoovln3O6ZOnAVvHTElJ4fvvv8fPz++O 12T2DjBgwAAEQRAHRKPBSMHNQtp3aI9K7Xo2qS74t2VYtlgs/HL8F9atTqWqqsrhmq+vL7Nnz2b1 6tWMGzeuUfRvuVxOr169SE1N5cMPP6R79+4O100mE99v/56N6zY41ac+KC8rZ/M334o6fUhICPPn z6dfv9r1xh9//NFhPaPX60lLS6vRTCeTybjnnnt45ZVXRN2+uKiYn/79U73qffjgYc6fPS8eP/ro o0yePPmOFsmuEBERwZdffkl8fDxgG1y+3/690wL4VgiCwLkz50j/JV0816dPH+bPn98oqmh1eHh4 MHXqVFJSUsTB7mLGBc6c/q1G/0p1NHjEt1qtXLp4ia9XfU3BzQKHa97e3vzzn//kqaeewt+/aWzu MTExdOrUiStXrpCVleVwLfNSJh5KJW3bta33YsxsNvPzT/s5cvgIZrMZuVzO1KlTmTZtGu7u7rU+ a7FY2LBhg9jQHh4eTJkyhS5dutT47jKZjLZt22I2mzlw4AAA+TfyiW4TTUhoSI2/lZuTyxfLvsCg t3VOuVzO4sWLiYmJqfG3LBYL58+fZ/PmzezcuZP8/HykUikWiwWdTkdgYGCN3zwwMJCgoCAOHDhA ZWUlJpOJyooKunTrWuOsWl5Wznebt3P58mUAIiMjef/990lISGh0551EIsHb25v27duzd+9eCgsL MZvNlJSU0LlrF5eWrDsa8SsqKti2aSvXsrMdzoeHh3PkyBEmTpyIl5dXkzma5HI5vXv3Zt26dSQl JTlcs1qt/N+OHzh25FiNFqFbUVxUxPEjx9HrbCN3r169eOaZZ1w23K3o06cPTz/9NN7e3vj4+DBj xgweeeSROt9drVbzwgsvEBQUBNg+yJYNm2ut83dbt1NeVi4em81mUlJSeOONN8jOznY5yyxcuJDE xESef/55Tp+2qR7Hjx/n+eefZ8SIEQwZMoRDhw65HCElEgmDBw/m/vvvF89lXsok81Kmy/oJgsCN vDzO/HrGxrcBRo8eTVJSUqM7w6rXMSYmhrfeeks8dzXzqq0OdaBBgm+1WtmycQunTp4SXw5so8Oy ZcuIiYlpspesDqlUSnBwMFu3bqVTp04Oo0lZaRk/791PcVFxneUIgkB+/k2bDottNB41ahRhYWG1 Cq9WqyU3N5fS0lJefvllzp49y5kzZ3juuee4efMmN27cENWmmtCsWTPee+89cfS8knmFixcuurxX U6nh1IlTTucLCwt59913iY6O5vXXXycjI4Pi4mJ0Oh1PPfUUc+fOpaioSFxMg+0b2i1nR44cYcGC BU4zpx1qtZqhQ4cSGhoKQElxCefOnMVidu4ogiBw5PARcb3n5+fH1KlTm5ynJJFISE5Opm3btuK5 /T/tr3Pgq7cCLggCGefOs3/vPofzPj4+vPDCCwwYMOAvJ5Wp1WpWrlzJU089JY5oAL+m/8qhnw8x 7oFxtT5vtVr5PeMiWo1tsRwYGMikSZNqfQ+NRsOKFSvYsmWLk5XJDk9PT8aPH8/kyZNrneKHDx9O TEwMv/1mc+4cOXyEmA4xDvcIgsDxI8fQVenEslUqFUVFRaIwm81m3nvvPVauXElSUhKdOnVi/fr1 Yhk+Pj506tSJFi1aUFFRwdWrV7l69Sr9+vXjnXfeITIy0mX9JBIJQ4YMoW/fvmzYsAFBELiamUV5 eTnN/Js53GvQGziWdkw8fvrpp4mJibm1yCaBp6cnn376KcOHD8dsNnP54iXyb+TTMqRljc/UW/DL y8pZ+9VaUSWw49FHH+Xpp59u9AVWfdGxY0deeeUVXnzxRfLy8gCbQO/+YRdDRgypVWUxmUycOHpC PB42bBiBgYG1/l5WVhZr1qzh1CnnEbg68vPzmThxYq2mO5VKRXx8vCj4Vy5lIgiCQ8czm8xc+v2S 2Mni4uJ4/vnnOX/+PMuXL6eg4E/+UH5+PqmpqSiVSofF8qOPPsqMGTNo3rw5Go2GnJwcdu/ezf33 309cXFytHV2hUNC9e3c2bNgA2Dy+FRUVToJfWFDgoIqNGzeu1k7/2muviVaj+kAikZCUlMTDDz/s 8npcXBwhISFkZ2djtVo5cfQEY+4bU2N59Rb806dOk3M9x+FcTEwM77zzTqOw5W4X7u7ujB49mlWr VomCD7ZpefWXq3lm1jM1flidTkdBQaF4PGZMzQ1lh16vr5cFRqerm4Tl6elJQkICq1atAqC0uJQq bZWDOc5oMlJeXi6WFRERwYgRIxg7diyPPfYYO3bsYPHixeTm5gK2GeLW+lVWVhISEoKXlxfNmzcn PDyc7t2715uLM3DgQCQSCYIgUFFW7jT4Afx+8ZKoXvj6+tKlS5day9y2bRsXLlyo87ftkMlk+Pj4 1Cj4Hh4exMXFkf3H2vPqlSu1llcvHb+8rJy0g4cdWH9yuZzXXnutUWyzdwqVSsWSJUucRvcTR487 jEK3wmwyY66mrnTo0KHJ6ugKMpmMkJAQ/PxsjE2jyUhhYaHDPSajCYPe1u5SqVSke7i7uxMdHc3z zz/P8ePH+fDDD+natStqtdrpe6xZs4aoqCjmzJlDeno6VVVVKBSKen+3Nm3aiPcaDAbMZpNTp865 9ifVoW/fvnVaxBobbm5uREVFiccV5ZW13l+vET87K5vr1V4MICkpieTk5NuoYtMgMjKSadOmsWjR IvGcTqfjyOEjDB813OVHtscD2NG8efO/pK7V4ePjg7e3N6WlpZhMZooLi4iIjBCva7VakeagUCgI CQlxUCEkEgktW7Zk1qxZPP7442zcuJH9+/ezZ88eSqrx3AsLC/nHP/7B119/zQMPPECvXr1ISkqi RYsWddbR29sbLy8vceapqHAWqtycXPH/1ReaNWHMmDEkJCTUeZ8dUqnUyX9z6/XqRDdtpabGe6Ee gm+1WsnPu+Ewcnp4eDBhwoRa9Wez2cyxY8c4deoURUVFWCwWVCoVQUFBDBgwgMjISJc6oMViITMz k4MHD5Kbm4ter0epVOLj40PPnj2Jj493aUeWSqXMmTOH1NRUUXcUBIETR48zYNAAl9686hwgd3d3 vL2962qORoedsgFgMZspKXYMyqjSVqH7Q3VRKBROLMbq8PPzY8qUKUyYMIG9e/eyb98+fvjhB65U m/Zv3LjBxx9/zIoVKxg+fDhJSUmMHDmSVq1a1TgDSKVSIiIi+PXXXwEoLCh0uif/Rr74/+ojb014 ++2368XHr47aLIYymYxmzf5cd9RFh69T8Kuqqjh39rwDvzw6OprY2FiXgisIArm5uSxcuJDt27dT UVHxR5SVgEwmQ6FQ4O/vz3PPPcczzzzjsPgTBIHPP/+cjz76SDQJWq1WpFIpcrkcb29vhg0bxvz5 8wkNDXX6UP7+/gwaNMjBolFWWk5xUbFLwZe7/fn69jr+1bBarX+a3iQgu8WhJJVKxXYWBKHOIBOp VIqPjw/jxo1j6NChzJgxg7Vr17JmzRoH5qVWq2XLli3s3r2bDz/8kClTpvDggw86zSh2VG9rV04v N/mfg1FdplygSVSh6v6IuhxmdQp+ZUUFp0+lO5zr2bMnnTp1cjlC5OTk8Oyzzzqw5+wwmUzo9Xoq Kip44YUXOHfuHEuWLMHd3R29Xs/zzz/P8uXLXdbDYDCg1WpZtWoVubm5LFu2jNatWzvUQSKR0LNn TwfB12gqKSi4SVhEmFOZSg8lUqlUFL6SkpJaR9SmgEajEW3fbnI3p1BLT5WnmP1Cr9eTk5PjZPlx BYlEglqtpl27dixYsIB33nmHDz/8kA8++ICioiLMZjOCIKDRaLh48SKzZ8/m7bff5qWXXhI97x4e HuKitvraIyDAWT0KCgkiJ8dm/Lh06VKd771kyRKKi+v2tdhhp10PHz7c5XU7DdyOmvg6dtQp+GWl jqt4pVJJx44dXfZYQRCYP38+33//vXhOoVAQFRVFYGAgRqORjIwMSkttHPKVK1fSp08fHnroIb78 8ktWrlwpPieRSIiMjKRlSxsdNjMzU7Ta/Pjjj3z22Wd88MEHTnWIjY3Fy8uLykqbHlpVVSVy1m+F TC7Fzc1NHKHy8/PrFHyVSkVcXBxqtZpffvnF6bqvry9RUVF1OsHgz2CL8nKbGil3k9O8heM6w9PT U8yAYTKZuHHjBhaLpV70kuodRCKR8Nxzz3H//fczZ84c0S5fHRqNhnfeeYcVK1YwduxYxo0bR2xs LDKZTAymkUqleKqceTchoSH8cszWHufPn6+zcy5durTBVp2ZM2fWKvjVA37q8rzX2Xq3muWUSiWt W7d2eW9aWhrr16938JqNHz+e6dOnExERgV6vZ8eOHSxcuBCNRsODDz5IWFgYmZmZfPXVVw7T+LBh w5g9ezbR0dFIJBJOnTrF1KlTKSsro3///vTo0cPp9yUSCaGhobRt25aTJ08CNquIPb7z1g/h9kdM gF3w09PTiYuLq7U97PyT4uJievTo4eQhjI+P54MPPqBZs2Z1CqfZbObKlSviiK9QKJxGfDeFm8Mg U1xcbLOjN3O0o98KvV5PamoqycnJtGjRAolEgkwmIzQ0lB49erBp05/0a5lMJv7farWSk5PDkiVL 2Lp1KwkJCURERIiqrruHO/I/mLYO7dL6TydYeno6paWlddaxMWEymbh48U/Pd230ZKiH4N9qs7Xr 6LfCYrHw8ssvOywqAgMDef/99x0COJ544glatWqFWq2mW7duNGvWjI0bN3Lt2p8BC2q1mmnTppGY mCjqaqGhoej1eiQSCb179yYkJMTliOLl5eXghBIEAa22yuUo6eHuQWhYKBnnMgDYsmULEydOrLU9 PDw8iIiIwNfX1+Xvq9VqoqOj8fHxqbUcsM1GJ0+eFIUuIDDAaSZVKBT4+PqIKsf169e5efNmrUJV UVHBpEmT2LdvHxs3buTpp59m2LBhqNVqfv/9d7777jsHffiFF17A39+fd999V5wpweasys3NdaiT r58fSg/nHEwRrSORy+WYzWYqKys5e/YsAwYMqLGOkydPdjLd1gaJREKfPn1qvG4wGDh//k/matuY 2mMc6jHiOzpD5HK5S4dVaWmpww+DzfERHBzscM7b25tx4/6kElgsFq5cueKg7/Xv359u3bo5LFCk UikTJkyoq7qoVConE52mUoPJaHISfDeFG7379hEF/6effiI7O7teakpjQKPROFAtov6Y3apDLpfT sUsnDu4/iF6v5+LFi1y8eJF27dq5XMCVlpby6quvsm3bNqxWK3v27GHPnj1IpVJCQkIoLi52cHC1 bduWCRMmEB8fz5NPPsny5cv54osvyMvLEztH9cVqWFgrvH2drV8tAlrg59+Mwj8Yu19//XWttO7Z s2c3oKVqhyAInD59WrTmSSQSuvXoVuszdTqwbjWvyeVy0eFSHVVVVU46Y0hIzTRbO4xGo8OixP5c fUZMV/Dw8HDqmBqNBqPJ2RoilUqJiIoQp8WqqiqWLl1aLz73ncJqtbJhwwYyMmydTiaT0at/L5f3 dunSRUxLUl5ezurVq2v0Hms0Gjw9PZ3WKlarlevXrzs8FxYWxltvvSXSqAMCAnjzzTc5deoUr7/+ OklJSQ4zi0wmIzK6tcs4YblcTuI9iWLHXbVqlRgh1dQoLS1l6tSp4nFcl7g61aw6Bd9kdCRi2VNr 3ApXbLj6mKysVqtTKg43N7fbZnnaI7eqw/KHBcMVAgICiG4TLdZl165dnDp1qt605ttFdnY27777 rngc1zWuRrKY0lNJ/4H9xeN///vf7Nu3z+W9oaGhLFiwgCVLljB58mR69+5NcHCw2J5KpZLY2Fgm TJjA4sWLuf/++53aq3nz5rz99tssXbqUTp06ieftiadq+jZdunURnYAmk4lly5Y5Rec1NiwWC6tX rxaDZKRSKQMGD6zzuToF3+8WMpLZbKaiosLpPrvpqzry8/Od7rsVCoXCaYQuKCi47QYzmUxOo6FK raoxeMLXz5f+if3x9rFN33byV1lZmcv7GwMlJSW8+OKLonrn5uZG8rjkWm3Pw0YOF+nBGo2GGTNm OCzm7LAn47rvvvtYtGgRa9asYefOnYwaNQqA5ORk1q9fz8cff0xKSkqNfB2JRMKRI0fEwHOAjnGx REbVzORsGdKS+IR4MTzxhx9+YN26dfVOcHU7OHz4MEuWLBGPO8d3oWOnjnU+V6fg38q6tFgsLoXC z8/P6cMdP37c6T5BEDhx4gQXL14UnVotW7Z0CE1LS0tz8DbWVWZ16HQ6B1c9gEqtdnCwVIdUKqVL fFeCWwaL7/fVV185mFYbE4Ig8OGHHzqYfIeNGkabOtz8ai814x/7c41z7do1HnjggVo7qK+vL9HR 0cTHx4sL/oCAAGJiYmjRokWtHa2kpISZM2eKg5zCXcHkqU/VGtOsVCrFhF/2MubNm+e09mssZGVl MW/ePFFWlJ5KBiYOxMe3bjW5TsG/NYuyyWRyEiywqTWzZ892aMzz58/zySefUFRUhMFgQK/Xc/bs WebNm0fPnj157LHHOHv2LO3atXNYBN+4cYN169aRl5eHTqfDYDCQn5/PM888Q//+/UlKSuKHH35w qb5oNBona4FKrcJNUfMH8/DwYPK0p2hRzTHz9ttvs3nzZiorKxvNo1tZWcnSpUv59NNPRY5Qq/BW JPTqUWfmAYlEQkxsDAMSB4qq5sWLF3nttdfIy8urs46+vr71Wjvp9XoOHz5M586dRQuPp6cnkyZP EhMG1FbHsPAw+g3sL3aQvLw8pk2bRkZGhsvscrcDQRDIyspi/vz57N+/3/bbUgkJPROI7eSaUXAr 6oy5LSku4eD+A+KxXC6nb9++dO3a1ene+Ph4tm7d6iB4R48eJTMzk1OnTrF3716+/PJL9u7di16v 58yZMwQGBjJ69GjOnTvHmTN/hoydPn2ay5cvc/r0aX7++WdSU1NZt24dJpNJ1OdSUlIcPoQgCGRm ZrJ8+fI/nUJyOd17dKdNuzY1NoJEIsHXz5eWLYO5cP4iVVVVGI1Gdu7cCUD79u2dWI9ms5n09HSi oqKIjo4W/xISEujbt6+TIJeWlrJgwQI++ugjUcVRqdU8+sSjdO7auV4fy93dnZahLcnOzqawoBCL xcLZs2fJzMykS5cutcY5BwYGMnDgQPr16+eQgrE6tFotmzZt4sUXXxSjsuRuckbeO4pRY0fXT6Bk Mtp3aI9Op+PSRZsHNzc3lwMHDuDv70+bNm3uKAGBxWLh0KFDvPrqq3z77bdih2/bri0TJ0+kuQuv svhstZjbOmtgz3Rm761arZaMjAwsFovTIsfT05OFCxfy3HPPibyQ0tJSUlNTXZY9ZMgQnn32WZo3 b84rr7zC0aNHxUBlo9HI1q1bXT7XqVMnpk+f7vLaxYsXRdc5gIfSA596ks/iunbm3nHJrFu7Dr3O xrv/17/+RUZGBnPnziU2NtbhXZctW+ZUhlKpdFDbLBYLBw8eZMmSJXz33XfiSC+VSXnkiUfo3jOh QQv5kNAQHnx4PP9Y8AFarRa9Xs/mzZu5ceMGU6dO5aGHHnKpjsTFxdXqnCsqKmLevHls3bpV5PZL pVJ69+3N8FHDGxQsLpfLSXkwhbKyUg67Lq4AABIxSURBVA7tPwTAmTNn+Nvf/salS5eYPn36bTFh Kyoq+Prrr1m6dKmD+hQcEsyU6VMIriXi6lbUK8vCxQsXKSq0mRwFQcDd3Z2BAwe6NGtGRUURGRnJ iRMnatU/J06cyIoVK0RnWIsWLZgwYQKnT5+uUb8H6Ny5M0uWLKF3795iHv3qWLNmDWlpaeJxM/9m DEpKrFe6cYlEQkRrm3kz41yGLV/LHzSLtWvXUlFRQYcOHVCr1SIZ7NY/lUol1qmgoIC5c+fy5ptv OjiqvLy9mDL9aQYkDmhwHiCJRELzFs1J6NWDs7+eofIPivD169fZvXs36enptG3bVkymWhsEQaCy spLVq1fz0EMPsW/fPgfDxcDBA3nsycdFB1pDIJfLaduuHeXl5eRcy/mDzlzBwYMH2bVrFwEBAURF RdWr01ssFtLS0pg+fTqff/65g9GkXft2zJo9i9CwmtmlYjnVRvw6UwiaTCZ2bN3BhtRvxGnF19eX VatWkZxcsyUiJyeHRYsWcebMGSoqKrBYLCiVSoKCgpg4cSIjRoxw+dGrqqpYv349W7duFQOlFQoF Xl5eDB06lKlTp9ZIHzaZTPTp08eBQxPVJorZr/6twXn2j6YdZd3qVAe6LdhmwDFjxpCcnExQUBBK pRIPDw8xxV1VVRW5ubls2bKFLVu2OOjedsvHQ48/TLeEbnccmF9UWMQXn37B2d/OOMQVSKVS+vbt y2OPPUbr1q1Rq9UolUrkcjl6vR6dTkd5eTn79+8nNTXVIXINbB1z0OBBPPT4w3ecF6mqqooNqRvY 9+NPTjlVIyMjefzxx+nZsyc+Pj4olUoUCoVomdNoNPz666+sWbOGs2fPOjwrl8tJ6JXAhEceIjjE 0UlaExqUO1MQBH45doLPPvlMXOxIpVJmzZrFu+++W2veR3tEf3VaspubW52LJEEQxNHWTku2P1dT RxMEgZ07d5KSkuKwiEoalsTkaU81WMisViu5Obls/uZbzp8775Qq3E6xtqfitlgsGI1GzGazWO/q aNbcn9jYDgwecg/tY9s3SjYKQRAoKihiz67dnDx+0ik0VCKRoFAokMvlyOW27Z60Wi0WiwWTyeQU LK9wV9CufTsShwymd9/ejZYxw2g08u/d/+ZY2jGuZGaKuYHssH9buVyOu7u7KDNms9mJLi6VSglv HUHnzp0ZPW50g1LZNCh3pj3tX8bZ86IXVxAELl++zODBg0XbsivYnV3u7u64u7uLglIfSq1dsOzP 1ZVPXqvV8tBDDzkw9ORyOU9OnezEeKwP7AmLYjvFEhnVGq1GQ3l5OWaTrVMJgiAKeVVVFTqdThT8 6h9K7aUmoVcP7p9wP/cMGUxoWGijJVeSSCR4qjxp274d7TvEoPT0sOW6NBjE9C92ITcYDDYP9h9C Vb1jKhQKwiPCefCR8YwYPYK27Rt3YwiZTEZUmyhiYmNo5u9PaXGpg7XMarWKdayqqrLtmGMyOXnQ g1oGMWzkMMbeN5ZefXvVK9NydTRocQu2LWO6dO/KlStXxJwqRUVFfPDBB2zZsqXeP9yUeO+995zs xYFBgYRHht92mRKJBG8fb+K7xxPTIQadTscvx35h++ZtTjSLW9G8eXMefHQ8cZ3jUHoqcXd3b5Kt gCQSiS3ha5soWoW14t5xY8i8dJn1X6/nWlbtexQolUqGjRzGoKREvLy8UKlVTbZdkVQqJSjYJrgD EgdQWVHJlk1bSDtwuFaKiEQiIb57PA89/rBtcwulR50aQ31Q7zThuTm5zH9jngO3XSKRiAujxspR 31BYrVZ+++03Hn74YZH3Arbp860Fc2lXB0vvdmA0GikpLkGr1aLVaqkoq0Amk+Ht7YVSpUStVtPM 3/8/1iZ2lBQXU1Fega5KR0VFJXqDHl9fXxvH31OJv7//f3SLV0EQ0Gq0lJbasktotbaN9DxVnuK6 xNfXFy9v5/Trt4Pqqk69v0xwcDDJY5NJXZ0q9lBBEHjzzTfx9/dn6NCh/5EPnZuby4IFC5yifnr2 7tkkQg821SAoOKhJym5MNPP3p5kLCvl/CyQSCWovNWqvutM1Njbq3Y2kMinDR40gNs6RB5Gdnc28 efO4cOHCXx6zajAYxIiv6gva4JBgho4c9pfW5S7+v4UGzR8yuYzHJj1GWLhj/OrJkyd59dVXRW/p XwGtVstbb73F6tWrHcxkCoWCAYMG0jradZTYXdwF/BGIotcbKCkqwd3DmUasUChQe6lF606rsFaM fWAsKz9fKTpPLBYLO3fuJCEhgR07dtCmTZsmSx5rtVopKCjg5ZdfZs2aNU7X43t0Y9SYUSJlwJ5Z zFX2r7v434LRYERvsMmBBBBkMpltYetioRzdJppnX5jhQB02mUzs3LaDrZu2Ojkl2rRpw+LFi0lM THTwYjYGBEHg1KlT/P3vf2fr1q1O1oDottHMeGGmQ7JQjUbDN1+vJ+1gzRs23MX/CATE7UMlOCT8 doZCoWDcg+NIHnuvA/FKq9Wy+Ztv2fXDLtG2DX+4/SMiePDBB5k0aRJt2jR8x7xbYbVayc/PZ/36 9XzzzTekp6c75VCxbVL2FCHV/AqCIHDy+Ek+W7qMijLnGIK7+N+FDHi7thssFgtlpWW0j2nnkCFX oVAQ3bYN/s39OX3qtMNoWlZWxsmTJ9m+fTv5+fn069fvti0+JpOJb7/9lpkzZ7Jp0yaXmyD07tub iU89QXBLx535qqqq+OgfH1JUULvN/S7+91DniG9Hzz69mPbsNDzVjt4ys9nMoZ8PsW5NqpNbH2wz QHh4OIMHD+bJJ58kLi5OpB5U3wxOEATxz2w2c+nSJdauXcuePXu4cOGCSy63TCaj38D+PP7kY3jd wt8xGo18vuRzDuz/uSHtcRf/I6i34EulUkaPTea+8fc5BadYzBZOHD8h7mhemy4dExNDt27dCAgI wNvbW2Q6ajQaKisrKSoq4ty5c/z666+1pqJr3qI5ScOGcG/KvQ6ziSAIGAwGdm7bycZ1G+rzajXi 1vcE2wxoNptFl79cLhfJdtV33bbDHpJpT4fY2LD/vp0kVx12iojRaHRQDe1UkqCgIDw8PCgsLHRI Rd7YsPNwrFar0ze111Gv1yMIgnivHfaB0CHVYiOg3oJvx4RHJjDy3lF4KB29vIIgcOXyFfb/tI9j acdcjv6NAYVCQef4LiQmJdItoZvT4tlkMpF2MI21K9dQUX5nev0nn3zi9BGMRlu++hMnTrBz5046 dOjA448/jo+PD6tXr3bILNCrVy8effRRTCYTixYtEnnujQWpVMrw4cNJTk7GZDLx0UcfkZn55x5V s2bNom3btqSmpopUbbVazZgxY+jWrRvt27fHy8tLDBRatWqVy3jqO8WECRMYOHAgBQUFrFmzRqyj t7c3jzzyCHFxcbz//vvcvHmTCRMmOCQLs1gsaLVaiouL2bVrl7iJxp2iwYr3ju07kMlkDB01zGFE lEgkRLWJIrhlMF27xfPzTz/zy7ETNW6X02BIoENsLIlJicR1jXMZQicIAmkHDvPN19/csdADTJky BYVCQWVlpRjA7uXlhZubG3l5eZw8eZLKykq6du3K0KFDCQ8PZ9y4cRgMBry8vPj000/p1KkTn3/+ uUOipsaCTCaje/fuTJs2DavVire3N1OmTBHb/N5772XQoEGkp6dz5MgRVCoVzz33HDNnziQgIIDS 0lJ0Oh09evQgJSWFjh078tJLLzV6XQcMGMC0adPEyLZFixZhMBhQqVSMGDGC5ORkVq9eTVlZmdOu J4IgiCzfcePGMWfOHA4ePHjHdWqwuUWr0bL+6/Xs+WG3S6H2VHkS3z2eF+a8wD8+XkT3Ht1v26xp p9V26NiBt9+dx9yFcxk4eKAY2F59fWC1WjlyKI2lHy1tUDLSumC1WnnttdcIDg4mODiYoUOHcu3a NSIiInjggQe4fv06q1evpqSkhMTERJ599lnAFmjTpUsXcnJy+Pbbb5tkJK0OqVTKyJEjGTlyZI33 tG/fnpdeegl/f3/+/ve/06JFC1q1asWbb76Ju7s7Y8eOZdiwpvN4e3p68uyzz9Zrb6xNmzbh5eVF mzZtmDNnDgaDgZ49e/Lqq6/WuV1TfXBbphar1co3X3+DTqfjnqFJ+Df3d2mybBnSkpdenY1Wo+XS 75c4evgIN/JuYDabMZstWMxmkcZrT4ft5uaGm8KNgMAAEnr2oGPnjqhUqhqtQlarlbLSMvbv3cfG dRtv53XqRPVcPTk5OWRkZBAeHi6S4jZu3MjIkSN5+OGHuffee8nKymLOnDmYTCY2bNjAoUOHmqRe 1VFRUYGfnx/Tp08nPT3dISWjHVOmTMHPz4/Nmzczb948UadfvHgxHTt2pF27dmI8blPo+yaTCR8f H1588UWHBFCuYDabxUzS//znP9m2bRu//PILiYmJxMbGOtDPbwe3zSqzWCxs+3Ybl3+/zLBRw4nr EucygZRMJsPbx5tuCd3oltANnU6HXqfHoLdlXdDr9VitVjFYwsbMU6H09HQZWlgdts2mf2fHtp2c PpXeJItHiUTCyJEjRYGIjo6mZ8+ebN++XYzwt+862K9fP3r06MHixYsJDAwkOzubL7/8svHUvVpw 5MgRTCYT/fv3JyUlhU8++cTpPYYNG4bZbGbjxo0OuW4sFgvPPvssSqWyXnt33S6uXr1KXl6euHHF nj176v3szZs3ycjIoGfPno2Syv2O6JRWq5Uzv54h53oO/Qb044GHH6wze5pSqXRpLWkoDAYD2zdv I+1gGjfybjTZx5JKpYwYMYIRI0aI5ywWC5GRkfj7+4vxn+fOneODDz5g6dKlREREYDQamTVrlsNi sylRUVHBJ598Qu/evZkxY4YTncPT05PQ0FA0Go1LVbCysrJJ1iHVcf36dVasWEFMTAxz585t0K6H FouF3NxcpFJpo6g6d0xyFgSBkuISdmzbwazps9i5fWe9dsS4XZhMJg7sP8ArL7zM5g2bycutO6fM ncBisfDGG2/QqlUrWrVqRY8ePdi+fTudO3dm3759DjEMqamp7N27F4D9+/eza9euv5QmcezYMf71 r38RGhrKpk2bHPhSWq2WwsJCMa71VoSHh5OYmEiHDh2ajGdlNpvZvn07v/76K2FhYTzzzDP1fta+ x5UgCA3qMDWWd8cl/AFBECgpKmbtV2t458357P5+F5cvXUar0WK1WkXnVEPLtFqt6Kp0XL1ylb17 9vL+O39nyT8/ITcn9y8TqrKyMnJycsjJyeHEiRPs3bsXnU5HQECAQ2Zmo9EoxgVkZGT85dwgo9HI d999x2+//UZiYqLTZmk//PADbm5uTJgwwaHDenh48NVXX7Fnzx4mTZrUpLvT63Q6Zs6cSWFhIffc cw/9+vWr13MhISFER0djMBgalF68JjR65IggCPx+4Xd+v/A7KpWKnn16EdE6Ah8fbwKCAgkKDqp1 M2i7I6bgZgE38m5QUVHB9ezrHDt8tEnzWdaG8PBwcYc+Hx8fcTtLrVbb5OpBQ3H27Fm++uorOna0 GQWqr3tWrFjB6NGjSUlJ4cyZM5w8eRKtVsuAAQPo378/BQUFHDhwoElzXQL8/vvvLFy4kMWLF9e4 c0loaChjx45FKpXi7e3N+PHjCQ4O5scff3SItLtdNGnIlFar5acf96JQKPDw8MDHz4dm/s3w82uG Su35xzY3nkgktpFAV6VDo9FSXlZGcXEJpSWl6PW2IO6GudkaD1KplEcffVQ0E9p3btRoNLz22mt/ aQxCfSAIAuvWrSMlJYUhQ4Y4XDtz5gxLlixh1qxZzJ8/n7y8PAwGA6GhoQiCwKZNm2rMwtzYWLVq FYmJiaSkpLi83r17d5YtW4ZUKsXDwwOVSsWJEyd477337tiiA00s+HYYjUaMRqM4ets5OjVxdf5b 6MPZ2dmiPqxSqUTP7ZYtW1iwYIGY+NYOq9VKcXExWVlZjepLqAn2PbSysrIoKCgQz1dUVJCSkkJa WhoqlUqclSorK3n//fdJT09nwYIFBAYG4uPjQ0FBAX/729/YvXu3E+2hMWBvk/z8fLG9NBoNy5cv p1OnTri5uYnWvcLCQjF9Idja9Pz58+zYsYPU1FQKCwsbRT4aTFn4X0JN+wDUZja1+yMsFstf0oHt qVhc1cueyqWmZK2enp7I5XKqqqoaLaGrK9jbpD51rL69Kdg6d1Ns1HFX8O/ifxJNk0TlLu7ivxxS 4K9ZzdzFXfz3YP//A047r+3SIow4AAAAAElFTkSuQmCCUEsDBBQABgAIAAAAIQBOOx8w3AAAAAQB AAAPAAAAZHJzL2Rvd25yZXYueG1sTI9Ba8JAEIXvhf6HZQq91U1SlZJmIyLakxSqQultzI5JMDsb smsS/323vehl4PEe732TLUbTiJ46V1tWEE8iEMSF1TWXCg77zcsbCOeRNTaWScGVHCzyx4cMU20H /qJ+50sRStilqKDyvk2ldEVFBt3EtsTBO9nOoA+yK6XucAjlppFJFM2lwZrDQoUtrSoqzruLUfAx 4LB8jdf99nxaXX/2s8/vbUxKPT+Ny3cQnkZ/C8MffkCHPDAd7YW1E42C8Ij/v8FLpskcxFHBNJmB zDN5D5//AgAA//8DAFBLAwQUAAYACAAAACEAEPZvbwEBAABeAgAAGQAAAGRycy9fcmVscy9lMm9E b2MueG1sLnJlbHO8ksFKxDAQhu+C7xDmbtNWEJFNe1FhD15kPUtIpm3cZhKSuOy+vdP1oAsrXsRj Euafn+/Lqt/7WewwZRdIQVPVIJBMsI5GBS+bx6tbELlosnoOhAoOmKHvLi9WzzjrwkN5cjELTqGs YCol3kmZzYRe5ypEJH4ZQvK68DGNMmqz1SPKtq5vZPqeAd1JplhbBWltr0FsDpE3/54dhsEZvA/m 3SOVMyuk87ybA3UasSjwaJ3+vGyrSCPI8x3a/+nQVG8RfyzR/GWJiZGm2dH2C8bCN7M8EyqTkN3u 0ATv2fBRXB8Z3auzqlmMHAE+BcteHvYFE+l5gSdPfkX3AQAA//8DAFBLAQItABQABgAIAAAAIQDQ 4HPPFAEAAEcCAAATAAAAAAAAAAAAAAAAAAAAAABbQ29udGVudF9UeXBlc10ueG1sUEsBAi0AFAAG AAgAAAAhADj9If/WAAAAlAEAAAsAAAAAAAAAAAAAAAAARQEAAF9yZWxzLy5yZWxzUEsBAi0AFAAG AAgAAAAhAMx/q/RyAgAAAAgAAA4AAAAAAAAAAAAAAAAARAIAAGRycy9lMm9Eb2MueG1sUEsBAi0A CgAAAAAAAAAhAAb/ONicFAAAnBQAABUAAAAAAAAAAAAAAAAA4gQAAGRycy9tZWRpYS9pbWFnZTEu anBlZ1BLAQItAAoAAAAAAAAAIQAhVW+YnTIAAJ0yAAAUAAAAAAAAAAAAAAAAALEZAABkcnMvbWVk aWEvaW1hZ2UyLnBuZ1BLAQItABQABgAIAAAAIQBOOx8w3AAAAAQBAAAPAAAAAAAAAAAAAAAAAIBM AABkcnMvZG93bnJldi54bWxQSwECLQAUAAYACAAAACEAEPZvbwEBAABeAgAAGQAAAAAAAAAAAAAA AACJTQAAZHJzL19yZWxzL2Uyb0RvYy54bWwucmVsc1BLBQYAAAAABwAHAL8BAADBTgAAAAA= ">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href="https://co.creativecommons.org/?page_id=13" style="position:absolute;top:137;width:7256;height:1891;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Upr7YwAAAANoAAAAPAAAAZHJzL2Rvd25yZXYueG1sRI/NqsIw FIT3gu8QjuBOU12IVKOIqPcuvf6Ay0Nz2hSbk9LEWt/eCBdcDjPzDbNcd7YSLTW+dKxgMk5AEGdO l1wouJz3ozkIH5A1Vo5JwYs8rFf93hJT7Z78R+0pFCJC2KeowIRQp1L6zJBFP3Y1cfRy11gMUTaF 1A0+I9xWcpokM2mx5LhgsKatoex+elgF++nxsm13h+x2rXcvU1He/sxzpYaDbrMAEagL3/B/+1cr mMHnSrwBcvUGAAD//wMAUEsBAi0AFAAGAAgAAAAhANvh9svuAAAAhQEAABMAAAAAAAAAAAAAAAAA AAAAAFtDb250ZW50X1R5cGVzXS54bWxQSwECLQAUAAYACAAAACEAWvQsW78AAAAVAQAACwAAAAAA AAAAAAAAAAAfAQAAX3JlbHMvLnJlbHNQSwECLQAUAAYACAAAACEA1Ka+2MAAAADaAAAADwAAAAAA AAAAAAAAAAAHAgAAZHJzL2Rvd25yZXYueG1sUEsFBgAAAAADAAMAtwAAAPQCAAAAAA== " o:button="t">
                  <v:fill o:detectmouseclick="t"/>
                  <v:imagedata r:id="rId14" o:title=""/>
                </v:shape>
                <v:shape id="Image 7" o:spid="_x0000_s1028" type="#_x0000_t75" href="https://co.creativecommons.org/?page_id=13" style="position:absolute;left:7685;width:7713;height:2698;visibility:visible;mso-wrap-style:squar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i0DYmxQAAANoAAAAPAAAAZHJzL2Rvd25yZXYueG1sRI9BawIx FITvhf6H8Aq9lJqtpSqrUUqh2IuKWhRvj83r7tLNS5rE3fXfm0Khx2FmvmFmi940oiUfassKngYZ COLC6ppLBZ/798cJiBCRNTaWScGFAizmtzczzLXteEvtLpYiQTjkqKCK0eVShqIig2FgHXHyvqw3 GJP0pdQeuwQ3jRxm2UgarDktVOjoraLie3c2CpZD/2ybyX6zOrbr7Md17vDycFLq/q5/nYKI1Mf/ 8F/7QysYw++VdAPk/AoAAP//AwBQSwECLQAUAAYACAAAACEA2+H2y+4AAACFAQAAEwAAAAAAAAAA AAAAAAAAAAAAW0NvbnRlbnRfVHlwZXNdLnhtbFBLAQItABQABgAIAAAAIQBa9CxbvwAAABUBAAAL AAAAAAAAAAAAAAAAAB8BAABfcmVscy8ucmVsc1BLAQItABQABgAIAAAAIQDi0DYmxQAAANoAAAAP AAAAAAAAAAAAAAAAAAcCAABkcnMvZG93bnJldi54bWxQSwUGAAAAAAMAAwC3AAAA+QIAAAAA " o:button="t">
                  <v:fill o:detectmouseclick="t"/>
                  <v:imagedata r:id="rId15" o:title=""/>
                </v:shape>
                <w10:anchorlock/>
              </v:group>
            </w:pict>
          </mc:Fallback>
        </mc:AlternateContent>
      </w:r>
    </w:p>
    <w:p w14:paraId="1C3CF8FC" w14:textId="77777777" w:rsidR="008F59D7" w:rsidRDefault="008F59D7" w:rsidP="00EB144C">
      <w:pPr>
        <w:pStyle w:val="Textoindependiente"/>
        <w:ind w:left="0"/>
        <w:jc w:val="left"/>
      </w:pPr>
    </w:p>
    <w:p w14:paraId="6A289AC9" w14:textId="77777777" w:rsidR="008F59D7" w:rsidRDefault="005A53E5" w:rsidP="00EB144C">
      <w:pPr>
        <w:pStyle w:val="Textoindependiente"/>
        <w:ind w:left="0"/>
        <w:jc w:val="left"/>
      </w:pPr>
      <w:r>
        <w:t>En</w:t>
      </w:r>
      <w:r>
        <w:rPr>
          <w:spacing w:val="-3"/>
        </w:rPr>
        <w:t xml:space="preserve"> </w:t>
      </w:r>
      <w:r>
        <w:t>convenio con</w:t>
      </w:r>
      <w:r>
        <w:rPr>
          <w:spacing w:val="-1"/>
        </w:rPr>
        <w:t xml:space="preserve"> </w:t>
      </w:r>
      <w:r>
        <w:t>la</w:t>
      </w:r>
      <w:r>
        <w:rPr>
          <w:spacing w:val="-1"/>
        </w:rPr>
        <w:t xml:space="preserve"> </w:t>
      </w:r>
      <w:r>
        <w:t>Universidad de</w:t>
      </w:r>
      <w:r>
        <w:rPr>
          <w:spacing w:val="-2"/>
        </w:rPr>
        <w:t xml:space="preserve"> </w:t>
      </w:r>
      <w:r>
        <w:t>San Buenaventura</w:t>
      </w:r>
      <w:r>
        <w:rPr>
          <w:spacing w:val="-2"/>
        </w:rPr>
        <w:t xml:space="preserve"> Medellín</w:t>
      </w:r>
    </w:p>
    <w:p w14:paraId="32C6F68C" w14:textId="77777777" w:rsidR="008F59D7" w:rsidRDefault="008F59D7" w:rsidP="00EB144C">
      <w:pPr>
        <w:pStyle w:val="Textoindependiente"/>
        <w:ind w:left="0"/>
        <w:jc w:val="left"/>
        <w:rPr>
          <w:sz w:val="20"/>
        </w:rPr>
      </w:pPr>
    </w:p>
    <w:p w14:paraId="15ED376C" w14:textId="77777777" w:rsidR="008F59D7" w:rsidRDefault="008F59D7" w:rsidP="00EB144C">
      <w:pPr>
        <w:pStyle w:val="Textoindependiente"/>
        <w:ind w:left="0"/>
        <w:jc w:val="left"/>
        <w:rPr>
          <w:sz w:val="20"/>
        </w:rPr>
      </w:pPr>
    </w:p>
    <w:p w14:paraId="4873E68D" w14:textId="77777777" w:rsidR="008F59D7" w:rsidRDefault="008F59D7" w:rsidP="00EB144C">
      <w:pPr>
        <w:pStyle w:val="Textoindependiente"/>
        <w:ind w:left="0"/>
        <w:jc w:val="left"/>
        <w:rPr>
          <w:sz w:val="20"/>
        </w:rPr>
      </w:pPr>
    </w:p>
    <w:p w14:paraId="21609188" w14:textId="77777777" w:rsidR="008F59D7" w:rsidRDefault="008F59D7" w:rsidP="00EB144C">
      <w:pPr>
        <w:pStyle w:val="Textoindependiente"/>
        <w:ind w:left="0"/>
        <w:jc w:val="left"/>
        <w:rPr>
          <w:sz w:val="20"/>
        </w:rPr>
      </w:pPr>
    </w:p>
    <w:p w14:paraId="10BBCDE0" w14:textId="77777777" w:rsidR="008F59D7" w:rsidRDefault="008F59D7" w:rsidP="00EB144C">
      <w:pPr>
        <w:pStyle w:val="Textoindependiente"/>
        <w:ind w:left="0"/>
        <w:jc w:val="left"/>
        <w:rPr>
          <w:sz w:val="20"/>
        </w:rPr>
      </w:pPr>
    </w:p>
    <w:p w14:paraId="0FD5B816" w14:textId="77777777" w:rsidR="008F59D7" w:rsidRDefault="008F59D7" w:rsidP="00EB144C">
      <w:pPr>
        <w:pStyle w:val="Textoindependiente"/>
        <w:ind w:left="0"/>
        <w:jc w:val="left"/>
        <w:rPr>
          <w:sz w:val="20"/>
        </w:rPr>
      </w:pPr>
    </w:p>
    <w:tbl>
      <w:tblPr>
        <w:tblStyle w:val="TableNormal"/>
        <w:tblW w:w="0" w:type="auto"/>
        <w:tblInd w:w="403" w:type="dxa"/>
        <w:tblLayout w:type="fixed"/>
        <w:tblLook w:val="01E0" w:firstRow="1" w:lastRow="1" w:firstColumn="1" w:lastColumn="1" w:noHBand="0" w:noVBand="0"/>
      </w:tblPr>
      <w:tblGrid>
        <w:gridCol w:w="2451"/>
        <w:gridCol w:w="3424"/>
      </w:tblGrid>
      <w:tr w:rsidR="008F59D7" w14:paraId="27163C43" w14:textId="77777777">
        <w:trPr>
          <w:trHeight w:val="817"/>
        </w:trPr>
        <w:tc>
          <w:tcPr>
            <w:tcW w:w="2451" w:type="dxa"/>
          </w:tcPr>
          <w:p w14:paraId="1503CFD4" w14:textId="77777777" w:rsidR="008F59D7" w:rsidRDefault="008F59D7" w:rsidP="00EB144C">
            <w:pPr>
              <w:pStyle w:val="TableParagraph"/>
              <w:ind w:left="0"/>
              <w:rPr>
                <w:sz w:val="11"/>
              </w:rPr>
            </w:pPr>
          </w:p>
          <w:p w14:paraId="4E48B575" w14:textId="77777777" w:rsidR="008F59D7" w:rsidRDefault="005A53E5" w:rsidP="00EB144C">
            <w:pPr>
              <w:pStyle w:val="TableParagraph"/>
              <w:ind w:left="0"/>
              <w:rPr>
                <w:sz w:val="20"/>
              </w:rPr>
            </w:pPr>
            <w:r>
              <w:rPr>
                <w:noProof/>
                <w:sz w:val="20"/>
                <w:lang w:val="es-CO" w:eastAsia="es-CO"/>
              </w:rPr>
              <w:drawing>
                <wp:inline distT="0" distB="0" distL="0" distR="0" wp14:anchorId="1E41D7AB" wp14:editId="5EFB8AB2">
                  <wp:extent cx="1326708" cy="360425"/>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1326708" cy="360425"/>
                          </a:xfrm>
                          <a:prstGeom prst="rect">
                            <a:avLst/>
                          </a:prstGeom>
                        </pic:spPr>
                      </pic:pic>
                    </a:graphicData>
                  </a:graphic>
                </wp:inline>
              </w:drawing>
            </w:r>
          </w:p>
        </w:tc>
        <w:tc>
          <w:tcPr>
            <w:tcW w:w="3424" w:type="dxa"/>
          </w:tcPr>
          <w:p w14:paraId="5666213E" w14:textId="77777777" w:rsidR="008F59D7" w:rsidRDefault="005A53E5" w:rsidP="00EB144C">
            <w:pPr>
              <w:pStyle w:val="TableParagraph"/>
              <w:ind w:left="0"/>
              <w:rPr>
                <w:sz w:val="24"/>
              </w:rPr>
            </w:pPr>
            <w:r>
              <w:rPr>
                <w:sz w:val="24"/>
              </w:rPr>
              <w:t>Repositorio Institucional www.bibliotecadigital.usb.edu.co</w:t>
            </w:r>
          </w:p>
        </w:tc>
      </w:tr>
    </w:tbl>
    <w:p w14:paraId="1B12B008" w14:textId="77777777" w:rsidR="008F59D7" w:rsidRDefault="008F59D7" w:rsidP="00EB144C">
      <w:pPr>
        <w:pStyle w:val="Textoindependiente"/>
        <w:ind w:left="0"/>
        <w:jc w:val="left"/>
      </w:pPr>
    </w:p>
    <w:p w14:paraId="36F7E6A4" w14:textId="77777777" w:rsidR="008F59D7" w:rsidRDefault="008F59D7" w:rsidP="00EB144C">
      <w:pPr>
        <w:pStyle w:val="Textoindependiente"/>
        <w:ind w:left="0"/>
        <w:jc w:val="left"/>
      </w:pPr>
    </w:p>
    <w:p w14:paraId="5F580335" w14:textId="77777777" w:rsidR="008F59D7" w:rsidRDefault="005A53E5" w:rsidP="00EB144C">
      <w:pPr>
        <w:pStyle w:val="Ttulo1"/>
        <w:ind w:left="0" w:firstLine="0"/>
        <w:jc w:val="left"/>
      </w:pPr>
      <w:r>
        <w:t>Bibliotecas</w:t>
      </w:r>
      <w:r>
        <w:rPr>
          <w:spacing w:val="-1"/>
        </w:rPr>
        <w:t xml:space="preserve"> </w:t>
      </w:r>
      <w:r>
        <w:t>Universidad</w:t>
      </w:r>
      <w:r>
        <w:rPr>
          <w:spacing w:val="-3"/>
        </w:rPr>
        <w:t xml:space="preserve"> </w:t>
      </w:r>
      <w:r>
        <w:t>de</w:t>
      </w:r>
      <w:r>
        <w:rPr>
          <w:spacing w:val="-2"/>
        </w:rPr>
        <w:t xml:space="preserve"> </w:t>
      </w:r>
      <w:r>
        <w:t xml:space="preserve">San </w:t>
      </w:r>
      <w:r>
        <w:rPr>
          <w:spacing w:val="-2"/>
        </w:rPr>
        <w:t>Buenaventura</w:t>
      </w:r>
    </w:p>
    <w:p w14:paraId="4E7FFC18" w14:textId="77777777" w:rsidR="008F59D7" w:rsidRDefault="005A53E5" w:rsidP="00EB144C">
      <w:pPr>
        <w:pStyle w:val="Textoindependiente"/>
        <w:ind w:left="0"/>
        <w:jc w:val="left"/>
      </w:pPr>
      <w:r>
        <w:t>Biblioteca</w:t>
      </w:r>
      <w:r>
        <w:rPr>
          <w:spacing w:val="-3"/>
        </w:rPr>
        <w:t xml:space="preserve"> </w:t>
      </w:r>
      <w:r>
        <w:t>Fray Alberto</w:t>
      </w:r>
      <w:r>
        <w:rPr>
          <w:spacing w:val="-1"/>
        </w:rPr>
        <w:t xml:space="preserve"> </w:t>
      </w:r>
      <w:r>
        <w:t>Montealegre</w:t>
      </w:r>
      <w:r>
        <w:rPr>
          <w:spacing w:val="-1"/>
        </w:rPr>
        <w:t xml:space="preserve"> </w:t>
      </w:r>
      <w:r>
        <w:t>O.F.M.</w:t>
      </w:r>
      <w:r>
        <w:rPr>
          <w:spacing w:val="-2"/>
        </w:rPr>
        <w:t xml:space="preserve"> </w:t>
      </w:r>
      <w:r>
        <w:t>-</w:t>
      </w:r>
      <w:r>
        <w:rPr>
          <w:spacing w:val="-2"/>
        </w:rPr>
        <w:t xml:space="preserve"> Bogotá.</w:t>
      </w:r>
    </w:p>
    <w:p w14:paraId="1EF6F784" w14:textId="77777777" w:rsidR="008F59D7" w:rsidRDefault="005A53E5" w:rsidP="00EB144C">
      <w:pPr>
        <w:pStyle w:val="Textoindependiente"/>
        <w:ind w:left="0"/>
        <w:jc w:val="both"/>
      </w:pPr>
      <w:r>
        <w:t>Biblioteca</w:t>
      </w:r>
      <w:r>
        <w:rPr>
          <w:spacing w:val="-5"/>
        </w:rPr>
        <w:t xml:space="preserve"> </w:t>
      </w:r>
      <w:r>
        <w:t>Fray</w:t>
      </w:r>
      <w:r>
        <w:rPr>
          <w:spacing w:val="-3"/>
        </w:rPr>
        <w:t xml:space="preserve"> </w:t>
      </w:r>
      <w:r>
        <w:t>Arturo</w:t>
      </w:r>
      <w:r>
        <w:rPr>
          <w:spacing w:val="-4"/>
        </w:rPr>
        <w:t xml:space="preserve"> </w:t>
      </w:r>
      <w:r>
        <w:t>Calle</w:t>
      </w:r>
      <w:r>
        <w:rPr>
          <w:spacing w:val="-5"/>
        </w:rPr>
        <w:t xml:space="preserve"> </w:t>
      </w:r>
      <w:r>
        <w:t>Restrepo</w:t>
      </w:r>
      <w:r>
        <w:rPr>
          <w:spacing w:val="-4"/>
        </w:rPr>
        <w:t xml:space="preserve"> </w:t>
      </w:r>
      <w:r>
        <w:t>O.F.M.</w:t>
      </w:r>
      <w:r>
        <w:rPr>
          <w:spacing w:val="-4"/>
        </w:rPr>
        <w:t xml:space="preserve"> </w:t>
      </w:r>
      <w:r>
        <w:rPr>
          <w:b/>
        </w:rPr>
        <w:t>-</w:t>
      </w:r>
      <w:r>
        <w:rPr>
          <w:b/>
          <w:spacing w:val="-5"/>
        </w:rPr>
        <w:t xml:space="preserve"> </w:t>
      </w:r>
      <w:r>
        <w:t>Medellín,</w:t>
      </w:r>
      <w:r>
        <w:rPr>
          <w:spacing w:val="-4"/>
        </w:rPr>
        <w:t xml:space="preserve"> </w:t>
      </w:r>
      <w:r>
        <w:t>Bello,</w:t>
      </w:r>
      <w:r>
        <w:rPr>
          <w:spacing w:val="-4"/>
        </w:rPr>
        <w:t xml:space="preserve"> </w:t>
      </w:r>
      <w:r>
        <w:t>Armenia,</w:t>
      </w:r>
      <w:r>
        <w:rPr>
          <w:spacing w:val="-3"/>
        </w:rPr>
        <w:t xml:space="preserve"> </w:t>
      </w:r>
      <w:r>
        <w:t>Ibagué. Departamento de Biblioteca - Cali.</w:t>
      </w:r>
    </w:p>
    <w:p w14:paraId="038251C8" w14:textId="77777777" w:rsidR="008F59D7" w:rsidRDefault="005A53E5" w:rsidP="00EB144C">
      <w:pPr>
        <w:pStyle w:val="Textoindependiente"/>
        <w:ind w:left="0"/>
        <w:jc w:val="left"/>
      </w:pPr>
      <w:r>
        <w:t>Biblioteca</w:t>
      </w:r>
      <w:r>
        <w:rPr>
          <w:spacing w:val="-5"/>
        </w:rPr>
        <w:t xml:space="preserve"> </w:t>
      </w:r>
      <w:r>
        <w:t>Central</w:t>
      </w:r>
      <w:r>
        <w:rPr>
          <w:spacing w:val="-1"/>
        </w:rPr>
        <w:t xml:space="preserve"> </w:t>
      </w:r>
      <w:r>
        <w:t>Fray</w:t>
      </w:r>
      <w:r>
        <w:rPr>
          <w:spacing w:val="1"/>
        </w:rPr>
        <w:t xml:space="preserve"> </w:t>
      </w:r>
      <w:r>
        <w:t>Antonio</w:t>
      </w:r>
      <w:r>
        <w:rPr>
          <w:spacing w:val="-2"/>
        </w:rPr>
        <w:t xml:space="preserve"> </w:t>
      </w:r>
      <w:r>
        <w:t>de</w:t>
      </w:r>
      <w:r>
        <w:rPr>
          <w:spacing w:val="-1"/>
        </w:rPr>
        <w:t xml:space="preserve"> </w:t>
      </w:r>
      <w:r>
        <w:t>Marchena –</w:t>
      </w:r>
      <w:r>
        <w:rPr>
          <w:spacing w:val="1"/>
        </w:rPr>
        <w:t xml:space="preserve"> </w:t>
      </w:r>
      <w:r>
        <w:rPr>
          <w:spacing w:val="-2"/>
        </w:rPr>
        <w:t>Cartagena.</w:t>
      </w:r>
    </w:p>
    <w:p w14:paraId="39881C6E" w14:textId="77777777" w:rsidR="008F59D7" w:rsidRDefault="008F59D7" w:rsidP="00EB144C">
      <w:pPr>
        <w:pStyle w:val="Textoindependiente"/>
        <w:ind w:left="0"/>
        <w:jc w:val="left"/>
      </w:pPr>
    </w:p>
    <w:p w14:paraId="35B77956" w14:textId="77777777" w:rsidR="008F59D7" w:rsidRDefault="008F59D7" w:rsidP="00EB144C">
      <w:pPr>
        <w:pStyle w:val="Textoindependiente"/>
        <w:ind w:left="0"/>
        <w:jc w:val="left"/>
      </w:pPr>
    </w:p>
    <w:p w14:paraId="5AB695C2" w14:textId="77777777" w:rsidR="008F59D7" w:rsidRDefault="008F59D7" w:rsidP="00EB144C">
      <w:pPr>
        <w:pStyle w:val="Textoindependiente"/>
        <w:ind w:left="0"/>
        <w:jc w:val="left"/>
      </w:pPr>
    </w:p>
    <w:p w14:paraId="299C1230" w14:textId="77777777" w:rsidR="008F59D7" w:rsidRDefault="005A53E5" w:rsidP="00EB144C">
      <w:pPr>
        <w:rPr>
          <w:sz w:val="24"/>
        </w:rPr>
      </w:pPr>
      <w:r>
        <w:rPr>
          <w:b/>
          <w:sz w:val="24"/>
        </w:rPr>
        <w:t>Universidad</w:t>
      </w:r>
      <w:r>
        <w:rPr>
          <w:b/>
          <w:spacing w:val="-6"/>
          <w:sz w:val="24"/>
        </w:rPr>
        <w:t xml:space="preserve"> </w:t>
      </w:r>
      <w:r>
        <w:rPr>
          <w:b/>
          <w:sz w:val="24"/>
        </w:rPr>
        <w:t>de</w:t>
      </w:r>
      <w:r>
        <w:rPr>
          <w:b/>
          <w:spacing w:val="-7"/>
          <w:sz w:val="24"/>
        </w:rPr>
        <w:t xml:space="preserve"> </w:t>
      </w:r>
      <w:r>
        <w:rPr>
          <w:b/>
          <w:sz w:val="24"/>
        </w:rPr>
        <w:t>San</w:t>
      </w:r>
      <w:r>
        <w:rPr>
          <w:b/>
          <w:spacing w:val="-8"/>
          <w:sz w:val="24"/>
        </w:rPr>
        <w:t xml:space="preserve"> </w:t>
      </w:r>
      <w:r>
        <w:rPr>
          <w:b/>
          <w:sz w:val="24"/>
        </w:rPr>
        <w:t>Buenaventura</w:t>
      </w:r>
      <w:r>
        <w:rPr>
          <w:b/>
          <w:spacing w:val="-6"/>
          <w:sz w:val="24"/>
        </w:rPr>
        <w:t xml:space="preserve"> </w:t>
      </w:r>
      <w:r>
        <w:rPr>
          <w:b/>
          <w:sz w:val="24"/>
        </w:rPr>
        <w:t>Colombia</w:t>
      </w:r>
      <w:r>
        <w:rPr>
          <w:b/>
          <w:spacing w:val="-4"/>
          <w:sz w:val="24"/>
        </w:rPr>
        <w:t xml:space="preserve"> </w:t>
      </w:r>
      <w:r>
        <w:rPr>
          <w:sz w:val="24"/>
        </w:rPr>
        <w:t>-</w:t>
      </w:r>
      <w:r>
        <w:rPr>
          <w:spacing w:val="-10"/>
          <w:sz w:val="24"/>
        </w:rPr>
        <w:t xml:space="preserve"> </w:t>
      </w:r>
      <w:hyperlink r:id="rId17">
        <w:r>
          <w:rPr>
            <w:sz w:val="24"/>
          </w:rPr>
          <w:t>www.usb.edu.co</w:t>
        </w:r>
      </w:hyperlink>
      <w:r>
        <w:rPr>
          <w:sz w:val="24"/>
        </w:rPr>
        <w:t xml:space="preserve"> Bogotá </w:t>
      </w:r>
      <w:r>
        <w:rPr>
          <w:b/>
          <w:sz w:val="24"/>
        </w:rPr>
        <w:t xml:space="preserve">- </w:t>
      </w:r>
      <w:hyperlink r:id="rId18">
        <w:r>
          <w:rPr>
            <w:sz w:val="24"/>
          </w:rPr>
          <w:t>www.usbbog.edu.co</w:t>
        </w:r>
      </w:hyperlink>
    </w:p>
    <w:p w14:paraId="637285B1" w14:textId="77777777" w:rsidR="008F59D7" w:rsidRDefault="005A53E5" w:rsidP="00EB144C">
      <w:pPr>
        <w:pStyle w:val="Textoindependiente"/>
        <w:ind w:left="0"/>
        <w:jc w:val="left"/>
      </w:pPr>
      <w:r>
        <w:t>Medellín</w:t>
      </w:r>
      <w:r>
        <w:rPr>
          <w:spacing w:val="-15"/>
        </w:rPr>
        <w:t xml:space="preserve"> </w:t>
      </w:r>
      <w:r>
        <w:rPr>
          <w:b/>
        </w:rPr>
        <w:t>-</w:t>
      </w:r>
      <w:r>
        <w:rPr>
          <w:b/>
          <w:spacing w:val="-15"/>
        </w:rPr>
        <w:t xml:space="preserve"> </w:t>
      </w:r>
      <w:hyperlink r:id="rId19">
        <w:r>
          <w:t>www.usbmed.edu.co</w:t>
        </w:r>
      </w:hyperlink>
      <w:r>
        <w:t xml:space="preserve"> Cali - </w:t>
      </w:r>
      <w:hyperlink r:id="rId20">
        <w:r>
          <w:t>www.usbcali.edu.co</w:t>
        </w:r>
      </w:hyperlink>
      <w:r>
        <w:t xml:space="preserve"> Cartagena</w:t>
      </w:r>
      <w:r>
        <w:rPr>
          <w:spacing w:val="-12"/>
        </w:rPr>
        <w:t xml:space="preserve"> </w:t>
      </w:r>
      <w:r>
        <w:t>-</w:t>
      </w:r>
      <w:r>
        <w:rPr>
          <w:spacing w:val="-14"/>
        </w:rPr>
        <w:t xml:space="preserve"> </w:t>
      </w:r>
      <w:hyperlink r:id="rId21">
        <w:r>
          <w:t>www.usbctg.edu.co</w:t>
        </w:r>
      </w:hyperlink>
    </w:p>
    <w:p w14:paraId="3B7FB15D" w14:textId="77777777" w:rsidR="008F59D7" w:rsidRDefault="005A53E5" w:rsidP="00EB144C">
      <w:pPr>
        <w:pStyle w:val="Textoindependiente"/>
        <w:ind w:left="0"/>
        <w:jc w:val="left"/>
      </w:pPr>
      <w:r>
        <w:t>Editorial</w:t>
      </w:r>
      <w:r>
        <w:rPr>
          <w:spacing w:val="-14"/>
        </w:rPr>
        <w:t xml:space="preserve"> </w:t>
      </w:r>
      <w:r>
        <w:t>Bonaventuriana</w:t>
      </w:r>
      <w:r>
        <w:rPr>
          <w:spacing w:val="-13"/>
        </w:rPr>
        <w:t xml:space="preserve"> </w:t>
      </w:r>
      <w:r>
        <w:t>-</w:t>
      </w:r>
      <w:r>
        <w:rPr>
          <w:spacing w:val="-15"/>
        </w:rPr>
        <w:t xml:space="preserve"> </w:t>
      </w:r>
      <w:hyperlink r:id="rId22">
        <w:r>
          <w:t>www.editorialbonaventuriana.usb.edu.co</w:t>
        </w:r>
      </w:hyperlink>
      <w:r>
        <w:t xml:space="preserve"> Revistas científicas – </w:t>
      </w:r>
      <w:hyperlink r:id="rId23">
        <w:r>
          <w:t>www.revistas.usb.edu.co</w:t>
        </w:r>
      </w:hyperlink>
    </w:p>
    <w:p w14:paraId="2CC4235D" w14:textId="77777777" w:rsidR="008F59D7" w:rsidRDefault="008F59D7" w:rsidP="00EB144C">
      <w:pPr>
        <w:pStyle w:val="Textoindependiente"/>
        <w:spacing w:line="360" w:lineRule="auto"/>
        <w:ind w:left="0"/>
        <w:jc w:val="left"/>
        <w:sectPr w:rsidR="008F59D7" w:rsidSect="00FF0028">
          <w:pgSz w:w="12240" w:h="15840"/>
          <w:pgMar w:top="1418" w:right="1418" w:bottom="1418" w:left="1418" w:header="717" w:footer="0" w:gutter="0"/>
          <w:cols w:space="720"/>
        </w:sectPr>
      </w:pPr>
    </w:p>
    <w:p w14:paraId="7B8D73CF" w14:textId="77777777" w:rsidR="008F59D7" w:rsidRDefault="005A53E5" w:rsidP="00EB144C">
      <w:pPr>
        <w:pStyle w:val="Ttulo1"/>
        <w:spacing w:line="360" w:lineRule="auto"/>
        <w:ind w:left="0" w:firstLine="0"/>
        <w:jc w:val="left"/>
      </w:pPr>
      <w:r>
        <w:rPr>
          <w:spacing w:val="-2"/>
        </w:rPr>
        <w:lastRenderedPageBreak/>
        <w:t>Resumen</w:t>
      </w:r>
    </w:p>
    <w:p w14:paraId="7CA0C1E8" w14:textId="77777777" w:rsidR="008F59D7" w:rsidRDefault="008F59D7" w:rsidP="00EB144C">
      <w:pPr>
        <w:pStyle w:val="Textoindependiente"/>
        <w:spacing w:line="360" w:lineRule="auto"/>
        <w:ind w:left="0"/>
        <w:jc w:val="left"/>
        <w:rPr>
          <w:b/>
        </w:rPr>
      </w:pPr>
    </w:p>
    <w:p w14:paraId="3E3BEF45" w14:textId="77777777" w:rsidR="005F1D22" w:rsidRDefault="005F1D22" w:rsidP="00EB144C">
      <w:pPr>
        <w:pStyle w:val="Textoindependiente"/>
        <w:spacing w:line="360" w:lineRule="auto"/>
        <w:ind w:left="0" w:firstLine="382"/>
        <w:jc w:val="both"/>
      </w:pPr>
      <w:r>
        <w:rPr/>
        <w:t>En Colombia, la violencia ligada al fútbol profesional cuesta vidas, lesiona la integridad de muchas personas y compromete a clubes y autoridades; es un problema jurídico, pero también social y económico. En este artículo estudiamos la violencia física entre hinchas, en especial los homicidios y las lesiones personales, sus causas estructurales, la responsabilidad civil, penal, administrativa y disciplinaria deportiva de cada actor y qué tan eficaz ha sido el marco normativo. El estudio es cualitativo, de alcance descriptivo y analítico, y se apoya en revisión documental, análisis de tres casos, jurisprudencia y una comparación con Inglaterra, Argentina y Uruguay. Normas no faltan, desde la Ley 1270 de 2009 y la Ley 1445 de 2011 hasta el Código Penal, pero la persecución se estrella con la identificación de los agresores, y por eso hay tantas muertes y tan pocas condenas. En lo civil, el organizador responde por contrato a quien compró la boleta y por fuera del contrato a los terceros, y para ambos casos proponemos criterios que permitan decidir cuándo la agresión de otro hincha lo exonera. Con la información pública disponible no fue posible verificar si las sanciones de la Dimayor disuaden. Concluimos que hay que identificar a los infractores, coordinar a las autoridades con los clubes y acompañar las sanciones con políticas sociales.</w:t>
      </w:r>
    </w:p>
    <w:p w14:paraId="4F21BDC4" w14:textId="77777777" w:rsidR="00EB144C" w:rsidRDefault="00EB144C" w:rsidP="00EB144C">
      <w:pPr>
        <w:pStyle w:val="Textoindependiente"/>
        <w:spacing w:line="360" w:lineRule="auto"/>
        <w:ind w:left="0" w:firstLine="382"/>
        <w:jc w:val="left"/>
      </w:pPr>
    </w:p>
    <w:p w14:paraId="1C570C00" w14:textId="77777777" w:rsidR="008F59D7" w:rsidRDefault="005A53E5" w:rsidP="00EB144C">
      <w:pPr>
        <w:pStyle w:val="Textoindependiente"/>
        <w:spacing w:line="360" w:lineRule="auto"/>
        <w:ind w:left="0"/>
        <w:jc w:val="both"/>
      </w:pPr>
      <w:r>
        <w:rPr>
          <w:b/>
        </w:rPr>
        <w:t>Palabras</w:t>
      </w:r>
      <w:r>
        <w:rPr>
          <w:b/>
          <w:spacing w:val="-5"/>
        </w:rPr>
        <w:t xml:space="preserve"> </w:t>
      </w:r>
      <w:r>
        <w:rPr>
          <w:b/>
        </w:rPr>
        <w:t>clave:</w:t>
      </w:r>
      <w:r>
        <w:rPr>
          <w:b/>
          <w:spacing w:val="-6"/>
        </w:rPr>
        <w:t xml:space="preserve"> </w:t>
      </w:r>
      <w:r>
        <w:t>violencia,</w:t>
      </w:r>
      <w:r>
        <w:rPr>
          <w:spacing w:val="-5"/>
        </w:rPr>
        <w:t xml:space="preserve"> </w:t>
      </w:r>
      <w:r>
        <w:t>barras</w:t>
      </w:r>
      <w:r>
        <w:rPr>
          <w:spacing w:val="-5"/>
        </w:rPr>
        <w:t xml:space="preserve"> </w:t>
      </w:r>
      <w:r>
        <w:t>bravas,</w:t>
      </w:r>
      <w:r>
        <w:rPr>
          <w:spacing w:val="-5"/>
        </w:rPr>
        <w:t xml:space="preserve"> </w:t>
      </w:r>
      <w:r>
        <w:t>fútbol</w:t>
      </w:r>
      <w:r>
        <w:rPr>
          <w:spacing w:val="-5"/>
        </w:rPr>
        <w:t xml:space="preserve"> </w:t>
      </w:r>
      <w:r>
        <w:t>colombiano,</w:t>
      </w:r>
      <w:r>
        <w:rPr>
          <w:spacing w:val="-5"/>
        </w:rPr>
        <w:t xml:space="preserve"> </w:t>
      </w:r>
      <w:r>
        <w:t>responsabilidad</w:t>
      </w:r>
      <w:r>
        <w:rPr>
          <w:spacing w:val="-5"/>
        </w:rPr>
        <w:t xml:space="preserve"> </w:t>
      </w:r>
      <w:r>
        <w:t>jurídica,</w:t>
      </w:r>
      <w:r>
        <w:rPr>
          <w:spacing w:val="-5"/>
        </w:rPr>
        <w:t xml:space="preserve"> </w:t>
      </w:r>
      <w:r>
        <w:t>seguridad deportiva, derecho comparado.</w:t>
      </w:r>
    </w:p>
    <w:p w14:paraId="52741EFC" w14:textId="77777777" w:rsidR="005F1D22" w:rsidRDefault="005F1D22" w:rsidP="00EB144C">
      <w:pPr>
        <w:pStyle w:val="Textoindependiente"/>
        <w:spacing w:line="360" w:lineRule="auto"/>
        <w:ind w:left="0"/>
        <w:jc w:val="left"/>
      </w:pPr>
    </w:p>
    <w:p w14:paraId="4BD59239" w14:textId="77777777" w:rsidR="00347D59" w:rsidRDefault="00347D59" w:rsidP="00EB144C">
      <w:pPr>
        <w:pStyle w:val="Textoindependiente"/>
        <w:spacing w:line="360" w:lineRule="auto"/>
        <w:ind w:left="0"/>
        <w:jc w:val="left"/>
      </w:pPr>
    </w:p>
    <w:p w14:paraId="121D9471" w14:textId="77777777" w:rsidR="00FF0028" w:rsidRDefault="00FF0028" w:rsidP="00EB144C">
      <w:pPr>
        <w:pStyle w:val="Textoindependiente"/>
        <w:spacing w:line="360" w:lineRule="auto"/>
        <w:ind w:left="0"/>
        <w:jc w:val="left"/>
      </w:pPr>
    </w:p>
    <w:p w14:paraId="566B3AD8" w14:textId="77777777" w:rsidR="00FF0028" w:rsidRDefault="00FF0028" w:rsidP="00EB144C">
      <w:pPr>
        <w:pStyle w:val="Textoindependiente"/>
        <w:spacing w:line="360" w:lineRule="auto"/>
        <w:ind w:left="0"/>
        <w:jc w:val="left"/>
      </w:pPr>
    </w:p>
    <w:p w14:paraId="7B656408" w14:textId="77777777" w:rsidR="00FF0028" w:rsidRDefault="00FF0028" w:rsidP="00EB144C">
      <w:pPr>
        <w:pStyle w:val="Textoindependiente"/>
        <w:spacing w:line="360" w:lineRule="auto"/>
        <w:ind w:left="0"/>
        <w:jc w:val="left"/>
      </w:pPr>
    </w:p>
    <w:p w14:paraId="62A5C13A" w14:textId="77777777" w:rsidR="00FF0028" w:rsidRDefault="00FF0028" w:rsidP="00EB144C">
      <w:pPr>
        <w:pStyle w:val="Textoindependiente"/>
        <w:spacing w:line="360" w:lineRule="auto"/>
        <w:ind w:left="0"/>
        <w:jc w:val="left"/>
      </w:pPr>
    </w:p>
    <w:p w14:paraId="7A004635" w14:textId="77777777" w:rsidR="00FF0028" w:rsidRDefault="00FF0028" w:rsidP="00EB144C">
      <w:pPr>
        <w:pStyle w:val="Textoindependiente"/>
        <w:spacing w:line="360" w:lineRule="auto"/>
        <w:ind w:left="0"/>
        <w:jc w:val="left"/>
      </w:pPr>
    </w:p>
    <w:p w14:paraId="4273BF22" w14:textId="77777777" w:rsidR="00FF0028" w:rsidRDefault="00FF0028" w:rsidP="00EB144C">
      <w:pPr>
        <w:pStyle w:val="Textoindependiente"/>
        <w:spacing w:line="360" w:lineRule="auto"/>
        <w:ind w:left="0"/>
        <w:jc w:val="left"/>
      </w:pPr>
    </w:p>
    <w:p w14:paraId="3E3AB586" w14:textId="77777777" w:rsidR="00FF0028" w:rsidRDefault="00FF0028" w:rsidP="00EB144C">
      <w:pPr>
        <w:pStyle w:val="Textoindependiente"/>
        <w:spacing w:line="360" w:lineRule="auto"/>
        <w:ind w:left="0"/>
        <w:jc w:val="left"/>
      </w:pPr>
    </w:p>
    <w:p w14:paraId="6F23171D" w14:textId="77777777" w:rsidR="00FF0028" w:rsidRDefault="00FF0028" w:rsidP="00EB144C">
      <w:pPr>
        <w:pStyle w:val="Textoindependiente"/>
        <w:spacing w:line="360" w:lineRule="auto"/>
        <w:ind w:left="0"/>
        <w:jc w:val="left"/>
      </w:pPr>
    </w:p>
    <w:p w14:paraId="271428BA" w14:textId="77777777" w:rsidR="00FF0028" w:rsidRDefault="00FF0028" w:rsidP="00EB144C">
      <w:pPr>
        <w:pStyle w:val="Textoindependiente"/>
        <w:spacing w:line="360" w:lineRule="auto"/>
        <w:ind w:left="0"/>
        <w:jc w:val="left"/>
      </w:pPr>
    </w:p>
    <w:p w14:paraId="68B6F8FC" w14:textId="77777777" w:rsidR="00FF0028" w:rsidRDefault="00FF0028" w:rsidP="00EB144C">
      <w:pPr>
        <w:pStyle w:val="Textoindependiente"/>
        <w:spacing w:line="360" w:lineRule="auto"/>
        <w:ind w:left="0"/>
        <w:jc w:val="left"/>
      </w:pPr>
    </w:p>
    <w:p w14:paraId="7B8FCC78" w14:textId="77777777" w:rsidR="00FF0028" w:rsidRDefault="00FF0028" w:rsidP="00EB144C">
      <w:pPr>
        <w:pStyle w:val="Textoindependiente"/>
        <w:spacing w:line="360" w:lineRule="auto"/>
        <w:ind w:left="0"/>
        <w:jc w:val="left"/>
      </w:pPr>
    </w:p>
    <w:p w14:paraId="25B46359" w14:textId="5C79EB55" w:rsidR="00FF0028" w:rsidRDefault="005A53E5" w:rsidP="00EB144C">
      <w:pPr>
        <w:pStyle w:val="Ttulo1"/>
        <w:spacing w:line="360" w:lineRule="auto"/>
        <w:ind w:left="0" w:firstLine="0"/>
        <w:jc w:val="left"/>
        <w:rPr>
          <w:spacing w:val="-2"/>
          <w:lang w:val="en-US"/>
        </w:rPr>
      </w:pPr>
      <w:r>
        <w:rPr>
          <w:spacing w:val="-2"/>
          <w:lang w:val="en-US"/>
        </w:rPr>
        <w:lastRenderedPageBreak/>
        <w:t>Abstract</w:t>
      </w:r>
    </w:p>
    <w:p w14:paraId="34B970F4" w14:textId="77777777" w:rsidR="00EB144C" w:rsidRPr="00EB144C" w:rsidRDefault="00EB144C" w:rsidP="00EB144C">
      <w:pPr>
        <w:pStyle w:val="Ttulo1"/>
        <w:spacing w:line="360" w:lineRule="auto"/>
        <w:ind w:left="0" w:firstLine="0"/>
        <w:jc w:val="left"/>
        <w:rPr>
          <w:spacing w:val="-2"/>
          <w:lang w:val="en-US"/>
        </w:rPr>
      </w:pPr>
    </w:p>
    <w:p w14:paraId="42CBB2F5" w14:textId="77777777" w:rsidR="005F1D22" w:rsidRDefault="005F1D22" w:rsidP="00EB144C">
      <w:pPr>
        <w:pStyle w:val="Textoindependiente"/>
        <w:spacing w:line="360" w:lineRule="auto"/>
        <w:ind w:left="0" w:firstLine="382"/>
        <w:jc w:val="both"/>
        <w:rPr>
          <w:lang w:val="en-US"/>
        </w:rPr>
      </w:pPr>
      <w:r>
        <w:rPr>
          <w:lang w:val="en-US"/>
        </w:rPr>
        <w:t>In Colombia, violence linked to professional football costs lives, harms the physical integrity of many people and involves clubs and public authorities, which makes it a social and economic problem as well as a legal one. In this article we study physical violence between fans, especially homicides and personal injuries, its structural causes, the civil, criminal, administrative and sports disciplinary liability of each actor, and how effective the legal framework has been. The study is qualitative, descriptive and analytical, and draws on documentary review, three case analyses, case law and a comparison with England, Argentina and Uruguay. We found a broad legal framework that breaks down where it matters most: identifying offenders one by one. This gap helps to explain the distance between the number of deaths and the number of convictions. In civil matters we distinguish the organizer's contractual liability towards ticket holders from its non-contractual liability towards third parties, and we propose criteria to establish when an attack by another fan releases the organizer, while the publicly available information does not allow us to verify whether the sports disciplinary regime has a deterrent effect. We conclude that offenders need to be identified, that authorities and clubs need to coordinate, and that sanctions should be accompanied by social policies.</w:t>
      </w:r>
    </w:p>
    <w:p w14:paraId="463577A0" w14:textId="77777777" w:rsidR="00EB144C" w:rsidRPr="00807E98" w:rsidRDefault="00EB144C" w:rsidP="00EB144C">
      <w:pPr>
        <w:pStyle w:val="Textoindependiente"/>
        <w:spacing w:line="360" w:lineRule="auto"/>
        <w:ind w:left="0" w:firstLine="382"/>
        <w:jc w:val="left"/>
        <w:rPr>
          <w:lang w:val="en-US"/>
        </w:rPr>
      </w:pPr>
    </w:p>
    <w:p w14:paraId="1B9D2CAF" w14:textId="77777777" w:rsidR="008F59D7" w:rsidRPr="00807E98" w:rsidRDefault="005A53E5" w:rsidP="00EB144C">
      <w:pPr>
        <w:pStyle w:val="Textoindependiente"/>
        <w:spacing w:line="360" w:lineRule="auto"/>
        <w:ind w:left="0"/>
        <w:jc w:val="both"/>
        <w:rPr>
          <w:lang w:val="en-US"/>
        </w:rPr>
      </w:pPr>
      <w:r>
        <w:rPr>
          <w:b/>
          <w:lang w:val="en-US"/>
        </w:rPr>
        <w:t>Keywords:</w:t>
      </w:r>
      <w:r>
        <w:rPr>
          <w:b/>
          <w:spacing w:val="-6"/>
          <w:lang w:val="en-US"/>
        </w:rPr>
        <w:t xml:space="preserve"> </w:t>
      </w:r>
      <w:r>
        <w:rPr>
          <w:lang w:val="en-US"/>
        </w:rPr>
        <w:t>violence,</w:t>
      </w:r>
      <w:r>
        <w:rPr>
          <w:spacing w:val="-5"/>
          <w:lang w:val="en-US"/>
        </w:rPr>
        <w:t xml:space="preserve"> </w:t>
      </w:r>
      <w:r>
        <w:rPr>
          <w:lang w:val="en-US"/>
        </w:rPr>
        <w:t>barras</w:t>
      </w:r>
      <w:r>
        <w:rPr>
          <w:spacing w:val="-5"/>
          <w:lang w:val="en-US"/>
        </w:rPr>
        <w:t xml:space="preserve"> </w:t>
      </w:r>
      <w:r>
        <w:rPr>
          <w:lang w:val="en-US"/>
        </w:rPr>
        <w:t>bravas,</w:t>
      </w:r>
      <w:r>
        <w:rPr>
          <w:spacing w:val="-5"/>
          <w:lang w:val="en-US"/>
        </w:rPr>
        <w:t xml:space="preserve"> </w:t>
      </w:r>
      <w:r>
        <w:rPr>
          <w:lang w:val="en-US"/>
        </w:rPr>
        <w:t>Colombian</w:t>
      </w:r>
      <w:r>
        <w:rPr>
          <w:spacing w:val="-5"/>
          <w:lang w:val="en-US"/>
        </w:rPr>
        <w:t xml:space="preserve"> </w:t>
      </w:r>
      <w:r>
        <w:rPr>
          <w:lang w:val="en-US"/>
        </w:rPr>
        <w:t>football,</w:t>
      </w:r>
      <w:r>
        <w:rPr>
          <w:spacing w:val="-5"/>
          <w:lang w:val="en-US"/>
        </w:rPr>
        <w:t xml:space="preserve"> </w:t>
      </w:r>
      <w:r>
        <w:rPr>
          <w:lang w:val="en-US"/>
        </w:rPr>
        <w:t>legal</w:t>
      </w:r>
      <w:r>
        <w:rPr>
          <w:spacing w:val="-5"/>
          <w:lang w:val="en-US"/>
        </w:rPr>
        <w:t xml:space="preserve"> </w:t>
      </w:r>
      <w:r>
        <w:rPr>
          <w:lang w:val="en-US"/>
        </w:rPr>
        <w:t>responsibility,</w:t>
      </w:r>
      <w:r>
        <w:rPr>
          <w:spacing w:val="-5"/>
          <w:lang w:val="en-US"/>
        </w:rPr>
        <w:t xml:space="preserve"> </w:t>
      </w:r>
      <w:r>
        <w:rPr>
          <w:lang w:val="en-US"/>
        </w:rPr>
        <w:t>sports</w:t>
      </w:r>
      <w:r>
        <w:rPr>
          <w:spacing w:val="-5"/>
          <w:lang w:val="en-US"/>
        </w:rPr>
        <w:t xml:space="preserve"> </w:t>
      </w:r>
      <w:r>
        <w:rPr>
          <w:lang w:val="en-US"/>
        </w:rPr>
        <w:t>security, comparative law.</w:t>
      </w:r>
    </w:p>
    <w:p w14:paraId="77C7FA95" w14:textId="77777777" w:rsidR="008F59D7" w:rsidRPr="00807E98" w:rsidRDefault="008F59D7" w:rsidP="00EB144C">
      <w:pPr>
        <w:pStyle w:val="Textoindependiente"/>
        <w:spacing w:line="360" w:lineRule="auto"/>
        <w:ind w:left="0"/>
        <w:jc w:val="left"/>
        <w:rPr>
          <w:lang w:val="en-US"/>
        </w:rPr>
      </w:pPr>
    </w:p>
    <w:p w14:paraId="4DE50B22" w14:textId="77777777" w:rsidR="00EF4F7A" w:rsidRPr="00807E98" w:rsidRDefault="00EF4F7A" w:rsidP="00EB144C">
      <w:pPr>
        <w:pStyle w:val="Textoindependiente"/>
        <w:spacing w:line="360" w:lineRule="auto"/>
        <w:ind w:left="0"/>
        <w:jc w:val="left"/>
        <w:rPr>
          <w:lang w:val="en-US"/>
        </w:rPr>
      </w:pPr>
    </w:p>
    <w:p w14:paraId="66E8EB7E" w14:textId="77777777" w:rsidR="00EF4F7A" w:rsidRPr="00807E98" w:rsidRDefault="00EF4F7A" w:rsidP="00EB144C">
      <w:pPr>
        <w:pStyle w:val="Textoindependiente"/>
        <w:spacing w:line="360" w:lineRule="auto"/>
        <w:ind w:left="0"/>
        <w:jc w:val="left"/>
        <w:rPr>
          <w:lang w:val="en-US"/>
        </w:rPr>
      </w:pPr>
    </w:p>
    <w:p w14:paraId="109F404E" w14:textId="77777777" w:rsidR="00EF4F7A" w:rsidRPr="00807E98" w:rsidRDefault="00EF4F7A" w:rsidP="00EB144C">
      <w:pPr>
        <w:pStyle w:val="Textoindependiente"/>
        <w:spacing w:line="360" w:lineRule="auto"/>
        <w:ind w:left="0"/>
        <w:jc w:val="left"/>
        <w:rPr>
          <w:lang w:val="en-US"/>
        </w:rPr>
      </w:pPr>
    </w:p>
    <w:p w14:paraId="4872A9A8" w14:textId="77777777" w:rsidR="00EF4F7A" w:rsidRPr="00807E98" w:rsidRDefault="00EF4F7A" w:rsidP="00EB144C">
      <w:pPr>
        <w:pStyle w:val="Textoindependiente"/>
        <w:spacing w:line="360" w:lineRule="auto"/>
        <w:ind w:left="0"/>
        <w:jc w:val="left"/>
        <w:rPr>
          <w:lang w:val="en-US"/>
        </w:rPr>
      </w:pPr>
    </w:p>
    <w:p w14:paraId="71E36A25" w14:textId="77777777" w:rsidR="00EF4F7A" w:rsidRPr="00807E98" w:rsidRDefault="00EF4F7A" w:rsidP="00EB144C">
      <w:pPr>
        <w:pStyle w:val="Textoindependiente"/>
        <w:spacing w:line="360" w:lineRule="auto"/>
        <w:ind w:left="0"/>
        <w:jc w:val="left"/>
        <w:rPr>
          <w:lang w:val="en-US"/>
        </w:rPr>
      </w:pPr>
    </w:p>
    <w:p w14:paraId="3C6BFEA9" w14:textId="77777777" w:rsidR="00EF4F7A" w:rsidRDefault="00EF4F7A" w:rsidP="00EB144C">
      <w:pPr>
        <w:pStyle w:val="Textoindependiente"/>
        <w:spacing w:line="360" w:lineRule="auto"/>
        <w:ind w:left="0"/>
        <w:jc w:val="left"/>
        <w:rPr>
          <w:lang w:val="en-US"/>
        </w:rPr>
      </w:pPr>
    </w:p>
    <w:p w14:paraId="53CC90E9" w14:textId="77777777" w:rsidR="00FF0028" w:rsidRDefault="00FF0028" w:rsidP="00EB144C">
      <w:pPr>
        <w:pStyle w:val="Textoindependiente"/>
        <w:spacing w:line="360" w:lineRule="auto"/>
        <w:ind w:left="0"/>
        <w:jc w:val="left"/>
        <w:rPr>
          <w:lang w:val="en-US"/>
        </w:rPr>
      </w:pPr>
    </w:p>
    <w:p w14:paraId="5658F561" w14:textId="77777777" w:rsidR="00FF0028" w:rsidRDefault="00FF0028" w:rsidP="00EB144C">
      <w:pPr>
        <w:pStyle w:val="Textoindependiente"/>
        <w:spacing w:line="360" w:lineRule="auto"/>
        <w:ind w:left="0"/>
        <w:jc w:val="left"/>
        <w:rPr>
          <w:lang w:val="en-US"/>
        </w:rPr>
      </w:pPr>
    </w:p>
    <w:p w14:paraId="49F2337A" w14:textId="77777777" w:rsidR="00FF0028" w:rsidRDefault="00FF0028" w:rsidP="00EB144C">
      <w:pPr>
        <w:pStyle w:val="Textoindependiente"/>
        <w:spacing w:line="360" w:lineRule="auto"/>
        <w:ind w:left="0"/>
        <w:jc w:val="left"/>
        <w:rPr>
          <w:lang w:val="en-US"/>
        </w:rPr>
      </w:pPr>
    </w:p>
    <w:p w14:paraId="030B1B5E" w14:textId="77777777" w:rsidR="00FF0028" w:rsidRDefault="00FF0028" w:rsidP="00EB144C">
      <w:pPr>
        <w:pStyle w:val="Textoindependiente"/>
        <w:spacing w:line="360" w:lineRule="auto"/>
        <w:ind w:left="0"/>
        <w:jc w:val="left"/>
        <w:rPr>
          <w:lang w:val="en-US"/>
        </w:rPr>
      </w:pPr>
    </w:p>
    <w:p w14:paraId="4CD93A2A" w14:textId="77777777" w:rsidR="008F59D7" w:rsidRPr="00807E98" w:rsidRDefault="008F59D7" w:rsidP="00EB144C">
      <w:pPr>
        <w:pStyle w:val="Textoindependiente"/>
        <w:spacing w:line="360" w:lineRule="auto"/>
        <w:ind w:left="0"/>
        <w:rPr>
          <w:lang w:val="en-US"/>
        </w:rPr>
      </w:pPr>
    </w:p>
    <w:p w14:paraId="42CCE3CF" w14:textId="368A9348" w:rsidR="008F59D7" w:rsidRPr="00FF0028" w:rsidRDefault="005A53E5" w:rsidP="00EB144C">
      <w:pPr>
        <w:pStyle w:val="Ttulo1"/>
        <w:numPr>
          <w:ilvl w:val="0"/>
          <w:numId w:val="1"/>
        </w:numPr>
        <w:tabs>
          <w:tab w:val="left" w:pos="1057"/>
        </w:tabs>
        <w:spacing w:line="360" w:lineRule="auto"/>
        <w:ind w:left="0" w:firstLine="0"/>
        <w:jc w:val="center"/>
      </w:pPr>
      <w:r>
        <w:rPr>
          <w:spacing w:val="-2"/>
        </w:rPr>
        <w:lastRenderedPageBreak/>
        <w:t>Introducción</w:t>
      </w:r>
    </w:p>
    <w:p w14:paraId="494C54D7" w14:textId="77777777" w:rsidR="008F59D7" w:rsidRDefault="008F59D7" w:rsidP="00EB144C">
      <w:pPr>
        <w:pStyle w:val="Textoindependiente"/>
        <w:spacing w:line="360" w:lineRule="auto"/>
        <w:ind w:left="0"/>
        <w:jc w:val="left"/>
        <w:rPr>
          <w:b/>
        </w:rPr>
      </w:pPr>
    </w:p>
    <w:p w14:paraId="105F9161" w14:textId="77777777" w:rsidR="008F59D7" w:rsidRDefault="005A53E5" w:rsidP="00EB144C">
      <w:pPr>
        <w:pStyle w:val="Textoindependiente"/>
        <w:spacing w:line="360" w:lineRule="auto"/>
        <w:ind w:left="0" w:firstLine="707"/>
        <w:jc w:val="both"/>
      </w:pPr>
      <w:r>
        <w:t>En Colombia, el fútbol es más que un deporte, pues constituye folclor, esperanza y punto de encuentro entre los hinchas de los distintos equipos. Por esa razón resulta indispensable iniciar el recorrido en su origen documentado: el primer partido del que se tiene registro en el país se jugó el 22 de junio de 1892 y fue organizado por el ingeniero militar Henry Rowan Lemly (El Espectador, 2022). Desde aquel momento, el juego se fue incorporando a la cotidianidad nacional e integrando a la vida de las regiones. Con el paso del tiempo se edificaron estadios y se construyeron los pilares de lo que hoy se conoce como el fútbol profesional colombiano (FPC), varios de cuyos clubes concentran en la actualidad un alto porcentaje del total de hinchas; los más representativos nacieron en la primera mitad del siglo XX, entre ellos el Deportivo Cali en 1912, el Independiente Medellín en 1913 y el Junior de Barranquilla en 1924. Esa historia explica por qué el fútbol se encuentra tan arraigado y por qué generó un sentido de pertenencia tan marcado entre los hinchas, sostenido en la memoria histórica y en la disputa simbólica entre las distintas ciudades y, sobre todo, entre las distintas clases sociales.</w:t>
      </w:r>
    </w:p>
    <w:p w14:paraId="3D58DE7A" w14:textId="77777777" w:rsidR="00EF4F7A" w:rsidRDefault="00EF4F7A" w:rsidP="00EB144C">
      <w:pPr>
        <w:pStyle w:val="Textoindependiente"/>
        <w:spacing w:line="360" w:lineRule="auto"/>
        <w:ind w:left="0" w:firstLine="707"/>
        <w:jc w:val="both"/>
      </w:pPr>
      <w:r>
        <w:rPr/>
        <w:t>Ese mismo espacio, que al principio solo albergaba rivalidades deportivas, se volvió desde finales del siglo XX escenario de una violencia que ha matado a decenas de colombianos. También ha dejado pérdidas económicas para los clubes y para los propios hinchas, y afecta derechos fundamentales protegidos por la Constitución Política de 1991, en particular la vida, la integridad personal y el trabajo (Congreso de Colombia, 1991). Pese a su gravedad, el fenómeno es difícil de medir, porque no hay un registro oficial consolidado, y el Instituto Nacional de Medicina Legal y Ciencias Forenses (Medicina Legal) tampoco clasifica los homicidios según si la víctima pertenecía o no a una barra, de modo que las cifras deben reconstruirse a partir de la prensa y de la investigación académica (Castro-Lozano, 2020). Aun con ese límite, las fuentes periodísticas y académicas coinciden en que más de un centenar de hinchas han sido asesinados en poco más de una década, y en que solo una parte de esos hechos terminó en condena. Esos datos los examinamos en los resultados (Castro-Lozano, 2020; El País, 2020). A las pérdidas humanas se suman otras de tipo patrimonial, como las multas disciplinarias, los cierres de tribunas que dejan a los clubes sin ingresos y los daños a la infraestructura de los escenarios deportivos.</w:t>
      </w:r>
    </w:p>
    <w:p w14:paraId="155BB68E" w14:textId="77777777" w:rsidR="00EF4F7A" w:rsidRDefault="00EF4F7A" w:rsidP="00EB144C">
      <w:pPr>
        <w:pStyle w:val="Textoindependiente"/>
        <w:spacing w:line="360" w:lineRule="auto"/>
        <w:ind w:left="0" w:firstLine="707"/>
        <w:jc w:val="both"/>
      </w:pPr>
      <w:r>
        <w:rPr/>
        <w:t>Esta situación no ha sido exclusiva de Colombia, sino que se presenta tanto en países desarrollados como en países en vías de desarrollo. En efecto, el fenómeno se comparte con naciones vecinas del continente, como Argentina, Brasil o México, y con otras de África o de Europa, aunque con una particularidad común: la propia historia de conflictos de cada país vuelve el problema mucho más difícil de tratar. El punto de crecimiento exponencial fue la llegada de las barras bravas, las cuales, si bien conservan el mismo objeto misional de acompañar al equipo, se diferencian de la hinchada tradicional por la construcción de una identidad colectiva organizada por jerarquías internas y por códigos propios de “honor”; en algunos casos, además, establecen vínculos económicos con ingresos informales o ilegales asociados al narcotráfico (Clavijo, 2004). Eso no significa que toda barra ni todo barrista participen de esa violencia, distinción que desarrollamos en los resultados. Dicho modelo organizacional llegó al país en la década de los noventa, tomando como referencia las barras argentinas y los hooligans británicos, y encontró condiciones favorables en la exclusión social, la pobreza y la normalización de la violencia que ya hacía parte de la sociedad colombiana de los años ochenta y noventa (Pécaut, 2001).</w:t>
      </w:r>
    </w:p>
    <w:p w14:paraId="7A771CF4" w14:textId="77777777" w:rsidR="00EF4F7A" w:rsidRDefault="00EF4F7A" w:rsidP="00EB144C">
      <w:pPr>
        <w:pStyle w:val="Textoindependiente"/>
        <w:spacing w:line="360" w:lineRule="auto"/>
        <w:ind w:left="0" w:firstLine="707"/>
        <w:jc w:val="both"/>
      </w:pPr>
      <w:r>
        <w:t>Ahí está la complejidad del fenómeno: sus causas no son deportivas sino estructurales. Castaño Pérez, Restrepo Escobar y Uribe Aramburo (2014) estudiaron a 570 integrantes de las barras bravas de los dos equipos más representativos del área metropolitana de Medellín y encontraron una asociación estadísticamente muy significativa entre la conducta agresiva y el consumo de alcohol, marihuana y cocaína (p. 79). Si los detonantes de la violencia crecen o se alimentan de las condiciones sociales y del nivel de consumo, una política pública que intente resolver o mitigar esa conducta sin mirar los patrones de consumo difícilmente logrará cambios profundos y sostenidos; a lo sumo, resultados parciales o pasajeros.</w:t>
      </w:r>
    </w:p>
    <w:p w14:paraId="469EC5C2" w14:textId="77777777" w:rsidR="00EF4F7A" w:rsidRDefault="005E4666" w:rsidP="00EB144C">
      <w:pPr>
        <w:pStyle w:val="Textoindependiente"/>
        <w:spacing w:line="360" w:lineRule="auto"/>
        <w:ind w:left="0" w:firstLine="707"/>
        <w:jc w:val="both"/>
      </w:pPr>
      <w:r>
        <w:rPr/>
        <w:t>Por ser estructural, el fenómeno pide ser mirado desde tres planos, que separamos solo para exponerlos con orden, porque en la práctica van juntos. En el jurídico se identifican las responsabilidades civiles, penales, administrativas y disciplinarias deportivas de cada actor y se valora hasta dónde llega la eficacia de las normas. El social rastrea las causas estructurales y el papel de las barras como expresión de la exclusión. Al económico, que en el debate público casi siempre queda relegado, le damos aquí un espacio propio: allí se examina el impacto sobre clubes, patrocinadores, hinchas y la industria del espectáculo. A esos tres planos sumamos el derecho comparado, con el que contrastamos el modelo colombiano con lo hecho en Inglaterra, Argentina y Uruguay, países que lograron bajar la violencia en sus estadios combinando instrumentos jurídicos, tecnología de identificación y un cambio cultural sostenido en el tiempo.</w:t>
      </w:r>
    </w:p>
    <w:p w14:paraId="54158CE6" w14:textId="77777777" w:rsidR="00EF4F7A" w:rsidRDefault="00EF4F7A" w:rsidP="00EB144C">
      <w:pPr>
        <w:pStyle w:val="Textoindependiente"/>
        <w:spacing w:line="360" w:lineRule="auto"/>
        <w:ind w:left="0" w:firstLine="707"/>
        <w:jc w:val="both"/>
      </w:pPr>
      <w:r>
        <w:rPr/>
        <w:t>Nuestra hipótesis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Sostenemos que ninguna política exclusivamente punitiva va a bajar de manera sostenible esta violencia, que en Colombia no se queda en los estadios y aparece también en sus alrededores, en el transporte público y en los trayectos de regreso, como lo muestra uno de los casos que examinamos más adelante. Creemos que el castigo tiene que ir junto con programas de inclusión y reinserción para los jóvenes de las barras, con identificación tecnológica de los asistentes y con compromisos de clubes y entidades reguladoras que se puedan verificar. Esa hipótesis la contrastamos con la evidencia académica, con las fuentes oficiales disponibles y con la experiencia comparada.</w:t>
      </w:r>
    </w:p>
    <w:p w14:paraId="54158CE6" w14:textId="77777777" w:rsidR="00EF4F7A" w:rsidRDefault="00EF4F7A" w:rsidP="00EB144C">
      <w:pPr>
        <w:pStyle w:val="Textoindependiente"/>
        <w:spacing w:line="360" w:lineRule="auto"/>
        <w:ind w:left="0" w:firstLine="707"/>
        <w:jc w:val="both"/>
      </w:pPr>
      <w:r>
        <w:rPr/>
        <w:t>Precisamos desde ahora qué violencia estudiamos, porque la expresión cubre fenómenos distintos. El foco del trabajo es la violencia física entre hinchas asociada al fútbol profesional colombiano, es decir, los homicidios y las lesiones personales que ocurren antes, durante y después de los partidos, dentro de los estadios y, sobre todo, en sus alrededores, en el transporte público y en los trayectos de regreso, donde se produjeron los 149 homicidios de hinchas que El País de Cali registró entre 2008 y 2020 (Caracol Radio, 2020). El narcotráfico no es para nosotros un foco autónomo, sino un factor que agrava esa violencia cuando se infiltra en una barra, y lo hace dentro del país: en Cali, las disputas por el control del negocio dentro del Barón Rojo Sur dejaron cerca de una veintena de homicidios (Caracol Radio, 2020). Solo en el caso de la red entre la barra del Atlético Nacional y la del club Laferrere la actividad ilícita salió de Colombia, y lo usamos para mostrar los límites de las herramientas nacionales. Las multas, los cierres de tribunas, los daños a la infraestructura y las pérdidas económicas los tratamos como consecuencias de esa violencia y no como el objeto central del estudio.</w:t>
      </w:r>
    </w:p>
    <w:p w14:paraId="59CB4332" w14:textId="77777777" w:rsidR="008F59D7" w:rsidRDefault="008F59D7" w:rsidP="00EB144C">
      <w:pPr>
        <w:pStyle w:val="Textoindependiente"/>
        <w:spacing w:line="360" w:lineRule="auto"/>
        <w:ind w:left="0"/>
        <w:jc w:val="left"/>
      </w:pPr>
    </w:p>
    <w:p w14:paraId="65DDC7BA"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Metodología</w:t>
      </w:r>
    </w:p>
    <w:p w14:paraId="61B6693A" w14:textId="77777777" w:rsidR="00FF0028" w:rsidRDefault="00FF0028" w:rsidP="00EB144C">
      <w:pPr>
        <w:pStyle w:val="Ttulo1"/>
        <w:tabs>
          <w:tab w:val="left" w:pos="578"/>
        </w:tabs>
        <w:spacing w:line="360" w:lineRule="auto"/>
        <w:ind w:left="0" w:firstLine="0"/>
        <w:jc w:val="right"/>
      </w:pPr>
    </w:p>
    <w:p w14:paraId="0844205C" w14:textId="77777777" w:rsidR="007A019C" w:rsidRPr="007A019C" w:rsidRDefault="007A019C" w:rsidP="00EB144C">
      <w:pPr>
        <w:pStyle w:val="Textoindependiente"/>
        <w:spacing w:line="360" w:lineRule="auto"/>
        <w:ind w:left="0" w:firstLine="707"/>
        <w:jc w:val="both"/>
      </w:pPr>
      <w:r>
        <w:t>La investigación tiene un enfoque cualitativo, acompañado de métricas de apoyo, con un alcance descriptivo y analítico. La elección se justifica en la naturaleza del objeto, pues la violencia en el fútbol es un fenómeno multidimensional cuyo análisis exige leer con detalle el contexto social, jurídico y económico, antes que medir variables aisladas (Hernández Sampieri et al., 2014). El diseño es documental y comparado, con la finalidad de obtener datos que den cuenta del mismo problema desde distintos ángulos, y se organiza en estrategias complementarias que se desarrollan unas de la mano de las otras.</w:t>
      </w:r>
    </w:p>
    <w:p w14:paraId="389A3194" w14:textId="77777777" w:rsidR="008F59D7" w:rsidRDefault="007A019C" w:rsidP="00EB144C">
      <w:pPr>
        <w:pStyle w:val="Textoindependiente"/>
        <w:spacing w:line="360" w:lineRule="auto"/>
        <w:ind w:left="0" w:firstLine="707"/>
        <w:jc w:val="both"/>
      </w:pPr>
      <w:r>
        <w:rPr/>
        <w:t>Antes de describir esas estrategias hay que reconocer los límites del estudio. Los datos sobre incidentes violentos en escenarios deportivos están incompletos. Muchos hechos no se denuncian, y los homicidios que nacen de enfrentamientos entre hinchadas pocas veces quedan registrados como tales, es decir, discriminados según la pertenencia de la víctima a una barra. Las métricas con que contamos vienen de la prensa y de la academia, y sabemos que muestran un piso del problema y no su tamaño real (Castro-Lozano, 2020). Con las cifras económicas pasa algo parecido, porque son aproximaciones y ninguna sale de una auditoría independiente. Tampoco pudimos corregir un sesgo geográfico, ya que casi todo lo que se ha investigado sobre las barras colombianas, que no es mucho, se hizo en Medellín y en Bogotá. Por eso pedimos que los hallazgos se lean como tendencias y no como mediciones exactas. Con esas advertencias, trabajamos con las fuentes disponibles del modo más riguroso que nos fue posible y dejamos constancia expresa de sus límites.</w:t>
      </w:r>
    </w:p>
    <w:p w14:paraId="7FAF3547" w14:textId="547F2623" w:rsidR="008F59D7" w:rsidRPr="00720FAB" w:rsidRDefault="005A53E5" w:rsidP="00EB144C">
      <w:pPr>
        <w:pStyle w:val="Ttulo1"/>
        <w:numPr>
          <w:ilvl w:val="1"/>
          <w:numId w:val="1"/>
        </w:numPr>
        <w:tabs>
          <w:tab w:val="left" w:pos="698"/>
        </w:tabs>
        <w:spacing w:line="360" w:lineRule="auto"/>
        <w:ind w:left="0" w:firstLine="0"/>
        <w:jc w:val="left"/>
      </w:pPr>
      <w:r>
        <w:t>Revisión</w:t>
      </w:r>
      <w:r>
        <w:rPr>
          <w:spacing w:val="-1"/>
        </w:rPr>
        <w:t xml:space="preserve"> </w:t>
      </w:r>
      <w:r>
        <w:t>histórica</w:t>
      </w:r>
      <w:r>
        <w:rPr>
          <w:spacing w:val="-1"/>
        </w:rPr>
        <w:t xml:space="preserve"> </w:t>
      </w:r>
      <w:r>
        <w:t>y</w:t>
      </w:r>
      <w:r>
        <w:rPr>
          <w:spacing w:val="-1"/>
        </w:rPr>
        <w:t xml:space="preserve"> </w:t>
      </w:r>
      <w:r>
        <w:rPr>
          <w:spacing w:val="-2"/>
        </w:rPr>
        <w:t>documental</w:t>
      </w:r>
    </w:p>
    <w:p w14:paraId="7F9BF40D" w14:textId="77777777" w:rsidR="00FD2548" w:rsidRPr="00FD2548" w:rsidRDefault="005E4666" w:rsidP="00EB144C">
      <w:pPr>
        <w:pStyle w:val="Textoindependiente"/>
        <w:spacing w:line="360" w:lineRule="auto"/>
        <w:ind w:left="0" w:firstLine="707"/>
        <w:jc w:val="both"/>
      </w:pPr>
      <w:r>
        <w:t>La primera de las estrategias avanza a través de varias líneas al mismo tiempo: la historia del fútbol colombiano y su anclaje social, el surgimiento y la consolidación de las barras como protagonistas del espectáculo y del folclor, la evolución del marco normativo en materia de seguridad deportiva. Se acude para ello a archivos de prensa, a monografías de sociología del deporte y a los documentos legislativos que se han ido expidiendo (El Espectador, 2022; Clavijo, 2004; Congreso de Colombia, 1995, 2000, 2009).</w:t>
      </w:r>
    </w:p>
    <w:p w14:paraId="1CEEA251" w14:textId="77777777" w:rsidR="00FD2548" w:rsidRPr="00FD2548" w:rsidRDefault="00FD2548" w:rsidP="00EB144C">
      <w:pPr>
        <w:pStyle w:val="Textoindependiente"/>
        <w:spacing w:line="360" w:lineRule="auto"/>
        <w:ind w:left="0" w:firstLine="707"/>
        <w:jc w:val="both"/>
      </w:pPr>
      <w:r>
        <w:t>Esa mirada histórica cumple la función de precisar cómo ha sido el crecimiento de este deporte y, además, descarta que la violencia sea un hecho espontáneo y carente de antecedentes, pues devuelve su lugar a los fenómenos que han marcado el deporte en Colombia desde finales del siglo XX, entre ellos la crisis social derivada del narcotráfico y la aparición de las barras bravas. Se trata, en últimas, de establecer si esa cadena de acontecimientos explica el surgimiento de un problema que, considerado de manera aislada, no podría comprenderse.</w:t>
      </w:r>
    </w:p>
    <w:p w14:paraId="683AC535" w14:textId="30F835C1" w:rsidR="003938D0" w:rsidRDefault="005A53E5" w:rsidP="00EB144C">
      <w:pPr>
        <w:pStyle w:val="Ttulo1"/>
        <w:numPr>
          <w:ilvl w:val="1"/>
          <w:numId w:val="1"/>
        </w:numPr>
        <w:tabs>
          <w:tab w:val="left" w:pos="698"/>
          <w:tab w:val="left" w:pos="851"/>
        </w:tabs>
        <w:spacing w:line="360" w:lineRule="auto"/>
        <w:ind w:left="0" w:firstLine="0"/>
        <w:jc w:val="left"/>
      </w:pPr>
      <w:r>
        <w:t>Análisis</w:t>
      </w:r>
      <w:r>
        <w:rPr>
          <w:spacing w:val="-2"/>
        </w:rPr>
        <w:t xml:space="preserve"> </w:t>
      </w:r>
      <w:r>
        <w:t>de</w:t>
      </w:r>
      <w:r>
        <w:rPr>
          <w:spacing w:val="-2"/>
        </w:rPr>
        <w:t xml:space="preserve"> </w:t>
      </w:r>
      <w:r>
        <w:t>investigaciones</w:t>
      </w:r>
      <w:r>
        <w:rPr>
          <w:spacing w:val="-1"/>
        </w:rPr>
        <w:t xml:space="preserve"> </w:t>
      </w:r>
      <w:r>
        <w:rPr>
          <w:spacing w:val="-2"/>
        </w:rPr>
        <w:t>académicas</w:t>
      </w:r>
    </w:p>
    <w:p w14:paraId="31AC5EF1" w14:textId="77777777" w:rsidR="00DD271F" w:rsidRPr="00DD271F" w:rsidRDefault="00DD271F" w:rsidP="00EB144C">
      <w:pPr>
        <w:pStyle w:val="Textoindependiente"/>
        <w:spacing w:line="360" w:lineRule="auto"/>
        <w:ind w:left="0" w:firstLine="707"/>
        <w:jc w:val="both"/>
      </w:pPr>
      <w:r>
        <w:rPr/>
        <w:t>La segunda estrategia de análisis consiste en la lectura crítica de las investigaciones académicas que se han llevado a cabo sobre el objeto de estudio, con énfasis en aquellas que aportan evidencia empírica sobre las causas y sobre las formas que facilitan el fenómeno. Entre esos estudios, el de Castaño Pérez et al. (2014) tiene un peso especial para nosotros, porque se hizo en Colombia con una muestra amplia de 570 integrantes de las barras bravas del Atlético Nacional y del Deportivo Independiente Medellín (p. 82) y porque combina la medición psicológica con la lectura de los procesos sociales, lo que permite observar a la vez los factores individuales y los estructurales.</w:t>
      </w:r>
    </w:p>
    <w:p w14:paraId="3CC3117A" w14:textId="77777777" w:rsidR="00DD271F" w:rsidRDefault="00DD271F" w:rsidP="00EB144C">
      <w:pPr>
        <w:pStyle w:val="Textoindependiente"/>
        <w:spacing w:line="360" w:lineRule="auto"/>
        <w:ind w:left="0" w:firstLine="707"/>
        <w:jc w:val="both"/>
        <w:rPr>
          <w:spacing w:val="-2"/>
        </w:rPr>
      </w:pPr>
      <w:r>
        <w:t xml:space="preserve">En el plano sociológico, el trabajo de Clavijo (2004) sobre las barras bravas en Bogotá ofrece un marco de interpretación que permite observarlas no como organizaciones criminales, sino como espacios sociales en los cuales se desarrollan lógicas propias. La obra de Pécaut (2001), por su parte, permite conectar la violencia que se vive al interior de los estadios con la </w:t>
      </w:r>
      <w:r>
        <w:lastRenderedPageBreak/>
        <w:t>violencia organizada que se estructuró en Colombia en décadas anteriores. En el ámbito internacional, los trabajos de Dunning (1999) aportan el sustento teórico de la sociología del deporte para la perspectiva comparada.</w:t>
      </w:r>
    </w:p>
    <w:p w14:paraId="6FE010A2" w14:textId="53A73B8C"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casos</w:t>
      </w:r>
      <w:r>
        <w:rPr>
          <w:spacing w:val="-2"/>
        </w:rPr>
        <w:t xml:space="preserve"> </w:t>
      </w:r>
      <w:r>
        <w:t>e</w:t>
      </w:r>
      <w:r>
        <w:rPr>
          <w:spacing w:val="-1"/>
        </w:rPr>
        <w:t xml:space="preserve"> </w:t>
      </w:r>
      <w:r>
        <w:t>incidentes</w:t>
      </w:r>
      <w:r>
        <w:rPr>
          <w:spacing w:val="-1"/>
        </w:rPr>
        <w:t xml:space="preserve"> </w:t>
      </w:r>
      <w:r>
        <w:rPr>
          <w:spacing w:val="-2"/>
        </w:rPr>
        <w:t>documentados</w:t>
      </w:r>
    </w:p>
    <w:p w14:paraId="51F91E50" w14:textId="77777777" w:rsidR="005E4666" w:rsidRDefault="005E4666" w:rsidP="00EB144C">
      <w:pPr>
        <w:pStyle w:val="Textoindependiente"/>
        <w:spacing w:line="360" w:lineRule="auto"/>
        <w:ind w:left="0" w:firstLine="707"/>
        <w:jc w:val="both"/>
      </w:pPr>
      <w:r>
        <w:rPr/>
        <w:t>La tercera estrategia consistió en estudiar tres casos de violencia en el fútbol y contrastarlos con providencias judiciales: el homicidio de un hincha en el marco del clásico caleño, la llegada del narcotráfico a una barra del América de Cali y la red que unió a miembros de una barra colombiana con una hinchada argentina. De cada uno anotamos quiénes intervinieron, cuándo pasó, qué ocurrió y en qué va el proceso según lo publicado. El homicidio de Andrés Carvajal ocurrió en Cali en febrero de 2020; la red que operaba dentro del Barón Rojo Sur dejó cerca de una veintena de homicidios, y la red entre la barra del Atlético Nacional y la del club Laferrere llevó en 2018 a la detención de unos quince hinchas, hechos reportados por Caracol Radio (2020). Escogimos estos tres porque se pueden verificar en fuentes públicas y porque cada uno obliga a mirar un régimen de responsabilidad distinto: el penal individual en el primero, la persecución del crimen organizado en el segundo y la cooperación internacional en el tercero.</w:t>
      </w:r>
    </w:p>
    <w:p w14:paraId="51F91E50" w14:textId="77777777" w:rsidR="005E4666" w:rsidRDefault="005E4666" w:rsidP="00EB144C">
      <w:pPr>
        <w:pStyle w:val="Textoindependiente"/>
        <w:spacing w:line="360" w:lineRule="auto"/>
        <w:ind w:left="0" w:firstLine="707"/>
        <w:jc w:val="both"/>
      </w:pPr>
      <w:r>
        <w:rPr/>
        <w:t>Somos conscientes de que tres casos no alcanzan para describir al barrismo colombiano, y por eso no sacamos de ellos conclusiones estadísticas; nos sirven para poner a prueba el análisis jurídico frente a hechos que ocurrieron de verdad. Con cada uno hicimos el mismo ejercicio, que fue preguntarnos qué régimen de responsabilidad se activa, contra quién se dirige y qué impide que funcione. Para contestar acudimos a sentencias de la Corte Constitucional, como la C-065 de 2021, y de las Salas de Casación Penal y Civil de la Corte Suprema de Justicia, como la SC2905-2021, y repasamos lo que le corresponde a cada actor: hinchas, barras, clubes, Dimayor, Federación Colombiana de Fútbol, Policía Nacional, alcaldías y comisiones de seguridad.</w:t>
      </w:r>
    </w:p>
    <w:p w14:paraId="5D0CC5BE" w14:textId="77777777" w:rsidR="0023511A" w:rsidRDefault="005E4666" w:rsidP="00EB144C">
      <w:pPr>
        <w:pStyle w:val="Textoindependiente"/>
        <w:spacing w:line="360" w:lineRule="auto"/>
        <w:ind w:left="0" w:firstLine="707"/>
        <w:jc w:val="both"/>
      </w:pPr>
      <w:r>
        <w:rPr/>
        <w:t>Los casos también muestran cómo funciona la respuesta del Estado, pues en ellos se ve qué obstáculos dejan los hechos sin castigo, en qué lugares y momentos pasan los más graves y cuánta distancia hay entre la sanción disciplinaria del fútbol y la pena. Debemos advertir, además, que los datos de la Fiscalía General de la Nación y de la Policía Nacional son difíciles de conseguir y están ordenados con lógica penal, así que casi nunca dejan separar los hechos ligados al fútbol del resto. Por eso la lectura de las cifras la hicimos cruzando lo que publicó la prensa con los datos e incidentes que reportan las fuentes oficiales y disciplinarias (Fiscalía General de la Nación, s. f.; Policía Nacional de Colombia, s. f.).</w:t>
      </w:r>
    </w:p>
    <w:p w14:paraId="5DD2F375" w14:textId="3905AAFF" w:rsidR="00FF0028" w:rsidRPr="00FF0028" w:rsidRDefault="005A53E5" w:rsidP="00EB144C">
      <w:pPr>
        <w:pStyle w:val="Ttulo1"/>
        <w:numPr>
          <w:ilvl w:val="1"/>
          <w:numId w:val="1"/>
        </w:numPr>
        <w:tabs>
          <w:tab w:val="left" w:pos="698"/>
        </w:tabs>
        <w:spacing w:line="360" w:lineRule="auto"/>
        <w:ind w:left="0" w:firstLine="0"/>
        <w:jc w:val="left"/>
      </w:pPr>
      <w:r>
        <w:t>Análisis</w:t>
      </w:r>
      <w:r>
        <w:rPr>
          <w:spacing w:val="-2"/>
        </w:rPr>
        <w:t xml:space="preserve"> </w:t>
      </w:r>
      <w:r>
        <w:t>de</w:t>
      </w:r>
      <w:r>
        <w:rPr>
          <w:spacing w:val="-2"/>
        </w:rPr>
        <w:t xml:space="preserve"> </w:t>
      </w:r>
      <w:r>
        <w:t>derecho</w:t>
      </w:r>
      <w:r>
        <w:rPr>
          <w:spacing w:val="-1"/>
        </w:rPr>
        <w:t xml:space="preserve"> </w:t>
      </w:r>
      <w:r>
        <w:rPr>
          <w:spacing w:val="-2"/>
        </w:rPr>
        <w:t>comparado</w:t>
      </w:r>
    </w:p>
    <w:p w14:paraId="26935C0A" w14:textId="77777777" w:rsidR="009A6DDA" w:rsidRDefault="009A6DDA" w:rsidP="00EB144C">
      <w:pPr>
        <w:pStyle w:val="Textoindependiente"/>
        <w:spacing w:line="360" w:lineRule="auto"/>
        <w:ind w:left="0" w:firstLine="707"/>
        <w:jc w:val="both"/>
      </w:pPr>
      <w:r>
        <w:t>La última estrategia examina las políticas de seguridad aplicadas en países con problemáticas similares, esto es, Inglaterra, Argentina y Uruguay, seleccionados por criterios de pertinencia y de posibilidad de transferencia al contexto deportivo colombiano. Inglaterra representa una transformación profunda y sostenida en el tiempo, pues pasó de una violencia extrema en los años ochenta a convertirse en un referente mundial, lo cual da cuenta de que el cambio es posible incluso partiendo de una situación más adversa (Dunning, 1999).</w:t>
      </w:r>
    </w:p>
    <w:p w14:paraId="7E3EBDD3" w14:textId="77777777" w:rsidR="009A6DDA" w:rsidRDefault="009A6DDA" w:rsidP="00EB144C">
      <w:pPr>
        <w:pStyle w:val="Textoindependiente"/>
        <w:spacing w:line="360" w:lineRule="auto"/>
        <w:ind w:left="0" w:firstLine="707"/>
        <w:jc w:val="both"/>
      </w:pPr>
      <w:r>
        <w:t>Argentina entró en la comparación por lo mucho que se parece a Colombia: barras bravas con organización jerárquica y con nexos con actores políticos, niveles comparables de desigualdad, un consumo de sustancias que facilita la penetración del narcotráfico al interior de las hinchadas. Su régimen de restricción de concurrencia rige desde 2017 y su programa de control de acceso desde 2018, lo que permite evaluar qué resulta transferible y qué barreras aparecen en contextos culturalmente cercanos (Ministerio de Seguridad de la Nación, 2017). Uruguay, por último, aporta el ejemplo de una medida tecnológicamente más exigente, el reconocimiento facial, adoptada en un país de menor escala y con una institucionalidad deportiva concentrada, lo cual permite valorar el peso real del tamaño del sistema en este tipo de decisiones (Presidencia de la República Oriental del Uruguay, 2017).</w:t>
      </w:r>
    </w:p>
    <w:p w14:paraId="480551D2" w14:textId="77777777" w:rsidR="008F59D7" w:rsidRPr="00FF0028" w:rsidRDefault="005A53E5" w:rsidP="00EB144C">
      <w:pPr>
        <w:pStyle w:val="Ttulo1"/>
        <w:numPr>
          <w:ilvl w:val="0"/>
          <w:numId w:val="1"/>
        </w:numPr>
        <w:tabs>
          <w:tab w:val="left" w:pos="578"/>
        </w:tabs>
        <w:spacing w:line="360" w:lineRule="auto"/>
        <w:ind w:left="0" w:firstLine="0"/>
        <w:jc w:val="center"/>
      </w:pPr>
      <w:r>
        <w:rPr>
          <w:spacing w:val="-2"/>
        </w:rPr>
        <w:t>Resultados</w:t>
      </w:r>
    </w:p>
    <w:p w14:paraId="7F8DC1B2" w14:textId="77777777" w:rsidR="00FF0028" w:rsidRDefault="00FF0028" w:rsidP="00EB144C">
      <w:pPr>
        <w:pStyle w:val="Ttulo1"/>
        <w:tabs>
          <w:tab w:val="left" w:pos="578"/>
        </w:tabs>
        <w:spacing w:line="360" w:lineRule="auto"/>
        <w:ind w:left="0" w:firstLine="0"/>
      </w:pPr>
    </w:p>
    <w:p w14:paraId="370AD56D" w14:textId="7C4CCC43" w:rsidR="00FF0028" w:rsidRDefault="005A53E5" w:rsidP="00EB144C">
      <w:pPr>
        <w:pStyle w:val="Textoindependiente"/>
        <w:spacing w:line="360" w:lineRule="auto"/>
        <w:ind w:left="0" w:firstLine="707"/>
        <w:jc w:val="both"/>
      </w:pPr>
      <w:r>
        <w:rPr/>
        <w:t>Presentamos los resultados en cuatro partes: primero el perfil de la violencia en el fútbol colombiano, luego la responsabilidad jurídica de cada actor, después el impacto económico y al final la comparación con otros países. La división sirve solo para ordenar la lectura, porque en la realidad estos aspectos están conectados: las causas sociales producen violencia, la violencia genera pérdidas que les quitan a los clubes margen para invertir en seguridad, y la respuesta jurídica termina marcando los incentivos de todos.</w:t>
      </w:r>
    </w:p>
    <w:p w14:paraId="129165D9" w14:textId="776C034B" w:rsidR="00911A26" w:rsidRDefault="005A53E5" w:rsidP="00EB144C">
      <w:pPr>
        <w:pStyle w:val="Ttulo1"/>
        <w:numPr>
          <w:ilvl w:val="1"/>
          <w:numId w:val="1"/>
        </w:numPr>
        <w:tabs>
          <w:tab w:val="left" w:pos="698"/>
        </w:tabs>
        <w:spacing w:line="360" w:lineRule="auto"/>
        <w:ind w:left="0" w:firstLine="0"/>
        <w:jc w:val="left"/>
      </w:pPr>
      <w:r>
        <w:t>Perfil de la violencia asociada al fútbol colombiano</w:t>
      </w:r>
    </w:p>
    <w:p w14:paraId="6EFCF9A4" w14:textId="77777777" w:rsidR="00911A26" w:rsidRDefault="00911A26" w:rsidP="00EB144C">
      <w:pPr>
        <w:pStyle w:val="Textoindependiente"/>
        <w:spacing w:line="360" w:lineRule="auto"/>
        <w:ind w:left="0" w:firstLine="707"/>
        <w:jc w:val="both"/>
      </w:pPr>
      <w:r>
        <w:rPr/>
        <w:t>El primer rasgo del fenómeno es su magnitud, pues a pesar de las sanciones disciplinarias de la Dimayor y de los dispositivos de la Policía Nacional, las cifras disponibles no permiten afirmar que la violencia asociada al fútbol haya disminuido. El relevamiento de El País de Cali (2020), construido sobre datos de la Fiscalía General de la Nación y de Medicina Legal, registra 149 hinchas asesinados entre 2008 y 2020: un promedio cercano a doce por año, y eso sin contar heridos graves, daños materiales ni episodios sin víctimas fatales (Caracol Radio, 2020). La serie académica apunta en la misma dirección, con alrededor de 154 personas asesinadas entre 2004 y 2018 (Castro-Lozano, 2020, p. 176).</w:t>
      </w:r>
    </w:p>
    <w:p w14:paraId="7A01F12D" w14:textId="77777777" w:rsidR="00911A26" w:rsidRDefault="00911A26" w:rsidP="00EB144C">
      <w:pPr>
        <w:pStyle w:val="Textoindependiente"/>
        <w:spacing w:line="360" w:lineRule="auto"/>
        <w:ind w:left="0" w:firstLine="707"/>
        <w:jc w:val="both"/>
      </w:pPr>
      <w:r>
        <w:t>El segundo rasgo es la concentración de los hechos violentos. Estos episodios se presentan de manera más grave en los clásicos de las grandes ciudades, como el Clásico Paisa entre el Atlético Nacional y el Deportivo Independiente Medellín, el Capitalino entre Millonarios e Independiente Santa Fe y el del Pacífico entre el América de Cali y el Deportivo Cali, partidos de alta carga histórica que se juegan tanto por fuera como por dentro de los estadios y que concentran una tensión mayor antes y después del encuentro. La violencia, por lo demás, no cesa una vez terminado el partido, pues una parte considerable de los hechos ocurre en las inmediaciones, en el transporte público y en los trayectos de regreso, lo cual vuelve insuficientes los esquemas de seguridad y de logística, así como los despliegues a cargo de la Policía Nacional. El propio dato de El País de Cali lo confirma, pues todos los homicidios de esa serie ocurrieron por fuera de los escenarios deportivos (Caracol Radio, 2020).</w:t>
      </w:r>
    </w:p>
    <w:p w14:paraId="378E3B11" w14:textId="77777777" w:rsidR="00911A26" w:rsidRDefault="00911A26" w:rsidP="00EB144C">
      <w:pPr>
        <w:pStyle w:val="Textoindependiente"/>
        <w:spacing w:line="360" w:lineRule="auto"/>
        <w:ind w:left="0" w:firstLine="707"/>
        <w:jc w:val="both"/>
      </w:pPr>
      <w:r>
        <w:t>El tercer rasgo es la tipología de los incidentes. Según los reportes de prensa y los casos revisados, la modalidad más frecuente, y también la más letal, es el enfrentamiento entre barras rivales por fuera del estadio, por lo general con armas cortopunzantes.</w:t>
      </w:r>
    </w:p>
    <w:p w14:paraId="667CCE6B" w14:textId="77777777" w:rsidR="00911A26" w:rsidRDefault="00911A26" w:rsidP="00EB144C">
      <w:pPr>
        <w:pStyle w:val="Textoindependiente"/>
        <w:spacing w:line="360" w:lineRule="auto"/>
        <w:ind w:left="0"/>
        <w:jc w:val="both"/>
      </w:pPr>
      <w:r>
        <w:t>A esa modalidad le siguen los incidentes con elementos peligrosos dentro del recinto, tales como bengalas, piedras y objetos contundentes. Las agresiones a árbitros y jugadores resultan menos numerosas, pero pueden producir un daño desproporcionado sobre la imagen internacional del fútbol colombiano y sobre la disposición de los árbitros extranjeros a aceptar designaciones en el país.</w:t>
      </w:r>
    </w:p>
    <w:p w14:paraId="5D07D781" w14:textId="77777777" w:rsidR="00C321A0" w:rsidRDefault="00C321A0" w:rsidP="00EB144C">
      <w:pPr>
        <w:pStyle w:val="Textoindependiente"/>
        <w:spacing w:line="360" w:lineRule="auto"/>
        <w:ind w:left="0" w:firstLine="360"/>
        <w:jc w:val="both"/>
      </w:pPr>
      <w:r>
        <w:rPr/>
        <w:t>El cuarto hallazgo, tal vez el que más peso tiene en términos jurídicos, deja ver un contraste fuerte entre la cantidad de episodios violentos que ocurren y las condenas que finalmente se consiguen. Frente a las muertes que la serie académica registra entre 2004 y 2018, solo alrededor de 23 personas fueron condenadas por esos hechos (Castro-Lozano, 2020, p. 176). Como la fuente cuenta personas condenadas y no casos resueltos, la proporción exacta de homicidios impunes no puede establecerse, pero la distancia entre ambas cifras indica que la gran mayoría no ha tenido una condena conocida. El mensaje que se transmite resulta inquietante, porque quienes se involucran en estos hechos pueden asumir que la probabilidad de recibir una sanción es mínima, y con ello se debilita la prevención general, que es una de las funciones que el artículo 4 del Código Penal asigna a la pena junto con la retribución justa, la prevención especial, la reinserción social y la protección al condenado (Congreso de Colombia, 2000). La impunidad no afecta solo la disuasión: también frustra la respuesta retributiva que la víctima y la sociedad esperan del sistema penal. A nuestro juicio, buena parte de esta situación se explica por fallas de fondo: la ausencia de instrumentos eficaces para identificar a los asistentes, los sistemas de videovigilancia de alcance limitado y el temor de muchos testigos a declarar, por la presión que ejercen las barras sobre otros aficionados, convierten la obtención de pruebas en un obstáculo casi insalvable para el ejercicio de la acción penal.</w:t>
      </w:r>
    </w:p>
    <w:p w14:paraId="5D07D781" w14:textId="77777777" w:rsidR="00C321A0" w:rsidRDefault="00C321A0" w:rsidP="00EB144C">
      <w:pPr>
        <w:pStyle w:val="Textoindependiente"/>
        <w:spacing w:line="360" w:lineRule="auto"/>
        <w:ind w:left="0" w:firstLine="360"/>
        <w:jc w:val="both"/>
      </w:pPr>
      <w:r>
        <w:rPr/>
        <w:t>Para entender esa violencia hay que precisar qué papel cumplen las barras, porque no son un actor homogéneo. Tienen funciones positivas que el propio ordenamiento reconoce: dan identidad y pertenencia a jóvenes que no las encuentran en otros espacios, como observó Clavijo (2004) en Bogotá, y adelantan procesos culturales, comunitarios y de convivencia que el Plan Decenal de Seguridad, Comodidad y Convivencia en el Fútbol 2014-2024 agrupa bajo el nombre de barrismo social (Ministerio del Interior, 2014). Por eso la Corte Constitucional, en la Sentencia C-065 de 2021, aceptó que sus delegados participen con voz en las comisiones de seguridad. Su injerencia en la violencia viene de otros rasgos que conviven con los anteriores: las jerarquías internas y los códigos de “honor” que convierten la rivalidad en enfrentamiento (Clavijo, 2004), las disputas por territorios y trayectos que explican que los homicidios ocurran fuera de los estadios, el consumo de sustancias que Castaño Pérez et al. (2014) asociaron con la agresividad física y, en algunos casos, la captura de la barra por economías ilegales, como ocurrió en el Barón Rojo Sur. Nuestra posición es que la barra como colectivo no es la causa de la violencia, sino el espacio en el que actúan sus sectores violentos, y que por eso la respuesta debe separar la sanción individual al integrante violento de la intervención social sobre la barra, distinción que retomamos en la lectura de los casos y en la discusión.</w:t>
      </w:r>
    </w:p>
    <w:p w14:paraId="0A81C53C" w14:textId="5EA9E9E9" w:rsidR="00FF0028" w:rsidRPr="00FF0028" w:rsidRDefault="005A53E5" w:rsidP="00EB144C">
      <w:pPr>
        <w:pStyle w:val="Ttulo1"/>
        <w:numPr>
          <w:ilvl w:val="1"/>
          <w:numId w:val="1"/>
        </w:numPr>
        <w:tabs>
          <w:tab w:val="left" w:pos="698"/>
        </w:tabs>
        <w:spacing w:line="360" w:lineRule="auto"/>
        <w:ind w:left="0" w:firstLine="0"/>
        <w:jc w:val="left"/>
      </w:pPr>
      <w:r>
        <w:t>Tres</w:t>
      </w:r>
      <w:r>
        <w:rPr>
          <w:spacing w:val="-2"/>
        </w:rPr>
        <w:t xml:space="preserve"> </w:t>
      </w:r>
      <w:r>
        <w:t>casos</w:t>
      </w:r>
      <w:r>
        <w:rPr>
          <w:spacing w:val="-1"/>
        </w:rPr>
        <w:t xml:space="preserve"> </w:t>
      </w:r>
      <w:r>
        <w:rPr>
          <w:spacing w:val="-2"/>
        </w:rPr>
        <w:t>documentados</w:t>
      </w:r>
    </w:p>
    <w:p w14:paraId="4128CA7E" w14:textId="77777777" w:rsidR="008F59D7" w:rsidRDefault="00B10667" w:rsidP="00EB144C">
      <w:pPr>
        <w:pStyle w:val="Textoindependiente"/>
        <w:spacing w:line="360" w:lineRule="auto"/>
        <w:ind w:left="0" w:firstLine="707"/>
        <w:jc w:val="both"/>
      </w:pPr>
      <w:r>
        <w:t>En aras de cumplir el componente de análisis de casos anunciado en la metodología, se examinan tres episodios documentados, seleccionados con los criterios expuestos en la metodología, que dan cuenta de modalidades distintas del mismo fenómeno. Cada uno se expone en dos momentos: primero los hechos, tal como los registra la fuente, y luego una lectura jurídica que responde a las tres preguntas formuladas en la metodología, esto es, qué régimen de responsabilidad se activa, sobre qué actor recae y qué obstáculo impide hacerla efectiva. Esa lectura se retoma después en el análisis de la responsabilidad de los actores, en la comparación internacional y en las conclusiones.</w:t>
      </w:r>
    </w:p>
    <w:p w14:paraId="54ED1A04" w14:textId="77777777" w:rsidR="008F59D7" w:rsidRDefault="005A53E5" w:rsidP="00EB144C">
      <w:pPr>
        <w:pStyle w:val="Textoindependiente"/>
        <w:spacing w:line="360" w:lineRule="auto"/>
        <w:ind w:left="0" w:firstLine="707"/>
        <w:jc w:val="both"/>
      </w:pPr>
      <w:r>
        <w:rPr>
          <w:b/>
        </w:rPr>
        <w:t xml:space="preserve">Caso 1. El homicidio de Andrés Carvajal (Cali, febrero de 2020). </w:t>
      </w:r>
      <w:r>
        <w:t>Andrés Carvajal, de 27 años, hincha del América de Cali, fue atacado por seguidores del equipo rival en el contexto del clásico caleño frente al Deportivo Cali y murió a causa de dos heridas con arma blanca (Caracol Radio, 2020). El caso da cuenta de una de las modalidades de violencia más peligrosas identificadas en este estudio, esto es, el enfrentamiento de hinchas por fuera de los escenarios deportivos con armas cortopunzantes. A ello se suma que la dificultad probatoria es casi una característica de estos hechos, pues individualizar a los autores materiales dentro de un grupo masivo, sin mecanismos técnicos como cámaras o identificación de asistentes, deja a la Fiscalía General de la Nación sin elementos de convicción suficientes, de modo que rara vez se logra identificar y condenar a los responsables. El episodio ilustra la impunidad descrita en el apartado anterior.</w:t>
      </w:r>
    </w:p>
    <w:p w14:paraId="270BE7EB" w14:textId="77777777" w:rsidR="0084558A" w:rsidRDefault="00000000" w:rsidP="00EB144C">
      <w:pPr>
        <w:pStyle w:val="Textoindependiente"/>
        <w:spacing w:line="360" w:lineRule="auto"/>
        <w:ind w:left="0" w:firstLine="707"/>
        <w:jc w:val="both"/>
      </w:pPr>
      <w:r>
        <w:rPr>
          <w:b/>
        </w:rPr>
        <w:t xml:space="preserve">Lectura jurídica del caso 1. </w:t>
      </w:r>
      <w:r>
        <w:rPr/>
        <w:t>Lo primero que activan los hechos es la responsabilidad penal individual por homicidio. Imputarla exige individualizar a cada partícipe y probar su aporte concreto al resultado, como lo ha reiterado la Sala de Casación Penal al exigir la identificación del imputado, punto que retomamos más adelante (Corte Suprema de Justicia, Sala de Casación Penal, 2022). La sola pertenencia a la barra agresora no permite atribuirle a alguien la muerte, y en ese punto se detiene el caso, porque sin registros de ingreso ni videovigilancia útil la investigación depende de testigos que temen declarar.</w:t>
      </w:r>
    </w:p>
    <w:p w14:paraId="270BE7EB" w14:textId="77777777" w:rsidR="0084558A" w:rsidRDefault="00000000" w:rsidP="00EB144C">
      <w:pPr>
        <w:pStyle w:val="Textoindependiente"/>
        <w:spacing w:line="360" w:lineRule="auto"/>
        <w:ind w:left="0" w:firstLine="707"/>
        <w:jc w:val="both"/>
      </w:pPr>
      <w:r>
        <w:rPr/>
        <w:t>En lo civil, el homicidio de Andrés Carvajal muestra un límite que retomamos en el apartado siguiente. Carvajal fue atacado fuera del estadio, así que no estaba ejecutando ningún contrato de ingreso al espectáculo y no se puede invocar a su favor el deber de seguridad contractual del organizador; cargarle al club un daño causado en la calle por personas que no controlaba también es difícil de sostener. Queda entonces el Estado, al que le corresponde de manera indelegable el orden público alrededor de los partidos (Consejo de Estado, Sala de Consulta y Servicio Civil, 2025). Una demanda por omisión con base en el artículo 90 de la Constitución Política tendría que probar que el riesgo era conocido y que el dispositivo policial desplegado para ese partido fue insuficiente. El régimen disciplinario de la Dimayor aporta poco en hechos como este, pues se dirige al club y no al agresor y se ocupa de lo que ocurre en el escenario con ocasión del partido.</w:t>
      </w:r>
    </w:p>
    <w:p w14:paraId="0ECCDB65" w14:textId="77777777" w:rsidR="008F59D7" w:rsidRDefault="005A53E5" w:rsidP="00EB144C">
      <w:pPr>
        <w:pStyle w:val="Textoindependiente"/>
        <w:spacing w:line="360" w:lineRule="auto"/>
        <w:ind w:left="0" w:firstLine="707"/>
        <w:jc w:val="both"/>
      </w:pPr>
      <w:r>
        <w:rPr>
          <w:b/>
        </w:rPr>
        <w:t>Caso</w:t>
      </w:r>
      <w:r>
        <w:rPr>
          <w:b/>
        </w:rPr>
        <w:t xml:space="preserve"> </w:t>
      </w:r>
      <w:r>
        <w:rPr>
          <w:b/>
        </w:rPr>
        <w:t>2.</w:t>
      </w:r>
      <w:r>
        <w:rPr>
          <w:b/>
        </w:rPr>
        <w:t xml:space="preserve"> </w:t>
      </w:r>
      <w:r>
        <w:rPr>
          <w:b/>
        </w:rPr>
        <w:t>La</w:t>
      </w:r>
      <w:r>
        <w:rPr>
          <w:b/>
        </w:rPr>
        <w:t xml:space="preserve"> </w:t>
      </w:r>
      <w:r>
        <w:rPr>
          <w:b/>
        </w:rPr>
        <w:t>infiltración</w:t>
      </w:r>
      <w:r>
        <w:rPr>
          <w:b/>
        </w:rPr>
        <w:t xml:space="preserve"> </w:t>
      </w:r>
      <w:r>
        <w:rPr>
          <w:b/>
        </w:rPr>
        <w:t>del</w:t>
      </w:r>
      <w:r>
        <w:rPr>
          <w:b/>
        </w:rPr>
        <w:t xml:space="preserve"> </w:t>
      </w:r>
      <w:r>
        <w:rPr>
          <w:b/>
        </w:rPr>
        <w:t>narcotráfico</w:t>
      </w:r>
      <w:r>
        <w:rPr>
          <w:b/>
        </w:rPr>
        <w:t xml:space="preserve"> </w:t>
      </w:r>
      <w:r>
        <w:rPr>
          <w:b/>
        </w:rPr>
        <w:t>en</w:t>
      </w:r>
      <w:r>
        <w:rPr>
          <w:b/>
        </w:rPr>
        <w:t xml:space="preserve"> </w:t>
      </w:r>
      <w:r>
        <w:rPr>
          <w:b/>
        </w:rPr>
        <w:t>el</w:t>
      </w:r>
      <w:r>
        <w:rPr>
          <w:b/>
        </w:rPr>
        <w:t xml:space="preserve"> </w:t>
      </w:r>
      <w:r>
        <w:rPr>
          <w:b/>
        </w:rPr>
        <w:t>Barón</w:t>
      </w:r>
      <w:r>
        <w:rPr>
          <w:b/>
        </w:rPr>
        <w:t xml:space="preserve"> </w:t>
      </w:r>
      <w:r>
        <w:rPr>
          <w:b/>
        </w:rPr>
        <w:t>Rojo</w:t>
      </w:r>
      <w:r>
        <w:rPr>
          <w:b/>
        </w:rPr>
        <w:t xml:space="preserve"> </w:t>
      </w:r>
      <w:r>
        <w:rPr>
          <w:b/>
        </w:rPr>
        <w:t>Sur</w:t>
      </w:r>
      <w:r>
        <w:rPr>
          <w:b/>
        </w:rPr>
        <w:t xml:space="preserve"> </w:t>
      </w:r>
      <w:r>
        <w:rPr>
          <w:b/>
        </w:rPr>
        <w:t xml:space="preserve">(Cali). </w:t>
      </w:r>
      <w:r>
        <w:rPr/>
        <w:t>Este caso lo conocimos por una investigación de la Fiscalía General de la Nación, que encontró dentro de la barra Barón Rojo Sur, del América de Cali, una red de tráfico de estupefacientes y lavado de activos que se movía camuflada entre los hinchas. Lo que más nos llamó la atención fue el saldo de las peleas internas por el control del negocio, que dejaron cerca de una veintena de homicidios en la propia ciudad (Caracol Radio, 2020). Aquí la barra deja de ser solo el lugar donde estalla una violencia expresiva y pasa a funcionar como vehículo de una economía ilegal, y con ese cambio el riesgo es otro: ya no bastan las medidas de convivencia, porque hace falta una investigación criminal de tipo estructural que vaya de la mano con la intervención social.</w:t>
      </w:r>
    </w:p>
    <w:p w14:paraId="64096DEF" w14:textId="77777777" w:rsidR="0084558A" w:rsidRDefault="00000000" w:rsidP="00EB144C">
      <w:pPr>
        <w:pStyle w:val="Textoindependiente"/>
        <w:spacing w:line="360" w:lineRule="auto"/>
        <w:ind w:left="0" w:firstLine="707"/>
        <w:jc w:val="both"/>
      </w:pPr>
      <w:r>
        <w:rPr>
          <w:b/>
        </w:rPr>
        <w:t xml:space="preserve">Lectura jurídica del caso 2. </w:t>
      </w:r>
      <w:r>
        <w:rPr/>
        <w:t>Aquí ya no estamos ante violencia entre hinchas, sino ante crimen organizado. Vistos en abstracto, los hechos que describe la investigación encajan en delitos como el concierto para delinquir, el tráfico de estupefacientes y el lavado de activos (artículos 340, 376 y 323 del Código Penal). Los bienes, además, podrían perseguirse con la acción de extinción de dominio (Congreso de Colombia, 2014). Lo que más pesa del caso, jurídicamente hablando, es que la barra como tal no responde, ni en lo penal ni en lo civil. Por regla general estas agrupaciones no tienen personalidad jurídica. Por eso responde cada integrante del Barón Rojo Sur por lo que hizo dentro de la red, y no la barra. El caso también obliga a leer con cuidado la Sentencia C-065 de 2021, que reconoció a las barras como interlocutoras en las comisiones de seguridad pensando en organizaciones sociales de aficionados y no en grupos que usan la barra de fachada para traficar; esas comisiones necesitan filtros para no darles legitimidad. A los clubes el caso les plantea sobre todo un problema disciplinario y de reputación, más que civil. Si le dan a la barra boletas u otros beneficios, ese apoyo podría acabar financiando la estructura ilegal. No tenemos pruebas de que eso haya pasado en este caso, y por eso lo dejamos solo como un riesgo.</w:t>
      </w:r>
    </w:p>
    <w:p w14:paraId="58CB4529" w14:textId="77777777" w:rsidR="008F59D7" w:rsidRDefault="005A53E5" w:rsidP="00EB144C">
      <w:pPr>
        <w:pStyle w:val="Textoindependiente"/>
        <w:spacing w:line="360" w:lineRule="auto"/>
        <w:ind w:left="0" w:firstLine="707"/>
        <w:jc w:val="both"/>
      </w:pPr>
      <w:r>
        <w:rPr>
          <w:b/>
        </w:rPr>
        <w:t xml:space="preserve">Caso 3. La red transnacional entre la barra del Atlético Nacional y la del club Laferrere (2018). </w:t>
      </w:r>
      <w:r>
        <w:rPr/>
        <w:t>En 2018 fueron detenidos unos quince integrantes de la barra del Atlético Nacional por participar en una red que enviaba droga a Argentina, donde la distribuía la barra del club Laferrere (Caracol Radio, 2020). Que dos hinchadas de países distintos se articularan para un negocio ilegal deja ver que la dimensión criminal que adoptan algunos sectores del barrismo puede cruzar fronteras y enlazarse con organizaciones más grandes, y por eso se necesita cooperación entre autoridades judiciales y de policía.</w:t>
      </w:r>
    </w:p>
    <w:p w14:paraId="09291FD9" w14:textId="77777777" w:rsidR="0084558A" w:rsidRDefault="00000000" w:rsidP="00EB144C">
      <w:pPr>
        <w:pStyle w:val="Textoindependiente"/>
        <w:spacing w:line="360" w:lineRule="auto"/>
        <w:ind w:left="0" w:firstLine="707"/>
        <w:jc w:val="both"/>
      </w:pPr>
      <w:r>
        <w:rPr>
          <w:b/>
        </w:rPr>
        <w:t xml:space="preserve">Lectura jurídica del caso 3. </w:t>
      </w:r>
      <w:r>
        <w:rPr/>
        <w:t>Incluimos este caso, aunque no gira en torno a una agresión entre hinchas, porque muestra que estructuras como la que en el caso 2 dejó homicidios en Cali pueden extender su negocio fuera del país. Su lectura muestra, además, hasta dónde llegan las herramientas nacionales, porque la responsabilidad vuelve a ser penal e individual, pero perseguirla depende de que colaboren jueces y policías de dos Estados, ya que la conducta empieza en Colombia y termina en Argentina. También nos interesa por lo que adelanta de la comparación: el programa argentino Tribuna Segura, que estudiamos más adelante, cruza la identidad de quien entra al estadio con las bases de personas con orden de captura, de modo que un integrante de una red como esta podría ser detectado en la puerta. En Colombia eso no ocurre, porque en los accesos nadie verifica quién entra, salvo en los pilotos que describimos luego. Del lado del club no vemos base para una responsabilidad civil o disciplinaria deportiva, pues el negocio ilegal no tiene relación con la organización del partido.</w:t>
      </w:r>
    </w:p>
    <w:p w14:paraId="09B7752B" w14:textId="77777777" w:rsidR="0084558A" w:rsidRDefault="00000000" w:rsidP="00EB144C">
      <w:pPr>
        <w:pStyle w:val="Textoindependiente"/>
        <w:spacing w:line="360" w:lineRule="auto"/>
        <w:ind w:left="0" w:firstLine="707"/>
        <w:jc w:val="both"/>
      </w:pPr>
      <w:r>
        <w:rPr/>
        <w:t>Vistos juntos, los tres casos dejan algunas conclusiones que guían el resto del análisis. La responsabilidad penal es siempre individual, y su efectividad depende de que se identifique al autor; eso explica la brecha entre muertes y condenas descrita en el apartado anterior y el peso que damos en este trabajo a los sistemas de identificación de asistentes. La responsabilidad civil del organizador, en cambio, no alcanza a cubrir todos los daños asociados al fútbol, pues depende del lugar donde se produjo el daño y de la relación jurídica en que estaba la víctima; sobre esto volvemos enseguida. Y el caso del Barón Rojo Sur, con cerca de una veintena de homicidios ligados al control del negocio, muestra que cuando la barra sirve de vehículo a economías ilegales las herramientas de convivencia y las sanciones disciplinarias deportivas no alcanzan, y la respuesta tiene que venir de la investigación criminal. De los tres casos solo contamos el estado procesal que documenta la fuente, sin dar por hechas condenas que no consten en registros verificables, y no los presentamos como retrato del barrismo: los escogimos por su utilidad para el análisis jurídico, y de ellos no se sigue que todos los integrantes de las barras cometan delitos. Al lado de estas expresiones existe un barrismo social, reconocido en el Plan Decenal de Seguridad, Comodidad y Convivencia en el Fútbol 2014-2024, que adelanta procesos culturales, comunitarios y de convivencia (Ministerio del Interior, 2014). Por eso distinguimos entre la sanción individual al integrante violento y la intervención social sobre la barra como colectivo, distinción que retomamos en la discusión.</w:t>
      </w:r>
    </w:p>
    <w:p w14:paraId="5E16A1F9" w14:textId="77777777" w:rsidR="008F59D7" w:rsidRDefault="005A53E5" w:rsidP="00EB144C">
      <w:pPr>
        <w:pStyle w:val="Ttulo1"/>
        <w:numPr>
          <w:ilvl w:val="1"/>
          <w:numId w:val="1"/>
        </w:numPr>
        <w:tabs>
          <w:tab w:val="left" w:pos="698"/>
        </w:tabs>
        <w:spacing w:line="360" w:lineRule="auto"/>
        <w:ind w:left="0" w:firstLine="0"/>
        <w:jc w:val="left"/>
      </w:pPr>
      <w:r>
        <w:t>Responsabilidad</w:t>
      </w:r>
      <w:r>
        <w:rPr>
          <w:spacing w:val="-2"/>
        </w:rPr>
        <w:t xml:space="preserve"> </w:t>
      </w:r>
      <w:r>
        <w:t>jurídica</w:t>
      </w:r>
      <w:r>
        <w:rPr>
          <w:spacing w:val="-2"/>
        </w:rPr>
        <w:t xml:space="preserve"> </w:t>
      </w:r>
      <w:r>
        <w:t>de</w:t>
      </w:r>
      <w:r>
        <w:rPr>
          <w:spacing w:val="-2"/>
        </w:rPr>
        <w:t xml:space="preserve"> </w:t>
      </w:r>
      <w:r>
        <w:t>los</w:t>
      </w:r>
      <w:r>
        <w:rPr>
          <w:spacing w:val="-1"/>
        </w:rPr>
        <w:t xml:space="preserve"> </w:t>
      </w:r>
      <w:r>
        <w:rPr>
          <w:spacing w:val="-2"/>
        </w:rPr>
        <w:t>actores</w:t>
      </w:r>
    </w:p>
    <w:p w14:paraId="2550C5DE" w14:textId="77777777" w:rsidR="008F59D7" w:rsidRDefault="005A53E5" w:rsidP="00EB144C">
      <w:pPr>
        <w:pStyle w:val="Textoindependiente"/>
        <w:spacing w:line="360" w:lineRule="auto"/>
        <w:ind w:left="0" w:firstLine="707"/>
        <w:jc w:val="both"/>
      </w:pPr>
      <w:r>
        <w:rPr/>
        <w:t>En el papel, el marco normativo colombiano es amplio, aunque falla en su ejecución. Todo arranca en la Constitución Política, que protege la vida, la integridad, la seguridad, la libre asociación y el derecho al deporte. Con la Ley 1270 de 2009 el legislador quiso darle al tema una institucionalidad propia y creó la Comisión Nacional para la Seguridad, Comodidad y Convivencia en el Fútbol, junto con las comisiones locales; dos años después, la Ley 1445 de 2011, modificada por la Ley 1453 de ese mismo año, introdujo medidas contra la agresión, el daño a la infraestructura y las conductas que afectan la convivencia. A eso se suma el Código Penal, cuyos tipos permiten perseguir el homicidio, las lesiones personales, el daño en bien ajeno, las amenazas y el lanzamiento o ingreso de objetos peligrosos en escenarios deportivos (Congreso de Colombia, 2000, 2009, 2011a, 2011b).</w:t>
      </w:r>
    </w:p>
    <w:p w14:paraId="2550C5DE" w14:textId="77777777" w:rsidR="008F59D7" w:rsidRDefault="005A53E5" w:rsidP="00EB144C">
      <w:pPr>
        <w:pStyle w:val="Textoindependiente"/>
        <w:spacing w:line="360" w:lineRule="auto"/>
        <w:ind w:left="0" w:firstLine="707"/>
        <w:jc w:val="both"/>
      </w:pPr>
      <w:r>
        <w:rPr/>
        <w:t>Antes de analizar a cada actor conviene ordenar los regímenes de responsabilidad que aparecen a lo largo del trabajo, porque cumplen funciones distintas y no deben confundirse. El derecho penal castiga las conductas más graves, como el homicidio, las lesiones personales, el daño en bien ajeno, las amenazas o el lanzamiento de objetos peligrosos en escenarios deportivos, y solo se aplica a personas naturales, mediante un proceso que adelantan la Fiscalía General de la Nación y los jueces penales (Congreso de Colombia, 2000). En el derecho administrativo sancionador, al que también nos referimos como sancionatorio, están las sanciones que imponen las autoridades sin que haya delito. En el fútbol tiene dos expresiones: la contravencional o de policía, que aplica el Código Nacional de Seguridad y Convivencia Ciudadana, y la especial que la Ley 1445 de 2011 creó para el espectáculo deportivo, cuyo contenido detallamos más adelante (Congreso de Colombia, 2011a, 2016).</w:t>
      </w:r>
    </w:p>
    <w:p w14:paraId="2550C5DE" w14:textId="77777777" w:rsidR="008F59D7" w:rsidRDefault="005A53E5" w:rsidP="00EB144C">
      <w:pPr>
        <w:pStyle w:val="Textoindependiente"/>
        <w:spacing w:line="360" w:lineRule="auto"/>
        <w:ind w:left="0" w:firstLine="707"/>
        <w:jc w:val="both"/>
      </w:pPr>
      <w:r>
        <w:rPr/>
        <w:t>Lo que en el fútbol se conoce como régimen disciplinario es algo distinto. Se trata del poder sancionador que la Federación Colombiana de Fútbol y la Dimayor ejercen, como entidades privadas, sobre sus afiliados, es decir, sobre clubes, jugadores y dirigentes, conforme al Código Disciplinario Único (Federación Colombiana de Fútbol, 2026). Por eso hablamos de régimen disciplinario deportivo y no de derecho disciplinario, expresión que en Colombia designa el régimen de los servidores públicos, recogido hoy en la Ley 1952 de 2019, Código General Disciplinario (Congreso de Colombia, 2019). La diferencia se ve en la Resolución 095 de 2024: la Dimayor multó al Junior por la conducta impropia de sus espectadores, pero la multa no recayó sobre ninguno de los hinchas que la provocaron, porque ellos no están afiliados a la Federación y el régimen deportivo solo los alcanza a través del club. Sobre el hincha recaen, en cambio, el derecho penal y el administrativo sancionador, y por eso en los casos que estudiamos una multa al club puede convivir con la impunidad del agresor.</w:t>
      </w:r>
    </w:p>
    <w:p w14:paraId="26C3AB85" w14:textId="77777777" w:rsidR="008F59D7" w:rsidRDefault="005E4666" w:rsidP="00EB144C">
      <w:pPr>
        <w:pStyle w:val="Textoindependiente"/>
        <w:spacing w:line="360" w:lineRule="auto"/>
        <w:ind w:left="0" w:firstLine="707"/>
        <w:jc w:val="both"/>
      </w:pPr>
      <w:r>
        <w:rPr/>
        <w:t>Los hinchas y los integrantes de las barras pueden responder, entonces, por tres vías: la penal y las dos del derecho administrativo sancionador. La penal aparece cuando la conducta daña bienes jurídicos como la vida, la integridad, la seguridad pública o la propiedad. La contravencional se ocupa de lo que afecta la convivencia sin llegar a delito. En ese caso las autoridades de policía imponen las medidas correctivas del Código Nacional de Seguridad y Convivencia Ciudadana, como multas y actividades pedagógicas (Congreso de Colombia, 2016). La tercera es la administrativa especial que la Ley 1445 de 2011 creó solo para el espectáculo deportivo. Sus artículos 14 y 15 castigan, entre otras cosas, portar armas o estupefacientes, invadir la cancha, agredir física o verbalmente a otras personas o dañar la infraestructura. Las multas llegan a cien salarios mínimos, y se puede prohibir la entrada a escenarios deportivos entre seis meses y seis años, según la gravedad (Congreso de Colombia, 2011a). Estas sanciones no requieren que haya delito y funcionan como una restricción personal de entrada al estadio, que solo sirve si se puede verificar quién entra, como veremos. En lo penal, la Sala de Casación Penal de la Corte Suprema de Justicia ha exigido probar de manera individual y estricta quién es el imputado y cómo participó en el hecho. En la Sentencia SP3573-2022, radicación 55480, la Corte mantuvo una condena por homicidio agravado después de revisar y validar cómo se identificó al procesado (Corte Suprema de Justicia, Sala de Casación Penal, 2022). Con esa exigencia se entiende cómo suelen terminar hechos como el del caso 1, en los que lo difícil no es saber qué delito se cometió, sino probar quién lo cometió. Sobre otra providencia conviene hacer una aclaración, para no atribuirle más de lo que dice: citamos la Sentencia SP289-2023, radicación 63567, solo por la regla general de que la riña acordada de antemano descarta la legítima defensa. El caso fue una pelea pactada entre dos menores escolares en una cancha de barrio en Cali, por un episodio de matoneo, y no un hecho de violencia de barras en el fútbol profesional (Corte Suprema de Justicia, Sala de Casación Penal, 2023).</w:t>
      </w:r>
    </w:p>
    <w:p w14:paraId="3B97C6F0" w14:textId="77777777" w:rsidR="00C321A0" w:rsidRDefault="00C321A0" w:rsidP="00EB144C">
      <w:pPr>
        <w:pStyle w:val="Textoindependiente"/>
        <w:spacing w:line="360" w:lineRule="auto"/>
        <w:ind w:left="0" w:firstLine="707"/>
        <w:jc w:val="both"/>
      </w:pPr>
      <w:r>
        <w:rPr/>
        <w:t>Con las cifras hay que ir con cuidado, porque no sería serio dar un número nacional único de delitos cometidos en estadios cuando ninguna fuente pública clasifica, caso por caso, cuáles hechos están ligados al fútbol. Lo prudente es ordenar las conductas según su encuadre jurídico: si se afecta la vida, hablamos de homicidio o de tentativa, y si se compromete la integridad, de lesiones personales. El daño a la infraestructura es daño en bien ajeno, y el uso de objetos peligrosos que ponen en riesgo a la colectividad cae en los delitos contra la seguridad pública. Lo que altera la convivencia sin llegar al umbral penal se maneja con las medidas correctivas del Código Nacional de Seguridad y Convivencia Ciudadana (Congreso de Colombia, 2016). Clasificar así evita un error bastante común, que es sumar a la cifra penal incidentes que solo dieron lugar a sanciones deportivas o de policía y que carecen de respaldo probatorio.</w:t>
      </w:r>
    </w:p>
    <w:p w14:paraId="48B7B2D0" w14:textId="77777777" w:rsidR="00807E98" w:rsidRPr="00807E98" w:rsidRDefault="00807E98" w:rsidP="00EB144C">
      <w:pPr>
        <w:pStyle w:val="Textoindependiente"/>
        <w:spacing w:line="360" w:lineRule="auto"/>
        <w:ind w:left="0" w:firstLine="720"/>
        <w:jc w:val="both"/>
      </w:pPr>
      <w:r>
        <w:rPr/>
        <w:t>Clubes y organizadores del espectáculo tienen deberes civiles, disciplinarios deportivos y administrativos. Nos detenemos en los civiles, porque son la puerta que el ordenamiento deja abierta a las víctimas, y para analizarlos hay que empezar por una distinción: no está en la misma situación el asistente que compró la boleta que el tercero que, sin ningún vínculo con el organizador, sufre un daño relacionado con el evento. Al primero lo une un contrato con el organizador, y su reclamación sigue las reglas de la responsabilidad contractual; el segundo solo puede acudir a la extracontractual. Cada régimen tiene sus propios fundamentos, cargas probatorias y causales de exoneración. Y la jurisprudencia civil colombiana ha sostenido tradicionalmente que la víctima no puede escoger entre ellos ni acumularlos cuando el daño viene del incumplimiento de un contrato (Tamayo Jaramillo, 2007).</w:t>
      </w:r>
    </w:p>
    <w:p w14:paraId="4A53B64B" w14:textId="77777777" w:rsidR="0084558A" w:rsidRDefault="00000000" w:rsidP="00EB144C">
      <w:pPr>
        <w:pStyle w:val="Textoindependiente"/>
        <w:spacing w:line="360" w:lineRule="auto"/>
        <w:ind w:left="0" w:firstLine="720"/>
        <w:jc w:val="both"/>
      </w:pPr>
      <w:r>
        <w:rPr>
          <w:b/>
        </w:rPr>
        <w:t xml:space="preserve">El asistente con boleta: responsabilidad contractual. </w:t>
      </w:r>
      <w:r>
        <w:rPr/>
        <w:t>Quien compra la entrada celebra con el organizador un contrato de espectáculo público. El organizador se compromete a dejarlo ver el partido y el espectador a pagar el precio. En la boleta casi nunca aparece escrito el deber de seguridad, pero hace parte del contrato por mandato del artículo 1603 del Código Civil, según el cual los contratos obligan “no solo a lo que en ellos se expresa, sino a todas las cosas que emanan precisamente de la naturaleza de la obligación” (Congreso de los Estados Unidos de Colombia, 1873). El artículo 871 del Código de Comercio repite la regla para los contratos mercantiles (Presidencia de la República de Colombia, 1971). Quien vende la entrada a un lugar donde reúne a miles de personas, controla las puertas y pone las condiciones de permanencia asume también, como obligación accesoria, la de procurar que el asistente salga sano y salvo. El Estatuto del Consumidor refuerza ese deber, porque exige que los productos y servicios, usados en condiciones normales, no pongan en riesgo irrazonable la salud o la integridad de las personas (Congreso de Colombia, 2011c). El Decreto 1007 de 2012, que expidió el Estatuto del Aficionado al Fútbol, va en la misma línea (Presidencia de la República de Colombia, 2012). Si un asistente resulta herido en la tribuna por un objeto que pasó la requisa, por ejemplo, le basta la boleta para probar el contrato; lo que debe demostrar es que el daño ocurrió mientras se ejecutaba ese contrato, al entrar, al estar o al salir del estadio, que obedeció a una falla en la seguridad que el organizador tenía que garantizar y que hay un nexo causal entre esa falla y el daño.</w:t>
      </w:r>
    </w:p>
    <w:p w14:paraId="08854832" w14:textId="77777777" w:rsidR="0084558A" w:rsidRDefault="00000000" w:rsidP="00EB144C">
      <w:pPr>
        <w:pStyle w:val="Textoindependiente"/>
        <w:spacing w:line="360" w:lineRule="auto"/>
        <w:ind w:left="0" w:firstLine="720"/>
        <w:jc w:val="both"/>
      </w:pPr>
      <w:r>
        <w:rPr/>
        <w:t>La cuestión decisiva en este régimen es la intensidad del deber. Si se entiende como una obligación de medios, al organizador se le exige desplegar la diligencia propia de un profesional del espectáculo, y conforme al inciso tercero del artículo 1604 del Código Civil la prueba de esa diligencia le corresponde a él, de manera que, demostrado el daño sufrido durante el evento, puede liberarse acreditando que adoptó las medidas de seguridad exigibles. Si se entiende como una obligación de resultado, la diligencia no basta y solo lo libera la causa extraña. La doctrina no es unánime en este punto (Tamayo Jaramillo, 2007). A nuestro juicio, lo más consistente es verla como una obligación de medios de intensidad reforzada: el asistente no controla ninguno de los riesgos que genera la aglomeración y se limita a ocupar el lugar que le asignan, pero tampoco sería razonable pedirle al organizador que garantice que no habrá ni una sola agresión en un recinto con miles de personas. Dos consecuencias prácticas separan este régimen del extracontractual: aquí la diligencia probada sí sirve para exonerarse, cosa que no ocurre bajo el artículo 2356, y, salvo dolo, el organizador solo responde “de los perjuicios que se previeron o pudieron preverse al tiempo del contrato”, como dispone el artículo 1616 del Código Civil.</w:t>
      </w:r>
    </w:p>
    <w:p w14:paraId="7C2F5DAF" w14:textId="77777777" w:rsidR="0084558A" w:rsidRDefault="00000000" w:rsidP="00EB144C">
      <w:pPr>
        <w:pStyle w:val="Textoindependiente"/>
        <w:spacing w:line="360" w:lineRule="auto"/>
        <w:ind w:left="0" w:firstLine="720"/>
        <w:jc w:val="both"/>
      </w:pPr>
      <w:r>
        <w:rPr>
          <w:b/>
        </w:rPr>
        <w:t xml:space="preserve">El tercero sin vínculo contractual: responsabilidad extracontractual. </w:t>
      </w:r>
      <w:r>
        <w:rPr/>
        <w:t>Otra cosa pasa con el vecino al que se le daña la casa, con el peatón al que le cae un objeto lanzado desde la tribuna o con quien, sin boleta, sufre un daño dentro del perímetro que controla el organizador. Como el club no tiene contrato con ellos, su reclamación va por la vía extracontractual, y puede apoyarse en la regla general del artículo 2341 del Código Civil, en la responsabilidad por el hecho de los dependientes del artículo 2347 (que cubre al personal de logística) o, si el daño viene del ejercicio de la actividad, en el régimen de actividades peligrosas del artículo 2356. Por esta vía reclaman también los familiares de un asistente muerto cuando piden por su propio perjuicio. Las acciones que heredan de él, en cambio, siguen siendo contractuales. Es en este terreno, y no en la relación con el asistente, donde creemos que un evento masivo puede tratarse como actividad peligrosa, figura cuyo desarrollo en la jurisprudencia recoge la propia relatoría de la Sala (Corte Suprema de Justicia, Sala de Casación Civil, 2021c).</w:t>
      </w:r>
    </w:p>
    <w:p w14:paraId="4029F344" w14:textId="77777777" w:rsidR="0084558A" w:rsidRDefault="00000000" w:rsidP="00EB144C">
      <w:pPr>
        <w:pStyle w:val="Textoindependiente"/>
        <w:spacing w:line="360" w:lineRule="auto"/>
        <w:ind w:left="0" w:firstLine="720"/>
        <w:jc w:val="both"/>
      </w:pPr>
      <w:r>
        <w:t xml:space="preserve">El alcance de ese régimen quedó fijado en la Sentencia SC2905-2021 de la Sala de </w:t>
      </w:r>
      <w:r>
        <w:lastRenderedPageBreak/>
        <w:t>Casación Civil de la Corte Suprema de Justicia, del 29 de julio de 2021, expediente 11001-31-03-032-2015-00230-01, con ponencia de Aroldo Wilson Quiroz Monsalvo. El caso lo originó la construcción de un edificio que, por un muro perimetral levantado por encima de la altura autorizada en la licencia y sin aislamiento respecto del predio vecino, produjo humedades, grietas y filtraciones en la vivienda colindante. Lo relevante para este trabajo es el encuadre: “correspondiendo el hecho generador de la lesión al levantamiento de una edificación, procede su encuadramiento bajo la teoría de las actividades peligrosas desarrollada con base en el artículo 2356 ibídem”. Si levantar una obra basta para activar el régimen, la organización de un espectáculo con aforo masivo, control de accesos y gestión de multitudes difícilmente quedaría por fuera. Sobre el reparto de cargas la Sala fue explícita: a la víctima “le basta acreditar el ejercicio de la actividad peligrosa desarrollada por su contendiente, el daño que padeció y la relación de causalidad entre aquella y este”, mientras que “el demandado sólo puede exonerarse demostrando que el perjuicio no fue producido por dicha operación, es decir, que obedeció al devenir de un elemento extraño y exclusivo”. De ahí la advertencia que dirige a la defensa: “Es desacertado, entonces, enfocar la defensa alegando la ausencia de culpa de los enjuiciados” (Corte Suprema de Justicia, Sala de Casación Civil, 2021b).</w:t>
      </w:r>
    </w:p>
    <w:p w14:paraId="246658BD" w14:textId="77777777" w:rsidR="00807E98" w:rsidRPr="00807E98" w:rsidRDefault="00807E98" w:rsidP="00EB144C">
      <w:pPr>
        <w:pStyle w:val="Textoindependiente"/>
        <w:spacing w:line="360" w:lineRule="auto"/>
        <w:ind w:left="0" w:firstLine="720"/>
        <w:jc w:val="both"/>
      </w:pPr>
      <w:r>
        <w:rPr/>
        <w:t>La línea viene de atrás: en la sentencia del 8 de septiembre de 2011, expediente 73449-3103-001-2006-00049-01, la Sala decidió el caso de una persona que murió al tocar una red de energía eléctrica. Nos importa un detalle de ese caso: los herederos del beneficiario no demandaron a la empresa electrificadora sino a su aseguradora. Eso es útil para el fútbol profesional, porque los clubes suelen tener una póliza de responsabilidad civil extracontractual, y el caso muestra que el tercero lesionado puede ir directamente contra el asegurador de quien ejerce la actividad, con la acción directa que le da el artículo 1133 del Código de Comercio. Sobre la carga de la prueba, la Sala repitió la fórmula de su providencia del 19 de diciembre de 2008, expediente 1999-02191-01. A quien se señala como autor del daño “no es dable excusarse ni exonerarse con la probanza de una conducta diligente, pues, aún, adoptando la diligencia exigible según la naturaleza de la actividad y el marco de circunstancias fáctico, para tal efecto, debe acreditar el elemento extraño, o sea, la fuerza mayor o caso fortuito, la participación exclusiva de un tercero o de la víctima como causa única” (Corte Suprema de Justicia, Sala de Casación Civil, 2011).</w:t>
      </w:r>
    </w:p>
    <w:p w14:paraId="056706C2" w14:textId="77777777" w:rsidR="00807E98" w:rsidRPr="00807E98" w:rsidRDefault="00807E98" w:rsidP="00EB144C">
      <w:pPr>
        <w:pStyle w:val="Textoindependiente"/>
        <w:spacing w:line="360" w:lineRule="auto"/>
        <w:ind w:left="0" w:firstLine="720"/>
        <w:jc w:val="both"/>
      </w:pPr>
      <w:r>
        <w:rPr/>
        <w:t>Dentro de la propia Sala, sin embargo, el debate no está cerrado. Lo muestra la Sentencia SC2111-2021, del 2 de junio de 2021 (ponente Luis Armando Tolosa Villabona, expediente 85162-31-89-001-2011-00106-01), que resolvió la demanda de los familiares de un motociclista muerto al chocar con un camión, dirigida contra el conductor y contra la sociedad afiliadora del vehículo. Allí la Sala dijo que el artículo 2356 no consagra una presunción de culpa, sino de responsabilidad. Si eso es así, la culpa ya no sirve ni para condenar ni para exonerar, y lo que se presume es el nexo causal. La tesis encontró resistencia, pues cuatro magistrados aclararon el voto: tres para reafirmar el encuadre tradicional de la presunción de culpa y uno para respaldar la lectura objetiva (Corte Suprema de Justicia, Sala de Casación Civil, 2021a). Ese último fue Quiroz Monsalvo, quien ocho semanas después sería el ponente de la SC2905-2021, lo cual explica que la discusión tampoco se cerrara ahí.</w:t>
      </w:r>
    </w:p>
    <w:p w14:paraId="5C7AE783" w14:textId="77777777" w:rsidR="008F59D7" w:rsidRPr="00807E98" w:rsidRDefault="00807E98" w:rsidP="00EB144C">
      <w:pPr>
        <w:pStyle w:val="Textoindependiente"/>
        <w:spacing w:line="360" w:lineRule="auto"/>
        <w:ind w:left="0" w:firstLine="720"/>
        <w:jc w:val="both"/>
      </w:pPr>
      <w:r>
        <w:rPr/>
        <w:t>Pero el desenlace del mismo caso deja ver que la etiqueta pesa menos de lo que el debate hace pensar. La Sala no casó la sentencia que había exonerado a los demandados, porque el accidente se explicaba por el exceso de velocidad de la propia víctima, o sea, por una causa extraña. Con cualquiera de las dos lecturas se llega al mismo resultado práctico. La víctima no tiene que probar la culpa del guardián de la actividad, y el guardián no se libera demostrando que fue diligente y cuidadoso; necesita acreditar fuerza mayor, hecho exclusivo de la víctima o hecho de un tercero. Llevada al fútbol profesional, esa regla protege a los terceros que no tienen contrato con el club, como el vecino al que se le daña la casa o el peatón al que le cae un objeto lanzado desde la tribuna. El asistente que compró boleta, en cambio, reclama por el contrato, y en ese terreno la prueba de la diligencia sí conserva el papel que el artículo 2356 le quita. Lo que une a los dos regímenes es una pregunta que en los estadios aparece todo el tiempo, porque el daño más frecuente lo causa otro hincha: cuándo esa agresión rompe el nexo entre el daño y la organización del partido. La responsabilidad penal es otro asunto y no se deriva de lo anterior: el organizador no se vuelve autor de lo que haga un hincha.</w:t>
      </w:r>
    </w:p>
    <w:p w14:paraId="72107EC7" w14:textId="77777777" w:rsidR="0084558A" w:rsidRDefault="00000000" w:rsidP="00EB144C">
      <w:pPr>
        <w:pStyle w:val="Textoindependiente"/>
        <w:spacing w:line="360" w:lineRule="auto"/>
        <w:ind w:left="0" w:firstLine="720"/>
        <w:jc w:val="both"/>
      </w:pPr>
      <w:r>
        <w:rPr>
          <w:b/>
        </w:rPr>
        <w:t xml:space="preserve">La conducta de terceros y la causa extraña. </w:t>
      </w:r>
      <w:r>
        <w:rPr/>
        <w:t>Que un hincha agreda a otro dentro del estadio no es, por sí solo, una causa extraña. Para que el hecho de un tercero libere al organizador, en cualquiera de los dos regímenes, tiene que ser la única causa del daño y tener los rasgos de la fuerza mayor: debe ser imprevisible e irresistible para quien lo alega, y ajeno a su esfera de control (Corte Suprema de Justicia, Sala de Casación Civil, 2011; Tamayo Jaramillo, 2007). En un partido de fútbol eso no se puede decidir en abstracto, porque la violencia entre hinchas es uno de los riesgos más conocidos del evento y el organizador sabe que existe y tiene medios para enfrentarla; todo depende de lo que pasó en concreto, y para ordenarlo proponemos los criterios de la Tabla 1.</w:t>
      </w:r>
    </w:p>
    <w:p w14:paraId="7DDC9199" w14:textId="77777777" w:rsidR="008F59D7" w:rsidRDefault="005A53E5" w:rsidP="00EB144C">
      <w:pPr>
        <w:pStyle w:val="Ttulo1"/>
        <w:keepNext/>
        <w:spacing w:line="360" w:lineRule="auto"/>
        <w:ind w:left="0" w:firstLine="0"/>
        <w:jc w:val="left"/>
      </w:pPr>
      <w:r>
        <w:t>Tabla 1</w:t>
      </w:r>
    </w:p>
    <w:p w14:paraId="11CA9DC9" w14:textId="77777777" w:rsidR="008F59D7" w:rsidRDefault="005A53E5" w:rsidP="00EB144C">
      <w:pPr>
        <w:keepNext/>
        <w:spacing w:line="360" w:lineRule="auto"/>
        <w:rPr>
          <w:i/>
          <w:sz w:val="24"/>
        </w:rPr>
      </w:pPr>
      <w:r>
        <w:rPr>
          <w:i/>
          <w:sz w:val="24"/>
        </w:rPr>
        <w:t>Criterios para valorar si la conducta de un tercero es imputable al organizador o constituye causa extraña</w:t>
      </w:r>
    </w:p>
    <w:p w14:paraId="5452B031"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33D228B7" w14:textId="77777777" w:rsidTr="00FF0028">
        <w:tc>
          <w:tcPr>
            <w:tcW w:w="1901" w:type="dxa"/>
          </w:tcPr>
          <w:p w14:paraId="2513DD98" w14:textId="77777777" w:rsidR="008F59D7" w:rsidRDefault="005A53E5" w:rsidP="00EB144C">
            <w:pPr>
              <w:pStyle w:val="TableParagraph"/>
              <w:spacing w:line="360" w:lineRule="auto"/>
              <w:ind w:left="0"/>
              <w:rPr>
                <w:b/>
                <w:sz w:val="18"/>
              </w:rPr>
            </w:pPr>
            <w:r>
              <w:rPr>
                <w:b/>
                <w:sz w:val="18"/>
              </w:rPr>
              <w:t>Criterio</w:t>
            </w:r>
          </w:p>
        </w:tc>
        <w:tc>
          <w:tcPr>
            <w:tcW w:w="2101" w:type="dxa"/>
          </w:tcPr>
          <w:p w14:paraId="0628E531" w14:textId="77777777" w:rsidR="008F59D7" w:rsidRDefault="005A53E5" w:rsidP="00EB144C">
            <w:pPr>
              <w:pStyle w:val="TableParagraph"/>
              <w:spacing w:line="360" w:lineRule="auto"/>
              <w:ind w:left="0"/>
              <w:rPr>
                <w:b/>
                <w:sz w:val="18"/>
              </w:rPr>
            </w:pPr>
            <w:r>
              <w:rPr>
                <w:b/>
                <w:sz w:val="18"/>
              </w:rPr>
              <w:t>Qué se examina</w:t>
            </w:r>
          </w:p>
        </w:tc>
        <w:tc>
          <w:tcPr>
            <w:tcW w:w="2562" w:type="dxa"/>
          </w:tcPr>
          <w:p w14:paraId="69ED3B86" w14:textId="77777777" w:rsidR="008F59D7" w:rsidRDefault="005A53E5" w:rsidP="00EB144C">
            <w:pPr>
              <w:pStyle w:val="TableParagraph"/>
              <w:spacing w:line="360" w:lineRule="auto"/>
              <w:ind w:left="0"/>
              <w:rPr>
                <w:b/>
                <w:sz w:val="18"/>
              </w:rPr>
            </w:pPr>
            <w:r>
              <w:rPr>
                <w:b/>
                <w:sz w:val="18"/>
              </w:rPr>
              <w:t>Indica imputación al organizador</w:t>
            </w:r>
          </w:p>
        </w:tc>
        <w:tc>
          <w:tcPr>
            <w:tcW w:w="2800" w:type="dxa"/>
          </w:tcPr>
          <w:p w14:paraId="4D1182C2" w14:textId="77777777" w:rsidR="008F59D7" w:rsidRDefault="005A53E5" w:rsidP="00EB144C">
            <w:pPr>
              <w:pStyle w:val="TableParagraph"/>
              <w:spacing w:line="360" w:lineRule="auto"/>
              <w:ind w:left="0"/>
              <w:rPr>
                <w:b/>
                <w:sz w:val="18"/>
              </w:rPr>
            </w:pPr>
            <w:r>
              <w:rPr>
                <w:b/>
                <w:sz w:val="18"/>
              </w:rPr>
              <w:t>Puede indicar causa extraña</w:t>
            </w:r>
          </w:p>
        </w:tc>
      </w:tr>
      <w:tr w:rsidR="008F59D7" w14:paraId="53E34700" w14:textId="77777777" w:rsidTr="00FF0028">
        <w:tc>
          <w:tcPr>
            <w:tcW w:w="1901" w:type="dxa"/>
          </w:tcPr>
          <w:p w14:paraId="2070BEF6" w14:textId="77777777" w:rsidR="008F59D7" w:rsidRDefault="005A53E5" w:rsidP="00EB144C">
            <w:pPr>
              <w:pStyle w:val="TableParagraph"/>
              <w:spacing w:line="360" w:lineRule="auto"/>
              <w:ind w:left="0"/>
              <w:rPr>
                <w:sz w:val="18"/>
              </w:rPr>
            </w:pPr>
            <w:r>
              <w:rPr>
                <w:sz w:val="18"/>
              </w:rPr>
              <w:t>Previsibilidad</w:t>
            </w:r>
          </w:p>
        </w:tc>
        <w:tc>
          <w:tcPr>
            <w:tcW w:w="2101" w:type="dxa"/>
          </w:tcPr>
          <w:p w14:paraId="205AABFA" w14:textId="77777777" w:rsidR="008F59D7" w:rsidRDefault="005A53E5" w:rsidP="00EB144C">
            <w:pPr>
              <w:pStyle w:val="TableParagraph"/>
              <w:spacing w:line="360" w:lineRule="auto"/>
              <w:ind w:left="0"/>
              <w:rPr>
                <w:sz w:val="18"/>
              </w:rPr>
            </w:pPr>
            <w:r>
              <w:rPr>
                <w:sz w:val="18"/>
              </w:rPr>
              <w:t>Nivel de riesgo del partido: clásico, antecedentes entre barras, alertas de las autoridades o de la comisión local</w:t>
            </w:r>
          </w:p>
        </w:tc>
        <w:tc>
          <w:tcPr>
            <w:tcW w:w="2562" w:type="dxa"/>
          </w:tcPr>
          <w:p w14:paraId="518449AC" w14:textId="77777777" w:rsidR="008F59D7" w:rsidRDefault="005A53E5" w:rsidP="00EB144C">
            <w:pPr>
              <w:pStyle w:val="TableParagraph"/>
              <w:spacing w:line="360" w:lineRule="auto"/>
              <w:ind w:left="0"/>
              <w:rPr>
                <w:sz w:val="18"/>
              </w:rPr>
            </w:pPr>
            <w:r>
              <w:rPr>
                <w:sz w:val="18"/>
              </w:rPr>
              <w:t>Partido de alto riesgo con antecedentes conocidos o alertas previas</w:t>
            </w:r>
          </w:p>
        </w:tc>
        <w:tc>
          <w:tcPr>
            <w:tcW w:w="2800" w:type="dxa"/>
          </w:tcPr>
          <w:p w14:paraId="5B0B19A2" w14:textId="77777777" w:rsidR="008F59D7" w:rsidRDefault="005A53E5" w:rsidP="00EB144C">
            <w:pPr>
              <w:pStyle w:val="TableParagraph"/>
              <w:spacing w:line="360" w:lineRule="auto"/>
              <w:ind w:left="0"/>
              <w:rPr>
                <w:sz w:val="18"/>
              </w:rPr>
            </w:pPr>
            <w:r>
              <w:rPr>
                <w:sz w:val="18"/>
              </w:rPr>
              <w:t>Agresión súbita y aislada, sin antecedentes ni señales previas</w:t>
            </w:r>
          </w:p>
        </w:tc>
      </w:tr>
      <w:tr w:rsidR="008F59D7" w14:paraId="25B9E521" w14:textId="77777777" w:rsidTr="00FF0028">
        <w:tc>
          <w:tcPr>
            <w:tcW w:w="1901" w:type="dxa"/>
          </w:tcPr>
          <w:p w14:paraId="51279B19" w14:textId="77777777" w:rsidR="008F59D7" w:rsidRDefault="005A53E5" w:rsidP="00EB144C">
            <w:pPr>
              <w:pStyle w:val="TableParagraph"/>
              <w:spacing w:line="360" w:lineRule="auto"/>
              <w:ind w:left="0"/>
              <w:rPr>
                <w:sz w:val="18"/>
              </w:rPr>
            </w:pPr>
            <w:r>
              <w:rPr>
                <w:sz w:val="18"/>
              </w:rPr>
              <w:t>Posibilidades de prevención y control</w:t>
            </w:r>
          </w:p>
        </w:tc>
        <w:tc>
          <w:tcPr>
            <w:tcW w:w="2101" w:type="dxa"/>
          </w:tcPr>
          <w:p w14:paraId="7775EE96" w14:textId="77777777" w:rsidR="008F59D7" w:rsidRDefault="005A53E5" w:rsidP="00EB144C">
            <w:pPr>
              <w:pStyle w:val="TableParagraph"/>
              <w:tabs>
                <w:tab w:val="left" w:pos="761"/>
                <w:tab w:val="left" w:pos="1917"/>
              </w:tabs>
              <w:spacing w:line="360" w:lineRule="auto"/>
              <w:ind w:left="0"/>
              <w:rPr>
                <w:sz w:val="18"/>
              </w:rPr>
            </w:pPr>
            <w:r>
              <w:rPr>
                <w:sz w:val="18"/>
              </w:rPr>
              <w:t>Si el hecho podía evitarse con medidas razonables al alcance del organizador</w:t>
            </w:r>
          </w:p>
        </w:tc>
        <w:tc>
          <w:tcPr>
            <w:tcW w:w="2562" w:type="dxa"/>
          </w:tcPr>
          <w:p w14:paraId="024EEEE6" w14:textId="77777777" w:rsidR="008F59D7" w:rsidRDefault="005A53E5" w:rsidP="00EB144C">
            <w:pPr>
              <w:pStyle w:val="TableParagraph"/>
              <w:spacing w:line="360" w:lineRule="auto"/>
              <w:ind w:left="0"/>
              <w:rPr>
                <w:sz w:val="18"/>
              </w:rPr>
            </w:pPr>
            <w:r>
              <w:rPr>
                <w:sz w:val="18"/>
              </w:rPr>
              <w:t>Daño ocurrido en zona bajo control del organizador y evitable con medidas ordinarias</w:t>
            </w:r>
          </w:p>
        </w:tc>
        <w:tc>
          <w:tcPr>
            <w:tcW w:w="2800" w:type="dxa"/>
          </w:tcPr>
          <w:p w14:paraId="292FB184" w14:textId="77777777" w:rsidR="008F59D7" w:rsidRDefault="005A53E5" w:rsidP="00EB144C">
            <w:pPr>
              <w:pStyle w:val="TableParagraph"/>
              <w:spacing w:line="360" w:lineRule="auto"/>
              <w:ind w:left="0"/>
              <w:rPr>
                <w:sz w:val="18"/>
              </w:rPr>
            </w:pPr>
            <w:r>
              <w:rPr>
                <w:sz w:val="18"/>
              </w:rPr>
              <w:t>Hecho evitable solo con medios desproporcionados o propios de la fuerza pública</w:t>
            </w:r>
          </w:p>
        </w:tc>
      </w:tr>
      <w:tr w:rsidR="008F59D7" w14:paraId="262FAA4A" w14:textId="77777777" w:rsidTr="00FF0028">
        <w:tc>
          <w:tcPr>
            <w:tcW w:w="1901" w:type="dxa"/>
          </w:tcPr>
          <w:p w14:paraId="6797FB1A" w14:textId="77777777" w:rsidR="008F59D7" w:rsidRDefault="005A53E5" w:rsidP="00EB144C">
            <w:pPr>
              <w:pStyle w:val="TableParagraph"/>
              <w:spacing w:line="360" w:lineRule="auto"/>
              <w:ind w:left="0"/>
              <w:rPr>
                <w:sz w:val="18"/>
              </w:rPr>
            </w:pPr>
            <w:r>
              <w:rPr>
                <w:sz w:val="18"/>
              </w:rPr>
              <w:t>Medidas de seguridad implementadas</w:t>
            </w:r>
          </w:p>
        </w:tc>
        <w:tc>
          <w:tcPr>
            <w:tcW w:w="2101" w:type="dxa"/>
          </w:tcPr>
          <w:p w14:paraId="4C8905A9" w14:textId="77777777" w:rsidR="008F59D7" w:rsidRDefault="005A53E5" w:rsidP="00EB144C">
            <w:pPr>
              <w:pStyle w:val="TableParagraph"/>
              <w:tabs>
                <w:tab w:val="left" w:pos="1918"/>
              </w:tabs>
              <w:spacing w:line="360" w:lineRule="auto"/>
              <w:ind w:left="0"/>
              <w:rPr>
                <w:sz w:val="18"/>
              </w:rPr>
            </w:pPr>
            <w:r>
              <w:rPr>
                <w:sz w:val="18"/>
              </w:rPr>
              <w:t>Separación de hinchadas, anillos de seguridad, personal de logística suficiente, plan de emergencias</w:t>
            </w:r>
          </w:p>
        </w:tc>
        <w:tc>
          <w:tcPr>
            <w:tcW w:w="2562" w:type="dxa"/>
          </w:tcPr>
          <w:p w14:paraId="3FAB0FD8" w14:textId="77777777" w:rsidR="008F59D7" w:rsidRDefault="005A53E5" w:rsidP="00EB144C">
            <w:pPr>
              <w:pStyle w:val="TableParagraph"/>
              <w:spacing w:line="360" w:lineRule="auto"/>
              <w:ind w:left="0"/>
              <w:rPr>
                <w:sz w:val="18"/>
              </w:rPr>
            </w:pPr>
            <w:r>
              <w:rPr>
                <w:sz w:val="18"/>
              </w:rPr>
              <w:t>Medidas inexistentes, insuficientes o incumplidas</w:t>
            </w:r>
          </w:p>
        </w:tc>
        <w:tc>
          <w:tcPr>
            <w:tcW w:w="2800" w:type="dxa"/>
          </w:tcPr>
          <w:p w14:paraId="208B9714" w14:textId="77777777" w:rsidR="008F59D7" w:rsidRDefault="005A53E5" w:rsidP="00EB144C">
            <w:pPr>
              <w:pStyle w:val="TableParagraph"/>
              <w:spacing w:line="360" w:lineRule="auto"/>
              <w:ind w:left="0"/>
              <w:rPr>
                <w:sz w:val="18"/>
              </w:rPr>
            </w:pPr>
            <w:r>
              <w:rPr>
                <w:sz w:val="18"/>
              </w:rPr>
              <w:t>Medidas adecuadas al nivel de riesgo y efectivamente ejecutadas</w:t>
            </w:r>
          </w:p>
        </w:tc>
      </w:tr>
      <w:tr w:rsidR="008F59D7" w14:paraId="78CF6042" w14:textId="77777777" w:rsidTr="00FF0028">
        <w:tc>
          <w:tcPr>
            <w:tcW w:w="1901" w:type="dxa"/>
          </w:tcPr>
          <w:p w14:paraId="0DA4B26D" w14:textId="77777777" w:rsidR="008F59D7" w:rsidRDefault="005A53E5" w:rsidP="00EB144C">
            <w:pPr>
              <w:pStyle w:val="TableParagraph"/>
              <w:tabs>
                <w:tab w:val="left" w:pos="860"/>
                <w:tab w:val="left" w:pos="1721"/>
              </w:tabs>
              <w:spacing w:line="360" w:lineRule="auto"/>
              <w:ind w:left="0"/>
              <w:rPr>
                <w:sz w:val="18"/>
              </w:rPr>
            </w:pPr>
            <w:r>
              <w:rPr>
                <w:sz w:val="18"/>
              </w:rPr>
              <w:t>Protocolos de ingreso</w:t>
            </w:r>
          </w:p>
        </w:tc>
        <w:tc>
          <w:tcPr>
            <w:tcW w:w="2101" w:type="dxa"/>
          </w:tcPr>
          <w:p w14:paraId="025DB566" w14:textId="77777777" w:rsidR="008F59D7" w:rsidRDefault="005A53E5" w:rsidP="00EB144C">
            <w:pPr>
              <w:pStyle w:val="TableParagraph"/>
              <w:spacing w:line="360" w:lineRule="auto"/>
              <w:ind w:left="0"/>
              <w:rPr>
                <w:sz w:val="18"/>
              </w:rPr>
            </w:pPr>
            <w:r>
              <w:rPr>
                <w:sz w:val="18"/>
              </w:rPr>
              <w:t>Requisa, control de boletería y aforo, retiro de elementos prohibidos</w:t>
            </w:r>
          </w:p>
        </w:tc>
        <w:tc>
          <w:tcPr>
            <w:tcW w:w="2562" w:type="dxa"/>
          </w:tcPr>
          <w:p w14:paraId="6004CD90" w14:textId="77777777" w:rsidR="008F59D7" w:rsidRDefault="005A53E5" w:rsidP="00EB144C">
            <w:pPr>
              <w:pStyle w:val="TableParagraph"/>
              <w:spacing w:line="360" w:lineRule="auto"/>
              <w:ind w:left="0"/>
              <w:rPr>
                <w:sz w:val="18"/>
              </w:rPr>
            </w:pPr>
            <w:r>
              <w:rPr>
                <w:sz w:val="18"/>
              </w:rPr>
              <w:t>El medio usado en la agresión (arma blanca, bengala, piedra) ingresó por una requisa deficiente</w:t>
            </w:r>
          </w:p>
        </w:tc>
        <w:tc>
          <w:tcPr>
            <w:tcW w:w="2800" w:type="dxa"/>
          </w:tcPr>
          <w:p w14:paraId="334F0068" w14:textId="77777777" w:rsidR="008F59D7" w:rsidRDefault="005A53E5" w:rsidP="00EB144C">
            <w:pPr>
              <w:pStyle w:val="TableParagraph"/>
              <w:spacing w:line="360" w:lineRule="auto"/>
              <w:ind w:left="0"/>
              <w:rPr>
                <w:sz w:val="18"/>
              </w:rPr>
            </w:pPr>
            <w:r>
              <w:rPr>
                <w:sz w:val="18"/>
              </w:rPr>
              <w:t>El medio no era detectable con una requisa diligente o se obtuvo en el recinto sin falla del organizador</w:t>
            </w:r>
          </w:p>
        </w:tc>
      </w:tr>
      <w:tr w:rsidR="008F59D7" w14:paraId="51D9CB96" w14:textId="77777777" w:rsidTr="00FF0028">
        <w:tc>
          <w:tcPr>
            <w:tcW w:w="1901" w:type="dxa"/>
          </w:tcPr>
          <w:p w14:paraId="46ACB2F2" w14:textId="77777777" w:rsidR="008F59D7" w:rsidRDefault="005A53E5" w:rsidP="00EB144C">
            <w:pPr>
              <w:pStyle w:val="TableParagraph"/>
              <w:spacing w:line="360" w:lineRule="auto"/>
              <w:ind w:left="0"/>
              <w:rPr>
                <w:sz w:val="18"/>
              </w:rPr>
            </w:pPr>
            <w:r>
              <w:rPr>
                <w:sz w:val="18"/>
              </w:rPr>
              <w:t>Vigilancia</w:t>
            </w:r>
          </w:p>
        </w:tc>
        <w:tc>
          <w:tcPr>
            <w:tcW w:w="2101" w:type="dxa"/>
          </w:tcPr>
          <w:p w14:paraId="6A59C833" w14:textId="77777777" w:rsidR="008F59D7" w:rsidRDefault="005A53E5" w:rsidP="00EB144C">
            <w:pPr>
              <w:pStyle w:val="TableParagraph"/>
              <w:spacing w:line="360" w:lineRule="auto"/>
              <w:ind w:left="0"/>
              <w:rPr>
                <w:sz w:val="18"/>
              </w:rPr>
            </w:pPr>
            <w:r>
              <w:rPr>
                <w:sz w:val="18"/>
              </w:rPr>
              <w:t>Circuito cerrado de televisión, personal en tribunas, capacidad de reacción</w:t>
            </w:r>
          </w:p>
        </w:tc>
        <w:tc>
          <w:tcPr>
            <w:tcW w:w="2562" w:type="dxa"/>
          </w:tcPr>
          <w:p w14:paraId="11624803"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Ausencia de vigilancia o reacción tardía que agravó el daño</w:t>
            </w:r>
          </w:p>
        </w:tc>
        <w:tc>
          <w:tcPr>
            <w:tcW w:w="2800" w:type="dxa"/>
          </w:tcPr>
          <w:p w14:paraId="02715BC2" w14:textId="77777777" w:rsidR="008F59D7" w:rsidRDefault="005A53E5" w:rsidP="00EB144C">
            <w:pPr>
              <w:pStyle w:val="TableParagraph"/>
              <w:tabs>
                <w:tab w:val="left" w:pos="1420"/>
                <w:tab w:val="left" w:pos="2536"/>
              </w:tabs>
              <w:spacing w:line="360" w:lineRule="auto"/>
              <w:ind w:left="0"/>
              <w:rPr>
                <w:sz w:val="18"/>
              </w:rPr>
            </w:pPr>
            <w:r>
              <w:rPr>
                <w:sz w:val="18"/>
              </w:rPr>
              <w:t>Vigilancia activa y reacción oportuna que no pudo impedir el hecho</w:t>
            </w:r>
          </w:p>
        </w:tc>
      </w:tr>
      <w:tr w:rsidR="008F59D7" w14:paraId="68D6CDEA" w14:textId="77777777" w:rsidTr="00FF0028">
        <w:tc>
          <w:tcPr>
            <w:tcW w:w="1901" w:type="dxa"/>
          </w:tcPr>
          <w:p w14:paraId="2B64167B" w14:textId="77777777" w:rsidR="008F59D7" w:rsidRDefault="005A53E5" w:rsidP="00EB144C">
            <w:pPr>
              <w:pStyle w:val="TableParagraph"/>
              <w:spacing w:line="360" w:lineRule="auto"/>
              <w:ind w:left="0"/>
              <w:rPr>
                <w:sz w:val="18"/>
              </w:rPr>
            </w:pPr>
            <w:r>
              <w:rPr>
                <w:sz w:val="18"/>
              </w:rPr>
              <w:t>Condiciones concretas del hecho</w:t>
            </w:r>
          </w:p>
        </w:tc>
        <w:tc>
          <w:tcPr>
            <w:tcW w:w="2101" w:type="dxa"/>
          </w:tcPr>
          <w:p w14:paraId="39BF471F" w14:textId="77777777" w:rsidR="008F59D7" w:rsidRDefault="005A53E5" w:rsidP="00EB144C">
            <w:pPr>
              <w:pStyle w:val="TableParagraph"/>
              <w:spacing w:line="360" w:lineRule="auto"/>
              <w:ind w:left="0"/>
              <w:rPr>
                <w:sz w:val="18"/>
              </w:rPr>
            </w:pPr>
            <w:r>
              <w:rPr>
                <w:sz w:val="18"/>
              </w:rPr>
              <w:t>Lugar, momento y forma de la agresión; conducta de la propia víctima</w:t>
            </w:r>
          </w:p>
        </w:tc>
        <w:tc>
          <w:tcPr>
            <w:tcW w:w="2562" w:type="dxa"/>
          </w:tcPr>
          <w:p w14:paraId="7A185350" w14:textId="77777777" w:rsidR="008F59D7" w:rsidRDefault="005A53E5" w:rsidP="00EB144C">
            <w:pPr>
              <w:pStyle w:val="TableParagraph"/>
              <w:tabs>
                <w:tab w:val="left" w:pos="1006"/>
                <w:tab w:val="left" w:pos="1671"/>
                <w:tab w:val="left" w:pos="2057"/>
              </w:tabs>
              <w:spacing w:line="360" w:lineRule="auto"/>
              <w:ind w:left="0"/>
              <w:rPr>
                <w:sz w:val="18"/>
              </w:rPr>
            </w:pPr>
            <w:r>
              <w:rPr>
                <w:sz w:val="18"/>
              </w:rPr>
              <w:t>Hecho dentro del recinto o de su perímetro de control, durante el evento</w:t>
            </w:r>
          </w:p>
        </w:tc>
        <w:tc>
          <w:tcPr>
            <w:tcW w:w="2800" w:type="dxa"/>
          </w:tcPr>
          <w:p w14:paraId="12412937" w14:textId="77777777" w:rsidR="008F59D7" w:rsidRDefault="005A53E5" w:rsidP="00EB144C">
            <w:pPr>
              <w:pStyle w:val="TableParagraph"/>
              <w:tabs>
                <w:tab w:val="left" w:pos="1420"/>
                <w:tab w:val="left" w:pos="2536"/>
              </w:tabs>
              <w:spacing w:line="360" w:lineRule="auto"/>
              <w:ind w:left="0"/>
              <w:rPr>
                <w:sz w:val="18"/>
              </w:rPr>
            </w:pPr>
            <w:r>
              <w:rPr>
                <w:sz w:val="18"/>
              </w:rPr>
              <w:t>Hecho en la vía pública, fuera del perímetro, o con participación determinante de la víctima (art. 2357 C.C.)</w:t>
            </w:r>
          </w:p>
        </w:tc>
      </w:tr>
    </w:tbl>
    <w:p w14:paraId="13A666EC" w14:textId="77777777" w:rsidR="008F59D7" w:rsidRDefault="005A53E5" w:rsidP="00EB144C">
      <w:pPr>
        <w:pStyle w:val="Textoindependiente"/>
        <w:spacing w:line="360" w:lineRule="auto"/>
        <w:ind w:left="0"/>
        <w:jc w:val="both"/>
      </w:pPr>
      <w:r>
        <w:rPr>
          <w:i/>
        </w:rPr>
        <w:t>Nota.</w:t>
      </w:r>
      <w:r>
        <w:t xml:space="preserve"> Elaboración propia con base en los artículos 1603, 1604, 2341, 2344, 2356 y 2357 del Código Civil, Corte Suprema de Justicia, Sala de Casación Civil (2011, 2021a, 2021b), Consejo de Estado, Sala de Consulta y Servicio Civil (2025) y Tamayo Jaramillo (2007).</w:t>
      </w:r>
    </w:p>
    <w:p w14:paraId="6E12775F" w14:textId="77777777" w:rsidR="00FF0028" w:rsidRDefault="00FF0028" w:rsidP="00EB144C">
      <w:pPr>
        <w:pStyle w:val="Textoindependiente"/>
        <w:spacing w:line="360" w:lineRule="auto"/>
        <w:ind w:left="0"/>
        <w:jc w:val="left"/>
      </w:pPr>
    </w:p>
    <w:p w14:paraId="71C72833" w14:textId="77777777" w:rsidR="0084558A" w:rsidRDefault="00000000" w:rsidP="00EB144C">
      <w:pPr>
        <w:pStyle w:val="Textoindependiente"/>
        <w:spacing w:line="360" w:lineRule="auto"/>
        <w:ind w:left="0" w:firstLine="720"/>
        <w:jc w:val="both"/>
      </w:pPr>
      <w:r>
        <w:rPr/>
        <w:t>Con esos criterios en la mano se pueden separar varias situaciones. Pensemos primero en una agresión previsible, dado el nivel de riesgo del partido, que ocurrió porque el medio usado pasó una requisa deficiente o porque no se cumplió la separación de hinchadas. En ese supuesto el hecho del tercero no rompe el nexo causal, porque el daño es la realización del riesgo que el organizador debía controlar, lo que en el régimen contractual equivale a incumplir el deber de seguridad y en el extracontractual impide acreditar la causa extraña. Otra cosa ocurre cuando el organizador logra probar que clasificó el partido según su riesgo y lo atendió en consecuencia, que cumplió los protocolos de ingreso y vigilancia y que la agresión fue súbita, individual y hecha con un medio imposible de detectar. Ahí el hecho del tercero sí puede funcionar como causa extraña, y si el reclamo es contractual, esa misma prueba puede bastar para mostrar la diligencia exigible aunque no alcance para la causa extraña.</w:t>
      </w:r>
    </w:p>
    <w:p w14:paraId="71C72833" w14:textId="77777777" w:rsidR="0084558A" w:rsidRDefault="00000000" w:rsidP="00EB144C">
      <w:pPr>
        <w:pStyle w:val="Textoindependiente"/>
        <w:spacing w:line="360" w:lineRule="auto"/>
        <w:ind w:left="0" w:firstLine="720"/>
        <w:jc w:val="both"/>
      </w:pPr>
      <w:r>
        <w:rPr/>
        <w:t>Entre esos dos extremos hay casos mixtos, en los que el tercero agrede, pero el organizador también falló, por ejemplo con una requisa mal hecha. La víctima puede demandar a los dos, y por la vía extracontractual el artículo 2344 del Código Civil los hace solidarios por el mismo daño; si ella misma se expuso imprudentemente, el artículo 2357 permite reducir la indemnización. El homicidio de Andrés Carvajal queda por fuera de todos estos supuestos, porque ocurrió en la vía pública, lejos del perímetro que controla el organizador y sin contrato de por medio, y ahí lo que hay que examinar es si la Policía Nacional cumplió su deber de garantizar el orden público alrededor del partido.</w:t>
      </w:r>
    </w:p>
    <w:p w14:paraId="005E1CC6" w14:textId="77777777" w:rsidR="008F59D7" w:rsidRDefault="00EC1C99" w:rsidP="00EB144C">
      <w:pPr>
        <w:pStyle w:val="Textoindependiente"/>
        <w:spacing w:line="360" w:lineRule="auto"/>
        <w:ind w:left="0" w:firstLine="382"/>
        <w:jc w:val="both"/>
      </w:pPr>
      <w:r>
        <w:t>En el plano disciplinario, en cambio, los clubes responden ante la Dimayor y ante la Federación Colombiana de Fútbol por infracciones reglamentarias, por la conducta impropia de sus espectadores, por la falta de garantías y por las omisiones logísticas, conforme al Código Disciplinario Único en su versión vigente del 14 de enero de 2026 (Federación Colombiana de Fútbol, 2026). En lo administrativo, la Ley 1445 de 2011 distribuye entre clubes y autoridades el deber de vigilancia, control y prevención.</w:t>
      </w:r>
    </w:p>
    <w:p w14:paraId="35828F4D" w14:textId="77777777" w:rsidR="008F59D7" w:rsidRDefault="005A53E5" w:rsidP="00EB144C">
      <w:pPr>
        <w:pStyle w:val="Textoindependiente"/>
        <w:spacing w:line="360" w:lineRule="auto"/>
        <w:ind w:left="0" w:firstLine="707"/>
        <w:jc w:val="both"/>
      </w:pPr>
      <w:r>
        <w:rPr/>
        <w:t>El Estado, las alcaldías, la Policía Nacional y las comisiones de seguridad responden en el plano constitucional y administrativo, porque les corresponde proteger los derechos fundamentales y mantener la convivencia. La Ley 1270 de 2009 le dio a la Comisión Nacional y a las comisiones locales funciones de planeación, coordinación, prevención, manejo de información, control de alcoholemia y drogas, oficinas de denuncia y acuerdos de convivencia. El Plan Decenal de Seguridad, Comodidad y Convivencia en el Fútbol 2014-2024 desarrolló esas funciones en dos líneas: el fútbol como espectáculo que integra y el fútbol como herramienta de desarrollo social (Ministerio del Interior, 2014). Sobre el alcance de ese deber se pronunció la Sala de Consulta y Servicio Civil del Consejo de Estado. Según su concepto, el orden público en los partidos le corresponde de manera indelegable a la Policía Nacional, por el principio de exclusividad de la fuerza pública; las empresas de vigilancia privada pueden encargarse de tareas logísticas y de control interno, como revisar la boletería, controlar el acceso y retirar elementos prohibidos, pero no pueden desplazar ni reemplazar a la fuerza pública (Consejo de Estado, Sala de Consulta y Servicio Civil, 2025). La Corte Constitucional, por su parte, en la Sentencia C-065 de 2021 avaló que los delegados de las barras participen en esos espacios con voz pero sin voto. Tienen derecho a intervenir en las decisiones que las afectan, lo que no significa que ejerzan funciones públicas de seguridad ni que sustituyan a las autoridades (Corte Constitucional, 2021).</w:t>
      </w:r>
    </w:p>
    <w:p w14:paraId="1D35B8B9" w14:textId="033E2FA8" w:rsidR="00FF0028" w:rsidRDefault="005A53E5" w:rsidP="00EB144C">
      <w:pPr>
        <w:pStyle w:val="Textoindependiente"/>
        <w:spacing w:line="360" w:lineRule="auto"/>
        <w:ind w:left="0" w:firstLine="707"/>
        <w:jc w:val="both"/>
      </w:pPr>
      <w:r>
        <w:rPr/>
        <w:t>La Dimayor y la Federación Colombiana de Fútbol también tienen deberes jurídicos, que les vienen de su condición de reguladores privados del fútbol profesional. Cuando sancionan a un club, a un jugador o a un asistente, sus decisiones tienen que respetar el debido proceso, de modo que deben estar motivadas, ser proporcionales y razonables y admitir doble instancia. La Sentencia SU-386 de 2023 nos deja una regla útil, aunque el caso no trataba de violencia, sino del deber de inspección y vigilancia del Ministerio del Deporte y del acceso a la justicia de los futbolistas: la autonomía deportiva y asociativa no impide el control constitucional cuando una organización privada del fútbol toma decisiones que inciden en derechos fundamentales. No le atribuimos, en cambio, la fijación de estándares disciplinarios universales de debido proceso, porque la providencia no tiene ese alcance (Corte Constitucional, 2023). En la misma dirección, la Sentencia T-464 de 2022 amparó a futbolistas del Atlético Nacional a quienes se les bloqueó la inscripción a un torneo con una decisión que nunca se les notificó, y reprochó que los derechos de los jugadores se usaran como mecanismo de presión (Corte Constitucional, 2022). Castigar al hincha violento, por tanto, no agota la responsabilidad jurídica. Se necesita un sistema de corresponsabilidad entre personas, clubes, autoridades públicas y entes deportivos, que resumimos en la Tabla 2.</w:t>
      </w:r>
    </w:p>
    <w:p w14:paraId="5303666B" w14:textId="77777777" w:rsidR="008F59D7" w:rsidRDefault="005A53E5" w:rsidP="00EB144C">
      <w:pPr>
        <w:pStyle w:val="Ttulo1"/>
        <w:keepNext/>
        <w:spacing w:line="360" w:lineRule="auto"/>
        <w:ind w:left="0" w:firstLine="0"/>
        <w:jc w:val="left"/>
      </w:pPr>
      <w:r>
        <w:lastRenderedPageBreak/>
        <w:t>Tabla 2</w:t>
      </w:r>
    </w:p>
    <w:p w14:paraId="447D00AB" w14:textId="77777777" w:rsidR="008F59D7" w:rsidRDefault="005A53E5" w:rsidP="00EB144C">
      <w:pPr>
        <w:keepNext/>
        <w:spacing w:line="360" w:lineRule="auto"/>
        <w:rPr>
          <w:i/>
          <w:spacing w:val="-2"/>
          <w:sz w:val="24"/>
        </w:rPr>
      </w:pPr>
      <w:r>
        <w:rPr>
          <w:i/>
          <w:sz w:val="24"/>
        </w:rPr>
        <w:t>Matriz</w:t>
      </w:r>
      <w:r>
        <w:rPr>
          <w:i/>
          <w:spacing w:val="-1"/>
          <w:sz w:val="24"/>
        </w:rPr>
        <w:t xml:space="preserve"> </w:t>
      </w:r>
      <w:r>
        <w:rPr>
          <w:i/>
          <w:sz w:val="24"/>
        </w:rPr>
        <w:t>de</w:t>
      </w:r>
      <w:r>
        <w:rPr>
          <w:i/>
          <w:spacing w:val="-2"/>
          <w:sz w:val="24"/>
        </w:rPr>
        <w:t xml:space="preserve"> </w:t>
      </w:r>
      <w:r>
        <w:rPr>
          <w:i/>
          <w:sz w:val="24"/>
        </w:rPr>
        <w:t>responsabilidad jurídica</w:t>
      </w:r>
      <w:r>
        <w:rPr>
          <w:i/>
          <w:spacing w:val="-1"/>
          <w:sz w:val="24"/>
        </w:rPr>
        <w:t xml:space="preserve"> </w:t>
      </w:r>
      <w:r>
        <w:rPr>
          <w:i/>
          <w:sz w:val="24"/>
        </w:rPr>
        <w:t>de</w:t>
      </w:r>
      <w:r>
        <w:rPr>
          <w:i/>
          <w:spacing w:val="-2"/>
          <w:sz w:val="24"/>
        </w:rPr>
        <w:t xml:space="preserve"> </w:t>
      </w:r>
      <w:r>
        <w:rPr>
          <w:i/>
          <w:sz w:val="24"/>
        </w:rPr>
        <w:t>los actores</w:t>
      </w:r>
      <w:r>
        <w:rPr>
          <w:i/>
          <w:spacing w:val="-1"/>
          <w:sz w:val="24"/>
        </w:rPr>
        <w:t xml:space="preserve"> </w:t>
      </w:r>
      <w:r>
        <w:rPr>
          <w:i/>
          <w:sz w:val="24"/>
        </w:rPr>
        <w:t>en la</w:t>
      </w:r>
      <w:r>
        <w:rPr>
          <w:i/>
          <w:spacing w:val="-1"/>
          <w:sz w:val="24"/>
        </w:rPr>
        <w:t xml:space="preserve"> </w:t>
      </w:r>
      <w:r>
        <w:rPr>
          <w:i/>
          <w:sz w:val="24"/>
        </w:rPr>
        <w:t>violencia</w:t>
      </w:r>
      <w:r>
        <w:rPr>
          <w:i/>
          <w:spacing w:val="-1"/>
          <w:sz w:val="24"/>
        </w:rPr>
        <w:t xml:space="preserve"> </w:t>
      </w:r>
      <w:r>
        <w:rPr>
          <w:i/>
          <w:sz w:val="24"/>
        </w:rPr>
        <w:t>asociada</w:t>
      </w:r>
      <w:r>
        <w:rPr>
          <w:i/>
          <w:spacing w:val="2"/>
          <w:sz w:val="24"/>
        </w:rPr>
        <w:t xml:space="preserve"> </w:t>
      </w:r>
      <w:r>
        <w:rPr>
          <w:i/>
          <w:sz w:val="24"/>
        </w:rPr>
        <w:t>al</w:t>
      </w:r>
      <w:r>
        <w:rPr>
          <w:i/>
          <w:spacing w:val="-1"/>
          <w:sz w:val="24"/>
        </w:rPr>
        <w:t xml:space="preserve"> </w:t>
      </w:r>
      <w:r>
        <w:rPr>
          <w:i/>
          <w:sz w:val="24"/>
        </w:rPr>
        <w:t xml:space="preserve">fútbol </w:t>
      </w:r>
      <w:r>
        <w:rPr>
          <w:i/>
          <w:spacing w:val="-2"/>
          <w:sz w:val="24"/>
        </w:rPr>
        <w:t>colombiano</w:t>
      </w:r>
    </w:p>
    <w:p w14:paraId="1B3E6433" w14:textId="77777777" w:rsidR="00FF0028" w:rsidRDefault="00FF0028" w:rsidP="00EB144C">
      <w:pPr>
        <w:keepNext/>
        <w:spacing w:line="360" w:lineRule="auto"/>
        <w:rPr>
          <w:i/>
          <w:sz w:val="24"/>
        </w:rPr>
      </w:pPr>
    </w:p>
    <w:tbl>
      <w:tblPr>
        <w:tblStyle w:val="Tablaconcuadrcula"/>
        <w:tblW w:w="0" w:type="auto"/>
        <w:tblLayout w:type="fixed"/>
        <w:tblLook w:val="01E0" w:firstRow="1" w:lastRow="1" w:firstColumn="1" w:lastColumn="1" w:noHBand="0" w:noVBand="0"/>
      </w:tblPr>
      <w:tblGrid>
        <w:gridCol w:w="1901"/>
        <w:gridCol w:w="2101"/>
        <w:gridCol w:w="2562"/>
        <w:gridCol w:w="2800"/>
      </w:tblGrid>
      <w:tr w:rsidR="008F59D7" w14:paraId="14962092" w14:textId="77777777" w:rsidTr="00FF0028">
        <w:trPr>
          <w:trHeight w:val="427"/>
        </w:trPr>
        <w:tc>
          <w:tcPr>
            <w:tcW w:w="1901" w:type="dxa"/>
          </w:tcPr>
          <w:p w14:paraId="0A8F8C3F" w14:textId="77777777" w:rsidR="008F59D7" w:rsidRDefault="005A53E5" w:rsidP="00EB144C">
            <w:pPr>
              <w:pStyle w:val="TableParagraph"/>
              <w:spacing w:line="360" w:lineRule="auto"/>
              <w:ind w:left="0"/>
              <w:rPr>
                <w:b/>
                <w:sz w:val="18"/>
              </w:rPr>
            </w:pPr>
            <w:r>
              <w:rPr>
                <w:b/>
                <w:spacing w:val="-2"/>
                <w:sz w:val="18"/>
              </w:rPr>
              <w:t>Actor</w:t>
            </w:r>
          </w:p>
        </w:tc>
        <w:tc>
          <w:tcPr>
            <w:tcW w:w="2101" w:type="dxa"/>
          </w:tcPr>
          <w:p w14:paraId="4004047C" w14:textId="77777777" w:rsidR="008F59D7" w:rsidRDefault="005A53E5" w:rsidP="00EB144C">
            <w:pPr>
              <w:pStyle w:val="TableParagraph"/>
              <w:spacing w:line="360" w:lineRule="auto"/>
              <w:ind w:left="0"/>
              <w:rPr>
                <w:b/>
                <w:sz w:val="18"/>
              </w:rPr>
            </w:pPr>
            <w:r>
              <w:rPr>
                <w:b/>
                <w:sz w:val="18"/>
              </w:rPr>
              <w:t>Tipo</w:t>
            </w:r>
            <w:r>
              <w:rPr>
                <w:b/>
                <w:spacing w:val="1"/>
                <w:sz w:val="18"/>
              </w:rPr>
              <w:t xml:space="preserve"> </w:t>
            </w:r>
            <w:r>
              <w:rPr>
                <w:b/>
                <w:sz w:val="18"/>
              </w:rPr>
              <w:t>de</w:t>
            </w:r>
            <w:r>
              <w:rPr>
                <w:b/>
                <w:spacing w:val="-1"/>
                <w:sz w:val="18"/>
              </w:rPr>
              <w:t xml:space="preserve"> </w:t>
            </w:r>
            <w:r>
              <w:rPr>
                <w:b/>
                <w:spacing w:val="-2"/>
                <w:sz w:val="18"/>
              </w:rPr>
              <w:t>responsabilidad</w:t>
            </w:r>
          </w:p>
        </w:tc>
        <w:tc>
          <w:tcPr>
            <w:tcW w:w="2562" w:type="dxa"/>
          </w:tcPr>
          <w:p w14:paraId="752CDA57" w14:textId="77777777" w:rsidR="008F59D7" w:rsidRDefault="005A53E5" w:rsidP="00EB144C">
            <w:pPr>
              <w:pStyle w:val="TableParagraph"/>
              <w:spacing w:line="360" w:lineRule="auto"/>
              <w:ind w:left="0"/>
              <w:rPr>
                <w:b/>
                <w:sz w:val="18"/>
              </w:rPr>
            </w:pPr>
            <w:r>
              <w:rPr>
                <w:b/>
                <w:sz w:val="18"/>
              </w:rPr>
              <w:t>Fundamento</w:t>
            </w:r>
            <w:r>
              <w:rPr>
                <w:b/>
                <w:spacing w:val="-3"/>
                <w:sz w:val="18"/>
              </w:rPr>
              <w:t xml:space="preserve"> </w:t>
            </w:r>
            <w:r>
              <w:rPr>
                <w:b/>
                <w:spacing w:val="-2"/>
                <w:sz w:val="18"/>
              </w:rPr>
              <w:t>principal</w:t>
            </w:r>
          </w:p>
        </w:tc>
        <w:tc>
          <w:tcPr>
            <w:tcW w:w="2800" w:type="dxa"/>
          </w:tcPr>
          <w:p w14:paraId="54C13EE1" w14:textId="77777777" w:rsidR="008F59D7" w:rsidRDefault="005A53E5" w:rsidP="00EB144C">
            <w:pPr>
              <w:pStyle w:val="TableParagraph"/>
              <w:spacing w:line="360" w:lineRule="auto"/>
              <w:ind w:left="0"/>
              <w:rPr>
                <w:b/>
                <w:sz w:val="18"/>
              </w:rPr>
            </w:pPr>
            <w:r>
              <w:rPr>
                <w:b/>
                <w:sz w:val="18"/>
              </w:rPr>
              <w:t>Consecuencia</w:t>
            </w:r>
            <w:r>
              <w:rPr>
                <w:b/>
                <w:spacing w:val="-3"/>
                <w:sz w:val="18"/>
              </w:rPr>
              <w:t xml:space="preserve"> </w:t>
            </w:r>
            <w:r>
              <w:rPr>
                <w:b/>
                <w:spacing w:val="-2"/>
                <w:sz w:val="18"/>
              </w:rPr>
              <w:t>jurídica</w:t>
            </w:r>
          </w:p>
        </w:tc>
      </w:tr>
      <w:tr w:rsidR="008F59D7" w14:paraId="4ECBA7FC" w14:textId="77777777" w:rsidTr="00FF0028">
        <w:trPr>
          <w:trHeight w:val="1358"/>
        </w:trPr>
        <w:tc>
          <w:tcPr>
            <w:tcW w:w="1901" w:type="dxa"/>
          </w:tcPr>
          <w:p w14:paraId="5E6C4AEB" w14:textId="77777777" w:rsidR="008F59D7" w:rsidRDefault="008F59D7" w:rsidP="00EB144C">
            <w:pPr>
              <w:pStyle w:val="TableParagraph"/>
              <w:spacing w:line="360" w:lineRule="auto"/>
              <w:ind w:left="0"/>
              <w:rPr>
                <w:i/>
                <w:sz w:val="18"/>
              </w:rPr>
            </w:pPr>
          </w:p>
          <w:p w14:paraId="7B82F6F4" w14:textId="77777777" w:rsidR="008F59D7" w:rsidRDefault="005A53E5" w:rsidP="00EB144C">
            <w:pPr>
              <w:pStyle w:val="TableParagraph"/>
              <w:spacing w:line="360" w:lineRule="auto"/>
              <w:ind w:left="0"/>
              <w:rPr>
                <w:sz w:val="18"/>
              </w:rPr>
            </w:pPr>
            <w:r>
              <w:rPr>
                <w:sz w:val="18"/>
              </w:rPr>
              <w:t>Hinchas</w:t>
            </w:r>
            <w:r>
              <w:rPr>
                <w:spacing w:val="-8"/>
                <w:sz w:val="18"/>
              </w:rPr>
              <w:t xml:space="preserve"> </w:t>
            </w:r>
            <w:r>
              <w:rPr>
                <w:sz w:val="18"/>
              </w:rPr>
              <w:t>y</w:t>
            </w:r>
            <w:r>
              <w:rPr>
                <w:spacing w:val="-6"/>
                <w:sz w:val="18"/>
              </w:rPr>
              <w:t xml:space="preserve"> </w:t>
            </w:r>
            <w:r>
              <w:rPr>
                <w:sz w:val="18"/>
              </w:rPr>
              <w:t>miembros</w:t>
            </w:r>
            <w:r>
              <w:rPr>
                <w:spacing w:val="-9"/>
                <w:sz w:val="18"/>
              </w:rPr>
              <w:t xml:space="preserve"> </w:t>
            </w:r>
            <w:r>
              <w:rPr>
                <w:sz w:val="18"/>
              </w:rPr>
              <w:t xml:space="preserve">de </w:t>
            </w:r>
            <w:r>
              <w:rPr>
                <w:spacing w:val="-2"/>
                <w:sz w:val="18"/>
              </w:rPr>
              <w:t>barras</w:t>
            </w:r>
          </w:p>
        </w:tc>
        <w:tc>
          <w:tcPr>
            <w:tcW w:w="2101" w:type="dxa"/>
          </w:tcPr>
          <w:p w14:paraId="6A48E9D2" w14:textId="77777777" w:rsidR="008F59D7" w:rsidRDefault="008F59D7" w:rsidP="00EB144C">
            <w:pPr>
              <w:pStyle w:val="TableParagraph"/>
              <w:spacing w:line="360" w:lineRule="auto"/>
              <w:ind w:left="0"/>
              <w:rPr>
                <w:i/>
                <w:sz w:val="18"/>
              </w:rPr>
            </w:pPr>
          </w:p>
          <w:p w14:paraId="0A3F0ECF" w14:textId="77777777" w:rsidR="008F59D7" w:rsidRDefault="005A53E5" w:rsidP="00EB144C">
            <w:pPr>
              <w:pStyle w:val="TableParagraph"/>
              <w:spacing w:line="360" w:lineRule="auto"/>
              <w:ind w:left="0"/>
              <w:rPr>
                <w:sz w:val="18"/>
              </w:rPr>
            </w:pPr>
            <w:r>
              <w:rPr>
                <w:sz w:val="18"/>
              </w:rPr>
              <w:t>Penal y administrativa sancionadora (contravencional y especial de la Ley 1445 de 2011)</w:t>
            </w:r>
            <w:r>
              <w:rPr>
                <w:spacing w:val="40"/>
                <w:sz w:val="18"/>
              </w:rPr>
            </w:r>
            <w:r>
              <w:rPr>
                <w:sz w:val="18"/>
              </w:rPr>
            </w:r>
            <w:r>
              <w:rPr>
                <w:spacing w:val="40"/>
                <w:sz w:val="18"/>
              </w:rPr>
            </w:r>
            <w:r>
              <w:rPr>
                <w:sz w:val="18"/>
              </w:rPr>
            </w:r>
          </w:p>
        </w:tc>
        <w:tc>
          <w:tcPr>
            <w:tcW w:w="2562" w:type="dxa"/>
          </w:tcPr>
          <w:p w14:paraId="3027D5CB" w14:textId="77777777" w:rsidR="008F59D7" w:rsidRDefault="008F59D7" w:rsidP="00EB144C">
            <w:pPr>
              <w:pStyle w:val="TableParagraph"/>
              <w:spacing w:line="360" w:lineRule="auto"/>
              <w:ind w:left="0"/>
              <w:rPr>
                <w:i/>
                <w:sz w:val="18"/>
              </w:rPr>
            </w:pPr>
          </w:p>
          <w:p w14:paraId="0341A83D" w14:textId="77777777" w:rsidR="008F59D7" w:rsidRDefault="005A53E5" w:rsidP="00EB144C">
            <w:pPr>
              <w:pStyle w:val="TableParagraph"/>
              <w:spacing w:line="360" w:lineRule="auto"/>
              <w:ind w:left="0"/>
              <w:rPr>
                <w:sz w:val="18"/>
              </w:rPr>
            </w:pPr>
            <w:r>
              <w:rPr>
                <w:sz w:val="18"/>
              </w:rPr>
              <w:t>Código</w:t>
            </w:r>
            <w:r>
              <w:rPr>
                <w:spacing w:val="-13"/>
                <w:sz w:val="18"/>
              </w:rPr>
              <w:t xml:space="preserve"> </w:t>
            </w:r>
            <w:r>
              <w:rPr>
                <w:sz w:val="18"/>
              </w:rPr>
              <w:t>Penal;</w:t>
            </w:r>
            <w:r>
              <w:rPr>
                <w:spacing w:val="-10"/>
                <w:sz w:val="18"/>
              </w:rPr>
              <w:t xml:space="preserve"> </w:t>
            </w:r>
            <w:r>
              <w:rPr>
                <w:sz w:val="18"/>
              </w:rPr>
              <w:t>Ley</w:t>
            </w:r>
            <w:r>
              <w:rPr>
                <w:spacing w:val="-10"/>
                <w:sz w:val="18"/>
              </w:rPr>
              <w:t xml:space="preserve"> </w:t>
            </w:r>
            <w:r>
              <w:rPr>
                <w:sz w:val="18"/>
              </w:rPr>
              <w:t>1445</w:t>
            </w:r>
            <w:r>
              <w:rPr>
                <w:spacing w:val="-9"/>
                <w:sz w:val="18"/>
              </w:rPr>
              <w:t xml:space="preserve"> </w:t>
            </w:r>
            <w:r>
              <w:rPr>
                <w:sz w:val="18"/>
              </w:rPr>
              <w:t>de</w:t>
            </w:r>
            <w:r>
              <w:rPr>
                <w:spacing w:val="-13"/>
                <w:sz w:val="18"/>
              </w:rPr>
              <w:t xml:space="preserve"> </w:t>
            </w:r>
            <w:r>
              <w:rPr>
                <w:spacing w:val="-4"/>
                <w:sz w:val="18"/>
              </w:rPr>
              <w:t>2011;</w:t>
            </w:r>
          </w:p>
          <w:p w14:paraId="08DFD753" w14:textId="77777777" w:rsidR="008F59D7" w:rsidRDefault="005A53E5" w:rsidP="00EB144C">
            <w:pPr>
              <w:pStyle w:val="TableParagraph"/>
              <w:spacing w:line="360" w:lineRule="auto"/>
              <w:ind w:left="0"/>
              <w:rPr>
                <w:sz w:val="18"/>
              </w:rPr>
            </w:pPr>
            <w:r>
              <w:rPr>
                <w:sz w:val="18"/>
              </w:rPr>
              <w:t>Ley</w:t>
            </w:r>
            <w:r>
              <w:rPr>
                <w:spacing w:val="26"/>
                <w:sz w:val="18"/>
              </w:rPr>
              <w:t xml:space="preserve"> </w:t>
            </w:r>
            <w:r>
              <w:rPr>
                <w:sz w:val="18"/>
              </w:rPr>
              <w:t>1453</w:t>
            </w:r>
            <w:r>
              <w:rPr>
                <w:spacing w:val="25"/>
                <w:sz w:val="18"/>
              </w:rPr>
              <w:t xml:space="preserve"> </w:t>
            </w:r>
            <w:r>
              <w:rPr>
                <w:sz w:val="18"/>
              </w:rPr>
              <w:t>de</w:t>
            </w:r>
            <w:r>
              <w:rPr>
                <w:spacing w:val="26"/>
                <w:sz w:val="18"/>
              </w:rPr>
              <w:t xml:space="preserve"> </w:t>
            </w:r>
            <w:r>
              <w:rPr>
                <w:sz w:val="18"/>
              </w:rPr>
              <w:t>2011;</w:t>
            </w:r>
            <w:r>
              <w:rPr>
                <w:spacing w:val="25"/>
                <w:sz w:val="18"/>
              </w:rPr>
              <w:t xml:space="preserve"> </w:t>
            </w:r>
            <w:r>
              <w:rPr>
                <w:sz w:val="18"/>
              </w:rPr>
              <w:t>medidas</w:t>
            </w:r>
            <w:r>
              <w:rPr>
                <w:spacing w:val="24"/>
                <w:sz w:val="18"/>
              </w:rPr>
              <w:t xml:space="preserve"> </w:t>
            </w:r>
            <w:r>
              <w:rPr>
                <w:sz w:val="18"/>
              </w:rPr>
              <w:t xml:space="preserve">de </w:t>
            </w:r>
            <w:r>
              <w:rPr>
                <w:spacing w:val="-2"/>
                <w:sz w:val="18"/>
              </w:rPr>
              <w:t>convivencia</w:t>
            </w:r>
          </w:p>
        </w:tc>
        <w:tc>
          <w:tcPr>
            <w:tcW w:w="2800" w:type="dxa"/>
          </w:tcPr>
          <w:p w14:paraId="0E54303F" w14:textId="77777777" w:rsidR="008F59D7" w:rsidRDefault="005A53E5" w:rsidP="00EB144C">
            <w:pPr>
              <w:pStyle w:val="TableParagraph"/>
              <w:spacing w:line="360" w:lineRule="auto"/>
              <w:ind w:left="0"/>
              <w:rPr>
                <w:sz w:val="18"/>
              </w:rPr>
            </w:pPr>
            <w:r>
              <w:rPr>
                <w:sz w:val="18"/>
              </w:rPr>
              <w:t xml:space="preserve">Investigación penal, multa, medida pedagógica, reparación y prohibición de ingreso a escenarios </w:t>
            </w:r>
            <w:r>
              <w:rPr>
                <w:spacing w:val="-2"/>
                <w:sz w:val="18"/>
              </w:rPr>
              <w:t>deportivos</w:t>
            </w:r>
          </w:p>
        </w:tc>
      </w:tr>
      <w:tr w:rsidR="008F59D7" w14:paraId="13037FB7" w14:textId="77777777" w:rsidTr="00FF0028">
        <w:trPr>
          <w:trHeight w:val="1670"/>
        </w:trPr>
        <w:tc>
          <w:tcPr>
            <w:tcW w:w="1901" w:type="dxa"/>
          </w:tcPr>
          <w:p w14:paraId="75F84799" w14:textId="77777777" w:rsidR="008F59D7" w:rsidRDefault="008F59D7" w:rsidP="00EB144C">
            <w:pPr>
              <w:pStyle w:val="TableParagraph"/>
              <w:spacing w:line="360" w:lineRule="auto"/>
              <w:ind w:left="0"/>
              <w:rPr>
                <w:i/>
                <w:sz w:val="18"/>
              </w:rPr>
            </w:pPr>
          </w:p>
          <w:p w14:paraId="50DFA108" w14:textId="77777777" w:rsidR="008F59D7" w:rsidRDefault="008F59D7" w:rsidP="00EB144C">
            <w:pPr>
              <w:pStyle w:val="TableParagraph"/>
              <w:spacing w:line="360" w:lineRule="auto"/>
              <w:ind w:left="0"/>
              <w:rPr>
                <w:i/>
                <w:sz w:val="18"/>
              </w:rPr>
            </w:pPr>
          </w:p>
          <w:p w14:paraId="2E3191D7" w14:textId="77777777" w:rsidR="008F59D7" w:rsidRDefault="008F59D7" w:rsidP="00EB144C">
            <w:pPr>
              <w:pStyle w:val="TableParagraph"/>
              <w:spacing w:line="360" w:lineRule="auto"/>
              <w:ind w:left="0"/>
              <w:rPr>
                <w:i/>
                <w:sz w:val="18"/>
              </w:rPr>
            </w:pPr>
          </w:p>
          <w:p w14:paraId="3EB4A817" w14:textId="77777777" w:rsidR="008F59D7" w:rsidRDefault="005A53E5" w:rsidP="00EB144C">
            <w:pPr>
              <w:pStyle w:val="TableParagraph"/>
              <w:spacing w:line="360" w:lineRule="auto"/>
              <w:ind w:left="0"/>
              <w:rPr>
                <w:sz w:val="18"/>
              </w:rPr>
            </w:pPr>
            <w:r>
              <w:rPr>
                <w:sz w:val="18"/>
              </w:rPr>
              <w:t xml:space="preserve">Clubes y </w:t>
            </w:r>
            <w:r>
              <w:rPr>
                <w:spacing w:val="-2"/>
                <w:sz w:val="18"/>
              </w:rPr>
              <w:t>organizadores</w:t>
            </w:r>
          </w:p>
        </w:tc>
        <w:tc>
          <w:tcPr>
            <w:tcW w:w="2101" w:type="dxa"/>
          </w:tcPr>
          <w:p w14:paraId="33A16308" w14:textId="77777777" w:rsidR="008F59D7" w:rsidRDefault="008F59D7" w:rsidP="00EB144C">
            <w:pPr>
              <w:pStyle w:val="TableParagraph"/>
              <w:spacing w:line="360" w:lineRule="auto"/>
              <w:ind w:left="0"/>
              <w:rPr>
                <w:i/>
                <w:sz w:val="18"/>
              </w:rPr>
            </w:pPr>
          </w:p>
          <w:p w14:paraId="5160FA3B" w14:textId="77777777" w:rsidR="008F59D7" w:rsidRDefault="008F59D7" w:rsidP="00EB144C">
            <w:pPr>
              <w:pStyle w:val="TableParagraph"/>
              <w:spacing w:line="360" w:lineRule="auto"/>
              <w:ind w:left="0"/>
              <w:rPr>
                <w:i/>
                <w:sz w:val="18"/>
              </w:rPr>
            </w:pPr>
          </w:p>
          <w:p w14:paraId="106C787C" w14:textId="77777777" w:rsidR="008F59D7" w:rsidRDefault="005A53E5" w:rsidP="00EB144C">
            <w:pPr>
              <w:pStyle w:val="TableParagraph"/>
              <w:tabs>
                <w:tab w:val="left" w:pos="761"/>
                <w:tab w:val="left" w:pos="1917"/>
              </w:tabs>
              <w:spacing w:line="360" w:lineRule="auto"/>
              <w:ind w:left="0"/>
              <w:rPr>
                <w:sz w:val="18"/>
              </w:rPr>
            </w:pPr>
            <w:r>
              <w:rPr>
                <w:sz w:val="18"/>
              </w:rPr>
              <w:t>Civil (contractual frente al asistente con boleta; extracontractual frente a terceros), disciplinaria deportiva y administrativa</w:t>
            </w:r>
          </w:p>
        </w:tc>
        <w:tc>
          <w:tcPr>
            <w:tcW w:w="2562" w:type="dxa"/>
          </w:tcPr>
          <w:p w14:paraId="2C56F8BA" w14:textId="77777777" w:rsidR="008F59D7" w:rsidRDefault="005A53E5" w:rsidP="00EB144C">
            <w:pPr>
              <w:pStyle w:val="TableParagraph"/>
              <w:spacing w:line="360" w:lineRule="auto"/>
              <w:ind w:left="0"/>
              <w:rPr>
                <w:sz w:val="18"/>
              </w:rPr>
            </w:pPr>
            <w:r>
              <w:rPr>
                <w:sz w:val="18"/>
              </w:rPr>
              <w:t>Arts. 1603 y 1604 C.C. y art. 871 C.Co. (asistente); arts. 2341, 2347 y 2356 C.C. (terceros); Ley 1480 de 2011; Ley 1445 de 2011; Ley 1270 de 2009; CDU de la FCF (versión del 14 de enero de 2026); reglamentos Dimayor</w:t>
            </w:r>
          </w:p>
        </w:tc>
        <w:tc>
          <w:tcPr>
            <w:tcW w:w="2800" w:type="dxa"/>
          </w:tcPr>
          <w:p w14:paraId="1F90BC95" w14:textId="77777777" w:rsidR="008F59D7" w:rsidRDefault="008F59D7" w:rsidP="00EB144C">
            <w:pPr>
              <w:pStyle w:val="TableParagraph"/>
              <w:spacing w:line="360" w:lineRule="auto"/>
              <w:ind w:left="0"/>
              <w:rPr>
                <w:i/>
                <w:sz w:val="18"/>
              </w:rPr>
            </w:pPr>
          </w:p>
          <w:p w14:paraId="0E9F5EC6" w14:textId="77777777" w:rsidR="008F59D7" w:rsidRDefault="005A53E5" w:rsidP="00EB144C">
            <w:pPr>
              <w:pStyle w:val="TableParagraph"/>
              <w:spacing w:line="360" w:lineRule="auto"/>
              <w:ind w:left="0"/>
              <w:rPr>
                <w:sz w:val="18"/>
              </w:rPr>
            </w:pPr>
            <w:r>
              <w:rPr>
                <w:sz w:val="18"/>
              </w:rPr>
              <w:t>Deber de seguridad frente al asistente, indemnización de perjuicios a asistentes y terceros, multas, cierres de tribuna y medidas correctivas</w:t>
            </w:r>
          </w:p>
        </w:tc>
      </w:tr>
      <w:tr w:rsidR="008F59D7" w14:paraId="5A438453" w14:textId="77777777" w:rsidTr="00FF0028">
        <w:trPr>
          <w:trHeight w:val="1670"/>
        </w:trPr>
        <w:tc>
          <w:tcPr>
            <w:tcW w:w="1901" w:type="dxa"/>
          </w:tcPr>
          <w:p w14:paraId="08474249" w14:textId="77777777" w:rsidR="008F59D7" w:rsidRDefault="008F59D7" w:rsidP="00EB144C">
            <w:pPr>
              <w:pStyle w:val="TableParagraph"/>
              <w:spacing w:line="360" w:lineRule="auto"/>
              <w:ind w:left="0"/>
              <w:rPr>
                <w:i/>
                <w:sz w:val="18"/>
              </w:rPr>
            </w:pPr>
          </w:p>
          <w:p w14:paraId="30C6A3D7" w14:textId="77777777" w:rsidR="008F59D7" w:rsidRDefault="008F59D7" w:rsidP="00EB144C">
            <w:pPr>
              <w:pStyle w:val="TableParagraph"/>
              <w:spacing w:line="360" w:lineRule="auto"/>
              <w:ind w:left="0"/>
              <w:rPr>
                <w:i/>
                <w:sz w:val="18"/>
              </w:rPr>
            </w:pPr>
          </w:p>
          <w:p w14:paraId="4F884738" w14:textId="77777777" w:rsidR="008F59D7" w:rsidRDefault="005A53E5" w:rsidP="00EB144C">
            <w:pPr>
              <w:pStyle w:val="TableParagraph"/>
              <w:spacing w:line="360" w:lineRule="auto"/>
              <w:ind w:left="0"/>
              <w:rPr>
                <w:sz w:val="18"/>
              </w:rPr>
            </w:pPr>
            <w:r>
              <w:rPr>
                <w:sz w:val="18"/>
              </w:rPr>
              <w:t>Dimayor</w:t>
            </w:r>
            <w:r>
              <w:rPr>
                <w:spacing w:val="32"/>
                <w:sz w:val="18"/>
              </w:rPr>
              <w:t xml:space="preserve"> </w:t>
            </w:r>
            <w:r>
              <w:rPr>
                <w:sz w:val="18"/>
              </w:rPr>
              <w:t>y</w:t>
            </w:r>
            <w:r>
              <w:rPr>
                <w:spacing w:val="31"/>
                <w:sz w:val="18"/>
              </w:rPr>
              <w:t xml:space="preserve"> </w:t>
            </w:r>
            <w:r>
              <w:rPr>
                <w:sz w:val="18"/>
              </w:rPr>
              <w:t>Federación Colombiana de Fútbol</w:t>
            </w:r>
          </w:p>
        </w:tc>
        <w:tc>
          <w:tcPr>
            <w:tcW w:w="2101" w:type="dxa"/>
          </w:tcPr>
          <w:p w14:paraId="3A212090" w14:textId="77777777" w:rsidR="008F59D7" w:rsidRDefault="008F59D7" w:rsidP="00EB144C">
            <w:pPr>
              <w:pStyle w:val="TableParagraph"/>
              <w:spacing w:line="360" w:lineRule="auto"/>
              <w:ind w:left="0"/>
              <w:rPr>
                <w:i/>
                <w:sz w:val="18"/>
              </w:rPr>
            </w:pPr>
          </w:p>
          <w:p w14:paraId="23EAF966" w14:textId="77777777" w:rsidR="008F59D7" w:rsidRDefault="005A53E5" w:rsidP="00EB144C">
            <w:pPr>
              <w:pStyle w:val="TableParagraph"/>
              <w:tabs>
                <w:tab w:val="left" w:pos="1918"/>
              </w:tabs>
              <w:spacing w:line="360" w:lineRule="auto"/>
              <w:ind w:left="0"/>
              <w:rPr>
                <w:sz w:val="18"/>
              </w:rPr>
            </w:pPr>
            <w:r>
              <w:rPr>
                <w:spacing w:val="-2"/>
                <w:sz w:val="18"/>
              </w:rPr>
              <w:t>Disciplinaria deportiva y constitucional, por ejercicio de poder regulatorio privado</w:t>
            </w:r>
          </w:p>
        </w:tc>
        <w:tc>
          <w:tcPr>
            <w:tcW w:w="2562" w:type="dxa"/>
          </w:tcPr>
          <w:p w14:paraId="086E83AB" w14:textId="77777777" w:rsidR="008F59D7" w:rsidRDefault="008F59D7" w:rsidP="00EB144C">
            <w:pPr>
              <w:pStyle w:val="TableParagraph"/>
              <w:spacing w:line="360" w:lineRule="auto"/>
              <w:ind w:left="0"/>
              <w:rPr>
                <w:i/>
                <w:sz w:val="18"/>
              </w:rPr>
            </w:pPr>
          </w:p>
          <w:p w14:paraId="12BDE0C9" w14:textId="77777777" w:rsidR="008F59D7" w:rsidRDefault="005A53E5" w:rsidP="00EB144C">
            <w:pPr>
              <w:pStyle w:val="TableParagraph"/>
              <w:spacing w:line="360" w:lineRule="auto"/>
              <w:ind w:left="0"/>
              <w:rPr>
                <w:sz w:val="18"/>
              </w:rPr>
            </w:pPr>
            <w:r>
              <w:rPr>
                <w:sz w:val="18"/>
              </w:rPr>
              <w:t>Código Disciplinario Único; reglamentos de competencia; Sentencias</w:t>
            </w:r>
            <w:r>
              <w:rPr>
                <w:spacing w:val="-1"/>
                <w:sz w:val="18"/>
              </w:rPr>
              <w:t xml:space="preserve"> </w:t>
            </w:r>
            <w:r>
              <w:rPr>
                <w:sz w:val="18"/>
              </w:rPr>
              <w:t>SU-386</w:t>
            </w:r>
            <w:r>
              <w:rPr>
                <w:spacing w:val="-1"/>
                <w:sz w:val="18"/>
              </w:rPr>
              <w:t xml:space="preserve"> </w:t>
            </w:r>
            <w:r>
              <w:rPr>
                <w:sz w:val="18"/>
              </w:rPr>
              <w:t>de</w:t>
            </w:r>
            <w:r>
              <w:rPr>
                <w:spacing w:val="-1"/>
                <w:sz w:val="18"/>
              </w:rPr>
              <w:t xml:space="preserve"> </w:t>
            </w:r>
            <w:r>
              <w:rPr>
                <w:sz w:val="18"/>
              </w:rPr>
              <w:t>2023</w:t>
            </w:r>
            <w:r>
              <w:rPr>
                <w:spacing w:val="-1"/>
                <w:sz w:val="18"/>
              </w:rPr>
              <w:t xml:space="preserve"> </w:t>
            </w:r>
            <w:r>
              <w:rPr>
                <w:sz w:val="18"/>
              </w:rPr>
              <w:t>y T-464 de 2022</w:t>
            </w:r>
          </w:p>
        </w:tc>
        <w:tc>
          <w:tcPr>
            <w:tcW w:w="2800" w:type="dxa"/>
          </w:tcPr>
          <w:p w14:paraId="19653233" w14:textId="77777777" w:rsidR="008F59D7" w:rsidRDefault="005A53E5" w:rsidP="00EB144C">
            <w:pPr>
              <w:pStyle w:val="TableParagraph"/>
              <w:spacing w:line="360" w:lineRule="auto"/>
              <w:ind w:left="0"/>
              <w:rPr>
                <w:sz w:val="18"/>
              </w:rPr>
            </w:pPr>
            <w:r>
              <w:rPr>
                <w:sz w:val="18"/>
              </w:rPr>
              <w:t xml:space="preserve">Sanciones motivadas, debido proceso, doble instancia, proporcionalidad y control judicial cuando se afecten derechos </w:t>
            </w:r>
            <w:r>
              <w:rPr>
                <w:spacing w:val="-2"/>
                <w:sz w:val="18"/>
              </w:rPr>
              <w:t>fundamentales</w:t>
            </w:r>
          </w:p>
        </w:tc>
      </w:tr>
      <w:tr w:rsidR="008F59D7" w14:paraId="338AEAE3" w14:textId="77777777" w:rsidTr="00FF0028">
        <w:trPr>
          <w:trHeight w:val="1358"/>
        </w:trPr>
        <w:tc>
          <w:tcPr>
            <w:tcW w:w="1901" w:type="dxa"/>
          </w:tcPr>
          <w:p w14:paraId="6B384E06" w14:textId="77777777" w:rsidR="008F59D7" w:rsidRDefault="008F59D7" w:rsidP="00EB144C">
            <w:pPr>
              <w:pStyle w:val="TableParagraph"/>
              <w:spacing w:line="360" w:lineRule="auto"/>
              <w:ind w:left="0"/>
              <w:rPr>
                <w:i/>
                <w:sz w:val="18"/>
              </w:rPr>
            </w:pPr>
          </w:p>
          <w:p w14:paraId="6A162F44" w14:textId="77777777" w:rsidR="008F59D7" w:rsidRDefault="005A53E5" w:rsidP="00EB144C">
            <w:pPr>
              <w:pStyle w:val="TableParagraph"/>
              <w:tabs>
                <w:tab w:val="left" w:pos="860"/>
                <w:tab w:val="left" w:pos="1721"/>
              </w:tabs>
              <w:spacing w:line="360" w:lineRule="auto"/>
              <w:ind w:left="0"/>
              <w:rPr>
                <w:sz w:val="18"/>
              </w:rPr>
            </w:pPr>
            <w:r>
              <w:rPr>
                <w:spacing w:val="-2"/>
                <w:sz w:val="18"/>
              </w:rPr>
              <w:t>Estado,</w:t>
            </w:r>
            <w:r>
              <w:rPr>
                <w:sz w:val="18"/>
              </w:rPr>
              <w:t xml:space="preserve"> </w:t>
            </w:r>
            <w:r>
              <w:rPr>
                <w:spacing w:val="-2"/>
                <w:sz w:val="18"/>
              </w:rPr>
              <w:t>alcaldías</w:t>
            </w:r>
            <w:r>
              <w:rPr>
                <w:sz w:val="18"/>
              </w:rPr>
              <w:t xml:space="preserve"> </w:t>
            </w:r>
            <w:r>
              <w:rPr>
                <w:spacing w:val="-10"/>
                <w:sz w:val="18"/>
              </w:rPr>
              <w:t>y</w:t>
            </w:r>
            <w:r>
              <w:rPr>
                <w:sz w:val="18"/>
              </w:rPr>
              <w:t xml:space="preserve"> Policía Nacional</w:t>
            </w:r>
          </w:p>
        </w:tc>
        <w:tc>
          <w:tcPr>
            <w:tcW w:w="2101" w:type="dxa"/>
          </w:tcPr>
          <w:p w14:paraId="702043E7" w14:textId="77777777" w:rsidR="008F59D7" w:rsidRDefault="008F59D7" w:rsidP="00EB144C">
            <w:pPr>
              <w:pStyle w:val="TableParagraph"/>
              <w:spacing w:line="360" w:lineRule="auto"/>
              <w:ind w:left="0"/>
              <w:rPr>
                <w:i/>
                <w:sz w:val="18"/>
              </w:rPr>
            </w:pPr>
          </w:p>
          <w:p w14:paraId="20D9ECF5" w14:textId="77777777" w:rsidR="008F59D7" w:rsidRDefault="005A53E5" w:rsidP="00EB144C">
            <w:pPr>
              <w:pStyle w:val="TableParagraph"/>
              <w:spacing w:line="360" w:lineRule="auto"/>
              <w:ind w:left="0"/>
              <w:rPr>
                <w:sz w:val="18"/>
              </w:rPr>
            </w:pPr>
            <w:r>
              <w:rPr>
                <w:spacing w:val="-2"/>
                <w:sz w:val="18"/>
              </w:rPr>
              <w:t xml:space="preserve">Constitucional, </w:t>
            </w:r>
            <w:r>
              <w:rPr>
                <w:sz w:val="18"/>
              </w:rPr>
              <w:t>administrativa</w:t>
            </w:r>
            <w:r>
              <w:rPr>
                <w:spacing w:val="-12"/>
                <w:sz w:val="18"/>
              </w:rPr>
              <w:t xml:space="preserve"> </w:t>
            </w:r>
            <w:r>
              <w:rPr>
                <w:sz w:val="18"/>
              </w:rPr>
              <w:t>y</w:t>
            </w:r>
            <w:r>
              <w:rPr>
                <w:spacing w:val="-11"/>
                <w:sz w:val="18"/>
              </w:rPr>
              <w:t xml:space="preserve"> </w:t>
            </w:r>
            <w:r>
              <w:rPr>
                <w:sz w:val="18"/>
              </w:rPr>
              <w:t>policiva</w:t>
            </w:r>
          </w:p>
        </w:tc>
        <w:tc>
          <w:tcPr>
            <w:tcW w:w="2562" w:type="dxa"/>
          </w:tcPr>
          <w:p w14:paraId="6364262E" w14:textId="77777777" w:rsidR="008F59D7" w:rsidRDefault="005A53E5" w:rsidP="00EB144C">
            <w:pPr>
              <w:pStyle w:val="TableParagraph"/>
              <w:spacing w:line="360" w:lineRule="auto"/>
              <w:ind w:left="0"/>
              <w:rPr>
                <w:sz w:val="18"/>
              </w:rPr>
            </w:pPr>
            <w:r>
              <w:rPr>
                <w:sz w:val="18"/>
              </w:rPr>
              <w:t>Constitución Política; Ley 1270 de 2009; concepto del Consejo de Estado (Sala de Consulta y Servicio Civil) del 17 de septiembre de 2025 sobre el orden público en los espectáculos futbolísticos</w:t>
            </w:r>
          </w:p>
        </w:tc>
        <w:tc>
          <w:tcPr>
            <w:tcW w:w="2800" w:type="dxa"/>
          </w:tcPr>
          <w:p w14:paraId="14198EE0" w14:textId="77777777" w:rsidR="008F59D7" w:rsidRDefault="005A53E5" w:rsidP="00EB144C">
            <w:pPr>
              <w:pStyle w:val="TableParagraph"/>
              <w:spacing w:line="360" w:lineRule="auto"/>
              <w:ind w:left="0"/>
              <w:rPr>
                <w:sz w:val="18"/>
              </w:rPr>
            </w:pPr>
            <w:r>
              <w:rPr>
                <w:sz w:val="18"/>
              </w:rPr>
              <w:t>Planeación preventiva, control indelegable del orden público, rutas de denuncia y eventual responsabilidad por omisión</w:t>
            </w:r>
          </w:p>
        </w:tc>
      </w:tr>
      <w:tr w:rsidR="008F59D7" w14:paraId="548C4F03" w14:textId="77777777" w:rsidTr="00FF0028">
        <w:trPr>
          <w:trHeight w:val="1358"/>
        </w:trPr>
        <w:tc>
          <w:tcPr>
            <w:tcW w:w="1901" w:type="dxa"/>
          </w:tcPr>
          <w:p w14:paraId="7361D330" w14:textId="77777777" w:rsidR="008F59D7" w:rsidRDefault="008F59D7" w:rsidP="00EB144C">
            <w:pPr>
              <w:pStyle w:val="TableParagraph"/>
              <w:spacing w:line="360" w:lineRule="auto"/>
              <w:ind w:left="0"/>
              <w:rPr>
                <w:i/>
                <w:sz w:val="18"/>
              </w:rPr>
            </w:pPr>
          </w:p>
          <w:p w14:paraId="0AEFD8A5" w14:textId="77777777" w:rsidR="008F59D7" w:rsidRDefault="008F59D7" w:rsidP="00EB144C">
            <w:pPr>
              <w:pStyle w:val="TableParagraph"/>
              <w:spacing w:line="360" w:lineRule="auto"/>
              <w:ind w:left="0"/>
              <w:rPr>
                <w:i/>
                <w:sz w:val="18"/>
              </w:rPr>
            </w:pPr>
          </w:p>
          <w:p w14:paraId="2E56DD54" w14:textId="77777777" w:rsidR="008F59D7" w:rsidRDefault="005A53E5" w:rsidP="00EB144C">
            <w:pPr>
              <w:pStyle w:val="TableParagraph"/>
              <w:spacing w:line="360" w:lineRule="auto"/>
              <w:ind w:left="0"/>
              <w:rPr>
                <w:sz w:val="18"/>
              </w:rPr>
            </w:pPr>
            <w:r>
              <w:rPr>
                <w:sz w:val="18"/>
              </w:rPr>
              <w:t>Barras</w:t>
            </w:r>
            <w:r>
              <w:rPr>
                <w:spacing w:val="-4"/>
                <w:sz w:val="18"/>
              </w:rPr>
              <w:t xml:space="preserve"> </w:t>
            </w:r>
            <w:r>
              <w:rPr>
                <w:spacing w:val="-2"/>
                <w:sz w:val="18"/>
              </w:rPr>
              <w:t>organizadas</w:t>
            </w:r>
          </w:p>
        </w:tc>
        <w:tc>
          <w:tcPr>
            <w:tcW w:w="2101" w:type="dxa"/>
          </w:tcPr>
          <w:p w14:paraId="55759982" w14:textId="77777777" w:rsidR="008F59D7" w:rsidRDefault="008F59D7" w:rsidP="00EB144C">
            <w:pPr>
              <w:pStyle w:val="TableParagraph"/>
              <w:spacing w:line="360" w:lineRule="auto"/>
              <w:ind w:left="0"/>
              <w:rPr>
                <w:i/>
                <w:sz w:val="18"/>
              </w:rPr>
            </w:pPr>
          </w:p>
          <w:p w14:paraId="1B8F00B2" w14:textId="77777777" w:rsidR="008F59D7" w:rsidRDefault="005A53E5" w:rsidP="00EB144C">
            <w:pPr>
              <w:pStyle w:val="TableParagraph"/>
              <w:spacing w:line="360" w:lineRule="auto"/>
              <w:ind w:left="0"/>
              <w:rPr>
                <w:sz w:val="18"/>
              </w:rPr>
            </w:pPr>
            <w:r>
              <w:rPr>
                <w:sz w:val="18"/>
              </w:rPr>
              <w:t>Participación</w:t>
            </w:r>
            <w:r>
              <w:rPr>
                <w:spacing w:val="80"/>
                <w:sz w:val="18"/>
              </w:rPr>
              <w:t xml:space="preserve"> </w:t>
            </w:r>
            <w:r>
              <w:rPr>
                <w:sz w:val="18"/>
              </w:rPr>
              <w:t>social</w:t>
            </w:r>
            <w:r>
              <w:rPr>
                <w:spacing w:val="80"/>
                <w:sz w:val="18"/>
              </w:rPr>
              <w:t xml:space="preserve"> </w:t>
            </w:r>
            <w:r>
              <w:rPr>
                <w:sz w:val="18"/>
              </w:rPr>
              <w:t>con deberes de convivencia</w:t>
            </w:r>
          </w:p>
        </w:tc>
        <w:tc>
          <w:tcPr>
            <w:tcW w:w="2562" w:type="dxa"/>
          </w:tcPr>
          <w:p w14:paraId="581A78CA" w14:textId="77777777" w:rsidR="008F59D7" w:rsidRDefault="008F59D7" w:rsidP="00EB144C">
            <w:pPr>
              <w:pStyle w:val="TableParagraph"/>
              <w:spacing w:line="360" w:lineRule="auto"/>
              <w:ind w:left="0"/>
              <w:rPr>
                <w:i/>
                <w:sz w:val="18"/>
              </w:rPr>
            </w:pPr>
          </w:p>
          <w:p w14:paraId="0A98CC35" w14:textId="77777777" w:rsidR="008F59D7" w:rsidRDefault="005A53E5" w:rsidP="00EB144C">
            <w:pPr>
              <w:pStyle w:val="TableParagraph"/>
              <w:tabs>
                <w:tab w:val="left" w:pos="1006"/>
                <w:tab w:val="left" w:pos="1671"/>
                <w:tab w:val="left" w:pos="2057"/>
              </w:tabs>
              <w:spacing w:line="360" w:lineRule="auto"/>
              <w:ind w:left="0"/>
              <w:rPr>
                <w:sz w:val="18"/>
              </w:rPr>
            </w:pPr>
            <w:r>
              <w:rPr>
                <w:spacing w:val="-2"/>
                <w:sz w:val="18"/>
              </w:rPr>
              <w:t>Sentencia C-065 de 2021; Decreto 1007 de 2012; Plan Decenal 2014-2024</w:t>
            </w:r>
          </w:p>
        </w:tc>
        <w:tc>
          <w:tcPr>
            <w:tcW w:w="2800" w:type="dxa"/>
          </w:tcPr>
          <w:p w14:paraId="22DEB32B" w14:textId="77777777" w:rsidR="008F59D7" w:rsidRDefault="005A53E5" w:rsidP="00EB144C">
            <w:pPr>
              <w:pStyle w:val="TableParagraph"/>
              <w:tabs>
                <w:tab w:val="left" w:pos="1420"/>
                <w:tab w:val="left" w:pos="2536"/>
              </w:tabs>
              <w:spacing w:line="360" w:lineRule="auto"/>
              <w:ind w:left="0"/>
              <w:rPr>
                <w:sz w:val="18"/>
              </w:rPr>
            </w:pPr>
            <w:r>
              <w:rPr>
                <w:sz w:val="18"/>
              </w:rPr>
              <w:t xml:space="preserve">Participación con voz en las </w:t>
            </w:r>
            <w:r>
              <w:rPr>
                <w:spacing w:val="-2"/>
                <w:sz w:val="18"/>
              </w:rPr>
              <w:t>comisiones,</w:t>
            </w:r>
            <w:r>
              <w:rPr>
                <w:sz w:val="18"/>
              </w:rPr>
              <w:t xml:space="preserve"> </w:t>
            </w:r>
            <w:r>
              <w:rPr>
                <w:spacing w:val="-2"/>
                <w:sz w:val="18"/>
              </w:rPr>
              <w:t>acuerdos</w:t>
            </w:r>
            <w:r>
              <w:rPr>
                <w:sz w:val="18"/>
              </w:rPr>
              <w:t xml:space="preserve"> </w:t>
            </w:r>
            <w:r>
              <w:rPr>
                <w:spacing w:val="-6"/>
                <w:sz w:val="18"/>
              </w:rPr>
              <w:t>de</w:t>
            </w:r>
            <w:r>
              <w:rPr>
                <w:sz w:val="18"/>
              </w:rPr>
              <w:t xml:space="preserve"> convivencia</w:t>
            </w:r>
            <w:r>
              <w:rPr>
                <w:spacing w:val="-2"/>
                <w:sz w:val="18"/>
              </w:rPr>
              <w:t xml:space="preserve"> </w:t>
            </w:r>
            <w:r>
              <w:rPr>
                <w:sz w:val="18"/>
              </w:rPr>
              <w:t>y</w:t>
            </w:r>
            <w:r>
              <w:rPr>
                <w:spacing w:val="-1"/>
                <w:sz w:val="18"/>
              </w:rPr>
              <w:t xml:space="preserve"> </w:t>
            </w:r>
            <w:r>
              <w:rPr>
                <w:sz w:val="18"/>
              </w:rPr>
              <w:t>sanción</w:t>
            </w:r>
            <w:r>
              <w:rPr>
                <w:spacing w:val="-1"/>
                <w:sz w:val="18"/>
              </w:rPr>
              <w:t xml:space="preserve"> </w:t>
            </w:r>
            <w:r>
              <w:rPr>
                <w:sz w:val="18"/>
              </w:rPr>
              <w:t>individual</w:t>
            </w:r>
            <w:r>
              <w:rPr>
                <w:spacing w:val="-4"/>
                <w:sz w:val="18"/>
              </w:rPr>
              <w:t xml:space="preserve"> </w:t>
            </w:r>
            <w:r>
              <w:rPr>
                <w:sz w:val="18"/>
              </w:rPr>
              <w:t>de los integrantes violentos</w:t>
            </w:r>
          </w:p>
        </w:tc>
      </w:tr>
    </w:tbl>
    <w:p w14:paraId="58796408" w14:textId="4396B0B7" w:rsidR="00FF0028" w:rsidRDefault="005A53E5" w:rsidP="00EB144C">
      <w:pPr>
        <w:pStyle w:val="Textoindependiente"/>
        <w:spacing w:line="360" w:lineRule="auto"/>
        <w:ind w:left="0"/>
        <w:jc w:val="both"/>
      </w:pPr>
      <w:r>
        <w:rPr>
          <w:i/>
        </w:rPr>
        <w:t>Nota.</w:t>
      </w:r>
      <w:r>
        <w:t xml:space="preserve"> Elaboración propia con base en la Constitución Política de 1991, el Código Civil, el Código de Comercio, la Ley 1480 de 2011, la Ley 1270 de 2009, la Ley 1445 de 2011, la Ley 1453 de 2011, el Decreto 1007 de 2012, el concepto de la Sala de Consulta y Servicio Civil del Consejo de Estado del 17 de septiembre de 2025, el Código Disciplinario Único de la FCF (2026) y la jurisprudencia revisada.</w:t>
      </w:r>
    </w:p>
    <w:p w14:paraId="04E29E95" w14:textId="27F3B908" w:rsidR="008F59D7" w:rsidRPr="00720FAB" w:rsidRDefault="005A53E5" w:rsidP="00EB144C">
      <w:pPr>
        <w:pStyle w:val="Ttulo1"/>
        <w:numPr>
          <w:ilvl w:val="1"/>
          <w:numId w:val="1"/>
        </w:numPr>
        <w:tabs>
          <w:tab w:val="left" w:pos="698"/>
        </w:tabs>
        <w:spacing w:line="360" w:lineRule="auto"/>
        <w:ind w:left="0" w:firstLine="0"/>
        <w:jc w:val="left"/>
      </w:pPr>
      <w:r>
        <w:lastRenderedPageBreak/>
        <w:t>Impacto</w:t>
      </w:r>
      <w:r>
        <w:rPr>
          <w:spacing w:val="-1"/>
        </w:rPr>
        <w:t xml:space="preserve"> </w:t>
      </w:r>
      <w:r>
        <w:t>económico</w:t>
      </w:r>
      <w:r>
        <w:rPr>
          <w:spacing w:val="-3"/>
        </w:rPr>
        <w:t xml:space="preserve"> </w:t>
      </w:r>
      <w:r>
        <w:t>de</w:t>
      </w:r>
      <w:r>
        <w:rPr>
          <w:spacing w:val="-2"/>
        </w:rPr>
        <w:t xml:space="preserve"> </w:t>
      </w:r>
      <w:r>
        <w:t xml:space="preserve">la </w:t>
      </w:r>
      <w:r>
        <w:rPr>
          <w:spacing w:val="-2"/>
        </w:rPr>
        <w:t>violencia</w:t>
      </w:r>
    </w:p>
    <w:p w14:paraId="04EA6810" w14:textId="77777777" w:rsidR="008F59D7" w:rsidRDefault="00E94736" w:rsidP="00EB144C">
      <w:pPr>
        <w:pStyle w:val="Textoindependiente"/>
        <w:spacing w:line="360" w:lineRule="auto"/>
        <w:ind w:left="0" w:firstLine="707"/>
        <w:jc w:val="both"/>
        <w:rPr>
          <w:spacing w:val="-2"/>
        </w:rPr>
      </w:pPr>
      <w:r>
        <w:rPr/>
        <w:t>Las pérdidas económicas golpean toda la cadena de valor del espectáculo, y van más allá de las multas. El primer efecto lo producen las sanciones del Comité Disciplinario de la Dimayor, que se imponen resolución por resolución cuando hay fallas de seguridad en las gradas o conducta impropia de los espectadores. En las resoluciones que revisamos, las multas van de ocho a diez salarios mínimos legales mensuales vigentes y pueden llegar al cierre parcial o total de las tribunas. Un ejemplo es la Resolución 095 de 2024, con la que el Comité Disciplinario del Campeonato multó al Club Deportivo Popular Junior F. C. S. A. con trece millones de pesos, diez salarios mínimos de ese año, por conducta impropia de sus espectadores, y castigó al Club Deportes Quindío S. A. con dos fechas de suspensión parcial de la tribuna oriental (División Mayor del Fútbol Colombiano, 2024). Como no hay un consolidado oficial de estas sanciones, no damos un monto total ni decimos cuántas veces ha sido sancionado cada club, y tampoco medimos el efecto disuasorio de las multas. Lo que sí podemos afirmar es menos ambicioso: las sanciones se imponen por resolución y por hecho, cada una se mueve en el rango descrito, y con la información pública no hay forma de saber si la repetición de sanciones a un mismo club se debe a que la sanción no sirve o a otros factores, como cuántos partidos de alto riesgo juega o qué tan grande es su hinchada.</w:t>
      </w:r>
    </w:p>
    <w:p w14:paraId="321A6EAA" w14:textId="6E93EE59" w:rsidR="00347D59" w:rsidRPr="00FF0028" w:rsidRDefault="00E94736" w:rsidP="00EB144C">
      <w:pPr>
        <w:pStyle w:val="Textoindependiente"/>
        <w:spacing w:line="360" w:lineRule="auto"/>
        <w:ind w:left="0" w:firstLine="707"/>
        <w:jc w:val="both"/>
        <w:rPr>
          <w:spacing w:val="-2"/>
        </w:rPr>
      </w:pPr>
      <w:r>
        <w:rPr/>
        <w:t>El segundo efecto cuesta más medirlo y probablemente sale más caro: la gente deja de ir al estadio por voluntad propia. Es de esperar que el miedo a la inseguridad pese en esa decisión junto con otros factores, como el horario o la calidad del juego, y el resultado son tribunas a medio llenar aunque el interés por el fútbol se mantenga, porque algunos aficionados, sobre todo las familias y las personas mayores, prefieren ver los partidos por televisión. El tercer efecto toca a patrocinadores y derechos de televisión, de los que depende buena parte de las finanzas de los clubes. Un patrocinador puede tener en su contrato cláusulas de protección de imagen que le permiten reducir o cancelar el aporte si el club es sancionado o si sale en las noticias por hechos violentos. Y un operador de televisión puede usar la imagen de inseguridad del torneo para negociar a la baja, porque un fútbol violento vale menos en el mercado audiovisual que uno que la familia puede ver tranquila.</w:t>
      </w:r>
    </w:p>
    <w:p w14:paraId="321A6EAA" w14:textId="6E93EE59" w:rsidR="00347D59" w:rsidRPr="00FF0028" w:rsidRDefault="00E94736" w:rsidP="00EB144C">
      <w:pPr>
        <w:pStyle w:val="Textoindependiente"/>
        <w:spacing w:line="360" w:lineRule="auto"/>
        <w:ind w:left="0" w:firstLine="707"/>
        <w:jc w:val="both"/>
        <w:rPr>
          <w:spacing w:val="-2"/>
        </w:rPr>
      </w:pPr>
      <w:r>
        <w:rPr/>
        <w:t>El último efecto lo sufre la economía de las ciudades sede. Comerciantes, restaurantes, transportadores y proveedores que viven de los partidos pierden ingresos cada vez que la violencia vacía las tribunas o mueve el horario de un encuentro, y esa pérdida no aparece en el balance de ningún club. En este trabajo no la medimos; creemos, sin embargo, que el daño a la economía local puede ser mayor que el que soportan directamente los clubes.</w:t>
      </w:r>
    </w:p>
    <w:p w14:paraId="1432E5F0" w14:textId="1A0C8D42" w:rsidR="008F59D7" w:rsidRPr="00FF0028" w:rsidRDefault="005A53E5" w:rsidP="00EB144C">
      <w:pPr>
        <w:pStyle w:val="Ttulo1"/>
        <w:numPr>
          <w:ilvl w:val="1"/>
          <w:numId w:val="1"/>
        </w:numPr>
        <w:tabs>
          <w:tab w:val="left" w:pos="698"/>
        </w:tabs>
        <w:spacing w:line="360" w:lineRule="auto"/>
        <w:ind w:left="0" w:firstLine="0"/>
        <w:jc w:val="left"/>
      </w:pPr>
      <w:r>
        <w:t>Modelos</w:t>
      </w:r>
      <w:r>
        <w:rPr>
          <w:spacing w:val="-2"/>
        </w:rPr>
        <w:t xml:space="preserve"> </w:t>
      </w:r>
      <w:r>
        <w:t>internacionales</w:t>
      </w:r>
      <w:r>
        <w:rPr>
          <w:spacing w:val="-2"/>
        </w:rPr>
        <w:t xml:space="preserve"> </w:t>
      </w:r>
      <w:r>
        <w:t>de</w:t>
      </w:r>
      <w:r>
        <w:rPr>
          <w:spacing w:val="-1"/>
        </w:rPr>
        <w:t xml:space="preserve"> </w:t>
      </w:r>
      <w:r>
        <w:rPr>
          <w:spacing w:val="-2"/>
        </w:rPr>
        <w:t>referencia</w:t>
      </w:r>
    </w:p>
    <w:p w14:paraId="7FABEA6C" w14:textId="77777777" w:rsidR="00347D59" w:rsidRDefault="00347D59" w:rsidP="00EB144C">
      <w:pPr>
        <w:pStyle w:val="Textoindependiente"/>
        <w:spacing w:line="360" w:lineRule="auto"/>
        <w:ind w:left="0" w:firstLine="707"/>
        <w:jc w:val="both"/>
      </w:pPr>
      <w:r>
        <w:t>La comparación con Inglaterra, Argentina y Uruguay deja enseñanzas que pueden aplicarse en Colombia. Lo que tienen en común los tres casos es que la reducción de la violencia no provino de una medida única, sino de la articulación sostenida de varios instrumentos, respaldada por una voluntad política estable.</w:t>
      </w:r>
    </w:p>
    <w:p w14:paraId="014D20F5" w14:textId="77777777" w:rsidR="008F59D7" w:rsidRDefault="005A53E5" w:rsidP="00EB144C">
      <w:pPr>
        <w:pStyle w:val="Textoindependiente"/>
        <w:spacing w:line="360" w:lineRule="auto"/>
        <w:ind w:left="0" w:firstLine="707"/>
        <w:jc w:val="both"/>
      </w:pPr>
      <w:r>
        <w:rPr/>
        <w:t>En Inglaterra, el punto de quiebre fue Hillsborough: el 15 de abril de 1989, en la semifinal de la FA Cup entre el Liverpool y el Nottingham Forest, murieron 97 personas. El Gobierno encargó entonces un informe independiente, el Informe Taylor (1990), que atribuyó la tragedia sobre todo a una falla en el control policial y recomendó reconvertir los estadios de primera y segunda división, cambiando las zonas de pie por asientos individuales. Hacia mediados de los noventa la reforma estaba terminada y ya no quedaban vallados perimetrales; sobre esa base empezaron a aplicarse las football banning orders de la Football Spectators Act de 1989, que le cierran el estadio a quien esté vinculado con hechos violentos (Reino Unido, 1989). Los datos oficiales del Ministerio del Interior británico permiten medir el cambio: entre las temporadas 2010-2011 y 2018-2019 las detenciones relacionadas con el fútbol bajaron cerca de un 55 %, y en la temporada 2024-2025 la tasa fue de 4,2 detenciones por cada 100.000 asistentes (Home Office, 2025).</w:t>
      </w:r>
    </w:p>
    <w:p w14:paraId="06F603E4" w14:textId="77777777" w:rsidR="008F59D7" w:rsidRDefault="005A53E5" w:rsidP="00EB144C">
      <w:pPr>
        <w:pStyle w:val="Textoindependiente"/>
        <w:spacing w:line="360" w:lineRule="auto"/>
        <w:ind w:left="0" w:firstLine="707"/>
        <w:jc w:val="both"/>
      </w:pPr>
      <w:r>
        <w:t>Argentina opera el programa Tribuna Segura, una política pública del Ministerio de Seguridad de la Nación y no de la Asociación del Fútbol Argentino. Su base normativa es el Decreto 246 de 2017, reglamentario de la Ley 20.655, cuyo artículo 7 faculta al Ministerio para restringir preventivamente la concurrencia a espectáculos futbolísticos, y la Resolución 354 de 2017, que instituyó la restricción de concurrencia administrativa. El programa como tal nació con la Resolución 843 de 2018 del entonces Ministerio de Seguridad, luego modificada, y su objeto es controlar y fiscalizar el acceso de público a los estadios cada vez que se juega un partido en territorio argentino, según lo recapitula una fuente oficial reciente (Ministerio de Seguridad Nacional, 2026b, considerandos).</w:t>
      </w:r>
    </w:p>
    <w:p w14:paraId="26FFEDBD" w14:textId="77777777" w:rsidR="008F59D7" w:rsidRDefault="005A53E5" w:rsidP="00EB144C">
      <w:pPr>
        <w:pStyle w:val="Textoindependiente"/>
        <w:spacing w:line="360" w:lineRule="auto"/>
        <w:ind w:left="0" w:firstLine="325"/>
        <w:jc w:val="both"/>
      </w:pPr>
      <w:r>
        <w:lastRenderedPageBreak/>
        <w:t>El programa no es una carnetización, pues funciona mediante el escaneo del documento nacional de identidad en los accesos y su cruce con las bases de datos del Estado, con el fin de impedir el ingreso de personas con restricciones administrativas, medidas judiciales o pedidos de captura (Ministerio de Seguridad de la Nación, s. f.). No existe una cifra oficial de reducción porcentual de incidentes atribuible al programa, de modo que su eficacia debe medirse por resultados verificables: solo en 2024, más de 70 prófugos fueron capturados en los estadios gracias al sistema (Gobierno de la Ciudad de Buenos Aires, 2024). La Resolución 120 de 2026 muestra cómo opera en concreto: impuso la restricción de concurrencia administrativa por cuatro años a 31 personas identificadas en los enfrentamientos del 14 de diciembre de 2025 en el estadio Julio César Villagra de Córdoba, durante la final del torneo femenino entre Belgrano y Racing (Ministerio de Seguridad Nacional, 2026a). En Colombia una resolución de ese tipo sería hoy difícil de aplicar, porque, salvo en pilotos recientes, no se verifica la identidad de quien ingresa y no hay cómo establecer con certeza quiénes estuvieron en el estadio, que es el mismo obstáculo que dejó sin autores identificados el homicidio examinado en el caso 1.</w:t>
      </w:r>
    </w:p>
    <w:p w14:paraId="43503B92" w14:textId="77777777" w:rsidR="008F59D7" w:rsidRDefault="005A53E5" w:rsidP="00EB144C">
      <w:pPr>
        <w:pStyle w:val="Textoindependiente"/>
        <w:spacing w:line="360" w:lineRule="auto"/>
        <w:ind w:left="0" w:firstLine="709"/>
        <w:jc w:val="both"/>
      </w:pPr>
      <w:r>
        <w:t>Uruguay implementó su sistema por disposición de un decreto presidencial dictado por Tabaré Vázquez en diciembre de 2016, que fijó como plazo máximo el 31 de marzo de 2017 para la instalación del reconocimiento facial en los tres estadios principales del país: el Centenario, el Campeón del Siglo y el Gran Parque Central. La Secretaría Nacional del Deporte confirmó que esa era la fecha límite fijada por el presidente en el decreto (Presidencia de la República Oriental del Uruguay, 2017, párr. 4). El sistema, que el Ministerio del Interior pidió a la Asociación Uruguaya de Fútbol, compara en tiempo real la imagen de quien entra con una base de personas que tienen prohibido el acceso. Sobre los resultados, la fuente disponible reporta, con base en cifras del Ministerio del Interior, una caída del 80 % en las detenciones (Revista Innovación Seguridad, 2019, párr. 9).</w:t>
      </w:r>
    </w:p>
    <w:p w14:paraId="780A324E" w14:textId="77777777" w:rsidR="0084558A" w:rsidRDefault="00000000" w:rsidP="00EB144C">
      <w:pPr>
        <w:pStyle w:val="Textoindependiente"/>
        <w:spacing w:line="360" w:lineRule="auto"/>
        <w:ind w:left="0" w:firstLine="709"/>
        <w:jc w:val="both"/>
      </w:pPr>
      <w:r>
        <w:t xml:space="preserve">Colombia no parte de cero en esta materia, y conviene precisar qué ocurrió con sus propios intentos. En 2017 la Dimayor inició un proceso de carnetización de hinchas, con registro de huella dactilar, datos personales y fotografía, que se anunció como requisito para ingresar a los estadios; hacia 2019 cerca de 250.000 personas habían pagado el documento, pero el proceso quedó prácticamente detenido porque los estadios no contaban con lectores para verificarlo, las alcaldías no instalaron la tecnología biométrica y los aficionados rechazaron pagar por un carné </w:t>
      </w:r>
      <w:r>
        <w:lastRenderedPageBreak/>
        <w:t>que, a su juicio, cumplía las mismas funciones de la cédula (Vanguardia, 2019; Nomesqui Rivera, 2023). Posteriormente, el Decreto 1622 de 2022 reguló el ingreso a los eventos de fútbol profesional como medida de seguridad y convivencia, con la asociación de los datos de identidad del comprador a la boletería y un sistema de validación de las sanciones de prohibición de ingreso (Presidencia de la República de Colombia, 2022). La verificación de la identidad en los accesos, sin embargo, apenas comienza a ensayarse: en 2025 Cali puso a prueba en el estadio Pascual Guerrero un sistema de biometría facial cotejado con las bases de la Registraduría, con el fin de impedir el ingreso de unas 7.000 personas vinculadas a los disturbios de diciembre de 2024 (Alcaldía de Santiago de Cali, 2025), y en septiembre de 2026 el Independiente Medellín anunció una prueba piloto de reconocimiento facial con 1.000 integrantes de su barra (Infobae, 2026). En síntesis, la carnetización existió, pero no llegó a operar, y su fracaso no obedeció a la falta de una norma que la ordenara, sino a que nunca se instalaron los lectores en los estadios, a la falta de coordinación entre la Dimayor y las alcaldías y a la desconfianza de los hinchas. La Tabla 3 sintetiza la comparación en las cinco dimensiones anunciadas.</w:t>
      </w:r>
    </w:p>
    <w:p w14:paraId="3A38CFD3" w14:textId="77777777" w:rsidR="008F59D7" w:rsidRDefault="005A53E5" w:rsidP="00EB144C">
      <w:pPr>
        <w:pStyle w:val="Ttulo1"/>
        <w:keepNext/>
        <w:spacing w:line="360" w:lineRule="auto"/>
        <w:ind w:left="0" w:firstLine="0"/>
        <w:jc w:val="left"/>
      </w:pPr>
      <w:r>
        <w:t>Tabla 3</w:t>
      </w:r>
    </w:p>
    <w:p w14:paraId="3089A44D" w14:textId="77777777" w:rsidR="008F59D7" w:rsidRDefault="005A53E5" w:rsidP="00EB144C">
      <w:pPr>
        <w:keepNext/>
        <w:spacing w:line="360" w:lineRule="auto"/>
        <w:rPr>
          <w:i/>
          <w:spacing w:val="-2"/>
          <w:sz w:val="24"/>
        </w:rPr>
      </w:pPr>
      <w:r>
        <w:rPr>
          <w:i/>
          <w:sz w:val="24"/>
        </w:rPr>
        <w:t>Comparación</w:t>
      </w:r>
      <w:r>
        <w:rPr>
          <w:i/>
          <w:spacing w:val="-1"/>
          <w:sz w:val="24"/>
        </w:rPr>
        <w:t xml:space="preserve"> </w:t>
      </w:r>
      <w:r>
        <w:rPr>
          <w:i/>
          <w:sz w:val="24"/>
        </w:rPr>
        <w:t>del</w:t>
      </w:r>
      <w:r>
        <w:rPr>
          <w:i/>
          <w:spacing w:val="-1"/>
          <w:sz w:val="24"/>
        </w:rPr>
        <w:t xml:space="preserve"> </w:t>
      </w:r>
      <w:r>
        <w:rPr>
          <w:i/>
          <w:sz w:val="24"/>
        </w:rPr>
        <w:t>marco</w:t>
      </w:r>
      <w:r>
        <w:rPr>
          <w:i/>
          <w:spacing w:val="1"/>
          <w:sz w:val="24"/>
        </w:rPr>
        <w:t xml:space="preserve"> </w:t>
      </w:r>
      <w:r>
        <w:rPr>
          <w:i/>
          <w:sz w:val="24"/>
        </w:rPr>
        <w:t>de</w:t>
      </w:r>
      <w:r>
        <w:rPr>
          <w:i/>
          <w:spacing w:val="-2"/>
          <w:sz w:val="24"/>
        </w:rPr>
        <w:t xml:space="preserve"> </w:t>
      </w:r>
      <w:r>
        <w:rPr>
          <w:i/>
          <w:sz w:val="24"/>
        </w:rPr>
        <w:t>seguridad</w:t>
      </w:r>
      <w:r>
        <w:rPr>
          <w:i/>
          <w:spacing w:val="-1"/>
          <w:sz w:val="24"/>
        </w:rPr>
        <w:t xml:space="preserve"> </w:t>
      </w:r>
      <w:r>
        <w:rPr>
          <w:i/>
          <w:sz w:val="24"/>
        </w:rPr>
        <w:t>deportiva: Colombia</w:t>
      </w:r>
      <w:r>
        <w:rPr>
          <w:i/>
          <w:spacing w:val="-1"/>
          <w:sz w:val="24"/>
        </w:rPr>
        <w:t xml:space="preserve"> </w:t>
      </w:r>
      <w:r>
        <w:rPr>
          <w:i/>
          <w:sz w:val="24"/>
        </w:rPr>
        <w:t>frente</w:t>
      </w:r>
      <w:r>
        <w:rPr>
          <w:i/>
          <w:spacing w:val="-1"/>
          <w:sz w:val="24"/>
        </w:rPr>
        <w:t xml:space="preserve"> </w:t>
      </w:r>
      <w:r>
        <w:rPr>
          <w:i/>
          <w:sz w:val="24"/>
        </w:rPr>
        <w:t>a</w:t>
      </w:r>
      <w:r>
        <w:rPr>
          <w:i/>
          <w:spacing w:val="-1"/>
          <w:sz w:val="24"/>
        </w:rPr>
        <w:t xml:space="preserve"> </w:t>
      </w:r>
      <w:r>
        <w:rPr>
          <w:i/>
          <w:sz w:val="24"/>
        </w:rPr>
        <w:t>los</w:t>
      </w:r>
      <w:r>
        <w:rPr>
          <w:i/>
          <w:spacing w:val="-1"/>
          <w:sz w:val="24"/>
        </w:rPr>
        <w:t xml:space="preserve"> </w:t>
      </w:r>
      <w:r>
        <w:rPr>
          <w:i/>
          <w:sz w:val="24"/>
        </w:rPr>
        <w:t xml:space="preserve">modelos </w:t>
      </w:r>
      <w:r>
        <w:rPr>
          <w:i/>
          <w:spacing w:val="-2"/>
          <w:sz w:val="24"/>
        </w:rPr>
        <w:t>internacionales</w:t>
      </w:r>
    </w:p>
    <w:p w14:paraId="79DF8CE7" w14:textId="77777777" w:rsidR="00FF0028" w:rsidRDefault="00FF0028" w:rsidP="00EB144C">
      <w:pPr>
        <w:keepNext/>
        <w:spacing w:line="360" w:lineRule="auto"/>
        <w:rPr>
          <w:i/>
          <w:spacing w:val="-2"/>
          <w:sz w:val="24"/>
        </w:rPr>
      </w:pPr>
    </w:p>
    <w:tbl>
      <w:tblPr>
        <w:tblStyle w:val="Tablaconcuadrcula"/>
        <w:tblW w:w="0" w:type="auto"/>
        <w:tblLook w:val="04A0" w:firstRow="1" w:lastRow="0" w:firstColumn="1" w:lastColumn="0" w:noHBand="0" w:noVBand="1"/>
      </w:tblPr>
      <w:tblGrid>
        <w:gridCol w:w="1382"/>
        <w:gridCol w:w="2592"/>
        <w:gridCol w:w="1886"/>
        <w:gridCol w:w="1792"/>
        <w:gridCol w:w="1742"/>
      </w:tblGrid>
      <w:tr w:rsidR="00524521" w14:paraId="1D4918BA" w14:textId="77777777" w:rsidTr="00FF0028">
        <w:tc>
          <w:tcPr>
            <w:tcW w:w="1400" w:type="dxa"/>
          </w:tcPr>
          <w:p w14:paraId="2B70DEDD" w14:textId="77777777" w:rsidR="00524521" w:rsidRDefault="00524521" w:rsidP="00EB144C">
            <w:pPr>
              <w:spacing w:line="360" w:lineRule="auto"/>
              <w:rPr>
                <w:i/>
                <w:sz w:val="24"/>
              </w:rPr>
            </w:pPr>
            <w:r>
              <w:rPr>
                <w:b/>
                <w:spacing w:val="-2"/>
                <w:sz w:val="18"/>
              </w:rPr>
              <w:t>Dimensión</w:t>
            </w:r>
          </w:p>
        </w:tc>
        <w:tc>
          <w:tcPr>
            <w:tcW w:w="2750" w:type="dxa"/>
          </w:tcPr>
          <w:p w14:paraId="2422834D" w14:textId="77777777" w:rsidR="00524521" w:rsidRDefault="00524521" w:rsidP="00EB144C">
            <w:pPr>
              <w:spacing w:line="360" w:lineRule="auto"/>
              <w:rPr>
                <w:i/>
                <w:sz w:val="24"/>
              </w:rPr>
            </w:pPr>
            <w:r>
              <w:rPr>
                <w:b/>
                <w:spacing w:val="-2"/>
                <w:sz w:val="18"/>
              </w:rPr>
              <w:t>Colombia</w:t>
            </w:r>
          </w:p>
        </w:tc>
        <w:tc>
          <w:tcPr>
            <w:tcW w:w="1950" w:type="dxa"/>
          </w:tcPr>
          <w:p w14:paraId="5B13F198" w14:textId="77777777" w:rsidR="00524521" w:rsidRDefault="00524521" w:rsidP="00EB144C">
            <w:pPr>
              <w:spacing w:line="360" w:lineRule="auto"/>
              <w:rPr>
                <w:i/>
                <w:sz w:val="24"/>
              </w:rPr>
            </w:pPr>
            <w:r>
              <w:rPr>
                <w:b/>
                <w:spacing w:val="-2"/>
                <w:sz w:val="18"/>
              </w:rPr>
              <w:t>Inglaterra</w:t>
            </w:r>
          </w:p>
        </w:tc>
        <w:tc>
          <w:tcPr>
            <w:tcW w:w="1850" w:type="dxa"/>
          </w:tcPr>
          <w:p w14:paraId="27283F25" w14:textId="77777777" w:rsidR="00524521" w:rsidRDefault="00524521" w:rsidP="00EB144C">
            <w:pPr>
              <w:spacing w:line="360" w:lineRule="auto"/>
              <w:rPr>
                <w:i/>
                <w:sz w:val="24"/>
              </w:rPr>
            </w:pPr>
            <w:r>
              <w:rPr>
                <w:b/>
                <w:spacing w:val="-2"/>
                <w:sz w:val="18"/>
              </w:rPr>
              <w:t>Argentina</w:t>
            </w:r>
          </w:p>
        </w:tc>
        <w:tc>
          <w:tcPr>
            <w:tcW w:w="1782" w:type="dxa"/>
          </w:tcPr>
          <w:p w14:paraId="4E0B29A2" w14:textId="77777777" w:rsidR="00524521" w:rsidRDefault="00524521" w:rsidP="00EB144C">
            <w:pPr>
              <w:spacing w:line="360" w:lineRule="auto"/>
              <w:rPr>
                <w:i/>
                <w:sz w:val="24"/>
              </w:rPr>
            </w:pPr>
            <w:r>
              <w:rPr>
                <w:b/>
                <w:spacing w:val="-2"/>
                <w:sz w:val="18"/>
              </w:rPr>
              <w:t>Uruguay</w:t>
            </w:r>
          </w:p>
        </w:tc>
      </w:tr>
      <w:tr w:rsidR="00524521" w14:paraId="29E0F1D1" w14:textId="77777777" w:rsidTr="00FF0028">
        <w:tc>
          <w:tcPr>
            <w:tcW w:w="1400" w:type="dxa"/>
          </w:tcPr>
          <w:p w14:paraId="18464820" w14:textId="77777777" w:rsidR="00524521" w:rsidRDefault="00524521" w:rsidP="00EB144C">
            <w:pPr>
              <w:pStyle w:val="TableParagraph"/>
              <w:spacing w:line="360" w:lineRule="auto"/>
              <w:ind w:left="0"/>
              <w:jc w:val="center"/>
              <w:rPr>
                <w:i/>
                <w:sz w:val="18"/>
              </w:rPr>
            </w:pPr>
          </w:p>
          <w:p w14:paraId="5B49C213" w14:textId="77777777" w:rsidR="00524521" w:rsidRDefault="00524521" w:rsidP="00EB144C">
            <w:pPr>
              <w:spacing w:line="360" w:lineRule="auto"/>
              <w:jc w:val="center"/>
              <w:rPr>
                <w:i/>
                <w:sz w:val="24"/>
              </w:rPr>
            </w:pPr>
            <w:r>
              <w:rPr>
                <w:spacing w:val="-2"/>
                <w:sz w:val="18"/>
              </w:rPr>
              <w:t>Marco</w:t>
            </w:r>
            <w:r>
              <w:rPr>
                <w:sz w:val="18"/>
              </w:rPr>
              <w:t xml:space="preserve"> </w:t>
            </w:r>
            <w:r>
              <w:rPr>
                <w:spacing w:val="-2"/>
                <w:sz w:val="18"/>
              </w:rPr>
              <w:t>normativo específico</w:t>
            </w:r>
          </w:p>
        </w:tc>
        <w:tc>
          <w:tcPr>
            <w:tcW w:w="2750" w:type="dxa"/>
          </w:tcPr>
          <w:p w14:paraId="37A73390" w14:textId="77777777" w:rsidR="00524521" w:rsidRDefault="00524521" w:rsidP="00EB144C">
            <w:pPr>
              <w:pStyle w:val="TableParagraph"/>
              <w:spacing w:line="360" w:lineRule="auto"/>
              <w:ind w:left="0"/>
              <w:jc w:val="center"/>
              <w:rPr>
                <w:i/>
                <w:sz w:val="18"/>
              </w:rPr>
            </w:pPr>
          </w:p>
          <w:p w14:paraId="2471DAEE" w14:textId="77777777" w:rsidR="00524521" w:rsidRDefault="00524521" w:rsidP="00EB144C">
            <w:pPr>
              <w:spacing w:line="360" w:lineRule="auto"/>
              <w:jc w:val="center"/>
              <w:rPr>
                <w:i/>
                <w:sz w:val="24"/>
              </w:rPr>
            </w:pPr>
            <w:r>
              <w:rPr>
                <w:sz w:val="18"/>
              </w:rPr>
              <w:t>Ley 1270 de 2009; Ley 1445 de 2011</w:t>
            </w:r>
          </w:p>
        </w:tc>
        <w:tc>
          <w:tcPr>
            <w:tcW w:w="1950" w:type="dxa"/>
          </w:tcPr>
          <w:p w14:paraId="3EE8981B" w14:textId="77777777" w:rsidR="00524521" w:rsidRPr="00807E98" w:rsidRDefault="00524521" w:rsidP="00EB144C">
            <w:pPr>
              <w:pStyle w:val="TableParagraph"/>
              <w:spacing w:line="360" w:lineRule="auto"/>
              <w:ind w:left="0"/>
              <w:jc w:val="center"/>
              <w:rPr>
                <w:i/>
                <w:sz w:val="18"/>
                <w:lang w:val="en-US"/>
              </w:rPr>
            </w:pPr>
          </w:p>
          <w:p w14:paraId="7C200DC2" w14:textId="77777777" w:rsidR="00524521" w:rsidRPr="00807E98" w:rsidRDefault="00524521" w:rsidP="00EB144C">
            <w:pPr>
              <w:pStyle w:val="TableParagraph"/>
              <w:spacing w:line="360" w:lineRule="auto"/>
              <w:ind w:left="0"/>
              <w:jc w:val="center"/>
              <w:rPr>
                <w:sz w:val="18"/>
                <w:lang w:val="en-US"/>
              </w:rPr>
            </w:pPr>
            <w:r>
              <w:rPr>
                <w:sz w:val="18"/>
                <w:lang w:val="en-US"/>
              </w:rPr>
              <w:t>Football</w:t>
            </w:r>
            <w:r>
              <w:rPr>
                <w:spacing w:val="40"/>
                <w:sz w:val="18"/>
                <w:lang w:val="en-US"/>
              </w:rPr>
              <w:t xml:space="preserve"> </w:t>
            </w:r>
            <w:r>
              <w:rPr>
                <w:sz w:val="18"/>
                <w:lang w:val="en-US"/>
              </w:rPr>
              <w:t>Spectators</w:t>
            </w:r>
            <w:r>
              <w:rPr>
                <w:spacing w:val="40"/>
                <w:sz w:val="18"/>
                <w:lang w:val="en-US"/>
              </w:rPr>
              <w:t xml:space="preserve"> </w:t>
            </w:r>
            <w:r>
              <w:rPr>
                <w:sz w:val="18"/>
                <w:lang w:val="en-US"/>
              </w:rPr>
              <w:t>Act 1989;</w:t>
            </w:r>
            <w:r>
              <w:rPr>
                <w:spacing w:val="9"/>
                <w:sz w:val="18"/>
                <w:lang w:val="en-US"/>
              </w:rPr>
              <w:t xml:space="preserve"> </w:t>
            </w:r>
            <w:r>
              <w:rPr>
                <w:sz w:val="18"/>
                <w:lang w:val="en-US"/>
              </w:rPr>
              <w:t>Football</w:t>
            </w:r>
            <w:r>
              <w:rPr>
                <w:spacing w:val="9"/>
                <w:sz w:val="18"/>
                <w:lang w:val="en-US"/>
              </w:rPr>
              <w:t xml:space="preserve"> </w:t>
            </w:r>
            <w:r>
              <w:rPr>
                <w:spacing w:val="-2"/>
                <w:sz w:val="18"/>
                <w:lang w:val="en-US"/>
              </w:rPr>
              <w:t>(Disorder)</w:t>
            </w:r>
          </w:p>
          <w:p w14:paraId="74BCD664" w14:textId="77777777" w:rsidR="00524521" w:rsidRDefault="00524521" w:rsidP="00EB144C">
            <w:pPr>
              <w:spacing w:line="360" w:lineRule="auto"/>
              <w:jc w:val="center"/>
              <w:rPr>
                <w:i/>
                <w:sz w:val="24"/>
              </w:rPr>
            </w:pPr>
            <w:r>
              <w:rPr>
                <w:sz w:val="18"/>
              </w:rPr>
              <w:t>Act</w:t>
            </w:r>
            <w:r>
              <w:rPr>
                <w:spacing w:val="-2"/>
                <w:sz w:val="18"/>
              </w:rPr>
              <w:t xml:space="preserve"> </w:t>
            </w:r>
            <w:r>
              <w:rPr>
                <w:spacing w:val="-4"/>
                <w:sz w:val="18"/>
              </w:rPr>
              <w:t>2000</w:t>
            </w:r>
          </w:p>
        </w:tc>
        <w:tc>
          <w:tcPr>
            <w:tcW w:w="1850" w:type="dxa"/>
          </w:tcPr>
          <w:p w14:paraId="0B79B18B" w14:textId="77777777" w:rsidR="00524521" w:rsidRDefault="00524521" w:rsidP="00EB144C">
            <w:pPr>
              <w:spacing w:line="360" w:lineRule="auto"/>
              <w:jc w:val="center"/>
              <w:rPr>
                <w:i/>
                <w:sz w:val="24"/>
              </w:rPr>
            </w:pPr>
            <w:r>
              <w:rPr>
                <w:sz w:val="18"/>
              </w:rPr>
              <w:t>Decreto 246/2017; Resoluciones</w:t>
            </w:r>
            <w:r>
              <w:rPr>
                <w:spacing w:val="-12"/>
                <w:sz w:val="18"/>
              </w:rPr>
              <w:t xml:space="preserve"> </w:t>
            </w:r>
            <w:r>
              <w:rPr>
                <w:sz w:val="18"/>
              </w:rPr>
              <w:t xml:space="preserve">354/2017 y 843/2018 (Min. de </w:t>
            </w:r>
            <w:r>
              <w:rPr>
                <w:spacing w:val="-2"/>
                <w:sz w:val="18"/>
              </w:rPr>
              <w:t>Seguridad)</w:t>
            </w:r>
          </w:p>
        </w:tc>
        <w:tc>
          <w:tcPr>
            <w:tcW w:w="1782" w:type="dxa"/>
          </w:tcPr>
          <w:p w14:paraId="569CD4AC" w14:textId="77777777" w:rsidR="00524521" w:rsidRDefault="00524521" w:rsidP="00EB144C">
            <w:pPr>
              <w:pStyle w:val="TableParagraph"/>
              <w:spacing w:line="360" w:lineRule="auto"/>
              <w:ind w:left="0"/>
              <w:jc w:val="center"/>
              <w:rPr>
                <w:i/>
                <w:sz w:val="18"/>
              </w:rPr>
            </w:pPr>
          </w:p>
          <w:p w14:paraId="5997A6A5" w14:textId="77777777" w:rsidR="00524521" w:rsidRDefault="00524521" w:rsidP="00EB144C">
            <w:pPr>
              <w:spacing w:line="360" w:lineRule="auto"/>
              <w:jc w:val="center"/>
              <w:rPr>
                <w:i/>
                <w:sz w:val="24"/>
              </w:rPr>
            </w:pPr>
            <w:r>
              <w:rPr>
                <w:sz w:val="18"/>
              </w:rPr>
              <w:t>Decreto</w:t>
            </w:r>
            <w:r>
              <w:rPr>
                <w:spacing w:val="-12"/>
                <w:sz w:val="18"/>
              </w:rPr>
              <w:t xml:space="preserve"> </w:t>
            </w:r>
            <w:r>
              <w:rPr>
                <w:sz w:val="18"/>
              </w:rPr>
              <w:t>presidencial</w:t>
            </w:r>
            <w:r>
              <w:rPr>
                <w:spacing w:val="-11"/>
                <w:sz w:val="18"/>
              </w:rPr>
              <w:t xml:space="preserve"> </w:t>
            </w:r>
            <w:r>
              <w:rPr>
                <w:sz w:val="18"/>
              </w:rPr>
              <w:t>de diciembre de 2016</w:t>
            </w:r>
          </w:p>
        </w:tc>
      </w:tr>
      <w:tr w:rsidR="00524521" w14:paraId="5A29F85B" w14:textId="77777777" w:rsidTr="00FF0028">
        <w:tc>
          <w:tcPr>
            <w:tcW w:w="1400" w:type="dxa"/>
          </w:tcPr>
          <w:p w14:paraId="35A9ABA7" w14:textId="77777777" w:rsidR="00524521" w:rsidRDefault="00524521" w:rsidP="00EB144C">
            <w:pPr>
              <w:pStyle w:val="TableParagraph"/>
              <w:spacing w:line="360" w:lineRule="auto"/>
              <w:ind w:left="0"/>
              <w:jc w:val="center"/>
              <w:rPr>
                <w:i/>
                <w:sz w:val="18"/>
              </w:rPr>
            </w:pPr>
          </w:p>
          <w:p w14:paraId="492AFF82" w14:textId="77777777" w:rsidR="00524521" w:rsidRDefault="00524521" w:rsidP="00EB144C">
            <w:pPr>
              <w:spacing w:line="360" w:lineRule="auto"/>
              <w:jc w:val="center"/>
              <w:rPr>
                <w:i/>
                <w:sz w:val="24"/>
              </w:rPr>
            </w:pPr>
            <w:r>
              <w:rPr>
                <w:sz w:val="18"/>
              </w:rPr>
              <w:t>Control</w:t>
            </w:r>
            <w:r>
              <w:rPr>
                <w:spacing w:val="-4"/>
                <w:sz w:val="18"/>
              </w:rPr>
              <w:t xml:space="preserve"> </w:t>
            </w:r>
            <w:r>
              <w:rPr>
                <w:sz w:val="18"/>
              </w:rPr>
              <w:t xml:space="preserve">de </w:t>
            </w:r>
            <w:r>
              <w:rPr>
                <w:spacing w:val="-2"/>
                <w:sz w:val="18"/>
              </w:rPr>
              <w:t>ingreso</w:t>
            </w:r>
          </w:p>
        </w:tc>
        <w:tc>
          <w:tcPr>
            <w:tcW w:w="2750" w:type="dxa"/>
          </w:tcPr>
          <w:p w14:paraId="1198EFE7" w14:textId="77777777" w:rsidR="00524521" w:rsidRDefault="00524521" w:rsidP="00EB144C">
            <w:pPr>
              <w:spacing w:line="360" w:lineRule="auto"/>
              <w:jc w:val="center"/>
              <w:rPr>
                <w:i/>
                <w:sz w:val="24"/>
              </w:rPr>
            </w:pPr>
            <w:r>
              <w:rPr>
                <w:sz w:val="18"/>
              </w:rPr>
              <w:t>Carnetización biométrica iniciada en 2017 que no llegó a operar; boletería asociada a la identidad del comprador (Decreto 1622 de 2022); pilotos de biometría facial en Cali (2025) y Medellín (2026)</w:t>
            </w:r>
          </w:p>
        </w:tc>
        <w:tc>
          <w:tcPr>
            <w:tcW w:w="1950" w:type="dxa"/>
          </w:tcPr>
          <w:p w14:paraId="333823F2" w14:textId="77777777" w:rsidR="00524521" w:rsidRDefault="00524521" w:rsidP="00EB144C">
            <w:pPr>
              <w:spacing w:line="360" w:lineRule="auto"/>
              <w:jc w:val="center"/>
              <w:rPr>
                <w:i/>
                <w:sz w:val="24"/>
              </w:rPr>
            </w:pPr>
            <w:r>
              <w:rPr>
                <w:sz w:val="18"/>
              </w:rPr>
              <w:t>Estadios con asientos individuales tras el Informe Taylor, videovigilancia y ejecución de las banning orders</w:t>
            </w:r>
          </w:p>
        </w:tc>
        <w:tc>
          <w:tcPr>
            <w:tcW w:w="1850" w:type="dxa"/>
          </w:tcPr>
          <w:p w14:paraId="0BC7C925" w14:textId="77777777" w:rsidR="00524521" w:rsidRDefault="00524521" w:rsidP="00EB144C">
            <w:pPr>
              <w:spacing w:line="360" w:lineRule="auto"/>
              <w:jc w:val="center"/>
              <w:rPr>
                <w:i/>
                <w:sz w:val="24"/>
              </w:rPr>
            </w:pPr>
            <w:r>
              <w:rPr>
                <w:sz w:val="18"/>
              </w:rPr>
              <w:t>Escaneo</w:t>
            </w:r>
            <w:r>
              <w:rPr>
                <w:spacing w:val="-9"/>
                <w:sz w:val="18"/>
              </w:rPr>
              <w:t xml:space="preserve"> </w:t>
            </w:r>
            <w:r>
              <w:rPr>
                <w:sz w:val="18"/>
              </w:rPr>
              <w:t>del</w:t>
            </w:r>
            <w:r>
              <w:rPr>
                <w:spacing w:val="-10"/>
                <w:sz w:val="18"/>
              </w:rPr>
              <w:t xml:space="preserve"> </w:t>
            </w:r>
            <w:r>
              <w:rPr>
                <w:sz w:val="18"/>
              </w:rPr>
              <w:t>DNI</w:t>
            </w:r>
            <w:r>
              <w:rPr>
                <w:spacing w:val="-10"/>
                <w:sz w:val="18"/>
              </w:rPr>
              <w:t xml:space="preserve"> </w:t>
            </w:r>
            <w:r>
              <w:rPr>
                <w:sz w:val="18"/>
              </w:rPr>
              <w:t>en</w:t>
            </w:r>
            <w:r>
              <w:rPr>
                <w:spacing w:val="-9"/>
                <w:sz w:val="18"/>
              </w:rPr>
              <w:t xml:space="preserve"> </w:t>
            </w:r>
            <w:r>
              <w:rPr>
                <w:sz w:val="18"/>
              </w:rPr>
              <w:t>los accesos y cruce con bases del Estado</w:t>
            </w:r>
          </w:p>
        </w:tc>
        <w:tc>
          <w:tcPr>
            <w:tcW w:w="1782" w:type="dxa"/>
          </w:tcPr>
          <w:p w14:paraId="0A7C35D6" w14:textId="77777777" w:rsidR="00524521" w:rsidRDefault="00524521" w:rsidP="00EB144C">
            <w:pPr>
              <w:spacing w:line="360" w:lineRule="auto"/>
              <w:jc w:val="center"/>
              <w:rPr>
                <w:i/>
                <w:sz w:val="24"/>
              </w:rPr>
            </w:pPr>
            <w:r>
              <w:rPr>
                <w:sz w:val="18"/>
              </w:rPr>
              <w:t xml:space="preserve">Reconocimiento facial en los tres estadios </w:t>
            </w:r>
            <w:r>
              <w:rPr>
                <w:spacing w:val="-2"/>
                <w:sz w:val="18"/>
              </w:rPr>
              <w:t>principales</w:t>
            </w:r>
          </w:p>
        </w:tc>
      </w:tr>
      <w:tr w:rsidR="00524521" w14:paraId="278C850A" w14:textId="77777777" w:rsidTr="00FF0028">
        <w:tc>
          <w:tcPr>
            <w:tcW w:w="1400" w:type="dxa"/>
          </w:tcPr>
          <w:p w14:paraId="17299BF2" w14:textId="77777777" w:rsidR="00524521" w:rsidRDefault="00524521" w:rsidP="00EB144C">
            <w:pPr>
              <w:pStyle w:val="TableParagraph"/>
              <w:spacing w:line="360" w:lineRule="auto"/>
              <w:ind w:left="0"/>
              <w:jc w:val="center"/>
              <w:rPr>
                <w:i/>
                <w:sz w:val="18"/>
              </w:rPr>
            </w:pPr>
          </w:p>
          <w:p w14:paraId="32504112" w14:textId="77777777" w:rsidR="00524521" w:rsidRDefault="00524521" w:rsidP="00EB144C">
            <w:pPr>
              <w:spacing w:line="360" w:lineRule="auto"/>
              <w:jc w:val="center"/>
              <w:rPr>
                <w:i/>
                <w:sz w:val="24"/>
              </w:rPr>
            </w:pPr>
            <w:r>
              <w:rPr>
                <w:sz w:val="18"/>
              </w:rPr>
              <w:t>Sanción</w:t>
            </w:r>
            <w:r>
              <w:rPr>
                <w:spacing w:val="36"/>
                <w:sz w:val="18"/>
              </w:rPr>
              <w:t xml:space="preserve"> </w:t>
            </w:r>
            <w:r>
              <w:rPr>
                <w:sz w:val="18"/>
              </w:rPr>
              <w:t>a</w:t>
            </w:r>
            <w:r>
              <w:rPr>
                <w:spacing w:val="36"/>
                <w:sz w:val="18"/>
              </w:rPr>
              <w:t xml:space="preserve"> </w:t>
            </w:r>
            <w:r>
              <w:rPr>
                <w:sz w:val="18"/>
              </w:rPr>
              <w:t xml:space="preserve">agresores </w:t>
            </w:r>
            <w:r>
              <w:rPr>
                <w:spacing w:val="-2"/>
                <w:sz w:val="18"/>
              </w:rPr>
              <w:t>reincidentes</w:t>
            </w:r>
          </w:p>
        </w:tc>
        <w:tc>
          <w:tcPr>
            <w:tcW w:w="2750" w:type="dxa"/>
          </w:tcPr>
          <w:p w14:paraId="4BDD252F" w14:textId="77777777" w:rsidR="00524521" w:rsidRDefault="00524521" w:rsidP="00EB144C">
            <w:pPr>
              <w:pStyle w:val="TableParagraph"/>
              <w:spacing w:line="360" w:lineRule="auto"/>
              <w:ind w:left="0"/>
              <w:jc w:val="center"/>
              <w:rPr>
                <w:i/>
                <w:sz w:val="18"/>
              </w:rPr>
            </w:pPr>
          </w:p>
          <w:p w14:paraId="7DE84726" w14:textId="77777777" w:rsidR="00524521" w:rsidRDefault="00524521" w:rsidP="00EB144C">
            <w:pPr>
              <w:spacing w:line="360" w:lineRule="auto"/>
              <w:jc w:val="center"/>
              <w:rPr>
                <w:i/>
                <w:sz w:val="24"/>
              </w:rPr>
            </w:pPr>
            <w:r>
              <w:rPr>
                <w:sz w:val="18"/>
              </w:rPr>
              <w:t>Multa y prohibición de acudir a escenarios (Ley 1445 de 2011, arts. 14 y 15), poco efectiva por falta de verificación de identidad en los accesos</w:t>
            </w:r>
          </w:p>
        </w:tc>
        <w:tc>
          <w:tcPr>
            <w:tcW w:w="1950" w:type="dxa"/>
          </w:tcPr>
          <w:p w14:paraId="52FE7D28" w14:textId="77777777" w:rsidR="00524521" w:rsidRDefault="00524521" w:rsidP="00EB144C">
            <w:pPr>
              <w:pStyle w:val="TableParagraph"/>
              <w:spacing w:line="360" w:lineRule="auto"/>
              <w:ind w:left="0"/>
              <w:jc w:val="center"/>
              <w:rPr>
                <w:i/>
                <w:sz w:val="18"/>
              </w:rPr>
            </w:pPr>
          </w:p>
          <w:p w14:paraId="08144738" w14:textId="77777777" w:rsidR="00524521" w:rsidRDefault="00524521" w:rsidP="00EB144C">
            <w:pPr>
              <w:spacing w:line="360" w:lineRule="auto"/>
              <w:jc w:val="center"/>
              <w:rPr>
                <w:i/>
                <w:sz w:val="24"/>
              </w:rPr>
            </w:pPr>
            <w:r>
              <w:rPr>
                <w:sz w:val="18"/>
              </w:rPr>
              <w:t>Football</w:t>
            </w:r>
            <w:r>
              <w:rPr>
                <w:spacing w:val="40"/>
                <w:sz w:val="18"/>
              </w:rPr>
              <w:t xml:space="preserve"> </w:t>
            </w:r>
            <w:r>
              <w:rPr>
                <w:sz w:val="18"/>
              </w:rPr>
              <w:t>banning</w:t>
            </w:r>
            <w:r>
              <w:rPr>
                <w:spacing w:val="40"/>
                <w:sz w:val="18"/>
              </w:rPr>
              <w:t xml:space="preserve"> </w:t>
            </w:r>
            <w:r>
              <w:rPr>
                <w:sz w:val="18"/>
              </w:rPr>
              <w:t>orders de aplicación sistemática</w:t>
            </w:r>
          </w:p>
        </w:tc>
        <w:tc>
          <w:tcPr>
            <w:tcW w:w="1850" w:type="dxa"/>
          </w:tcPr>
          <w:p w14:paraId="0CFCE119" w14:textId="77777777" w:rsidR="00524521" w:rsidRDefault="00524521" w:rsidP="00EB144C">
            <w:pPr>
              <w:spacing w:line="360" w:lineRule="auto"/>
              <w:jc w:val="center"/>
              <w:rPr>
                <w:i/>
                <w:sz w:val="24"/>
              </w:rPr>
            </w:pPr>
            <w:r>
              <w:rPr>
                <w:spacing w:val="-2"/>
                <w:sz w:val="18"/>
              </w:rPr>
              <w:t>Restricción de concurrencia administrativa (Res. 354/2017, art. 2)</w:t>
            </w:r>
          </w:p>
        </w:tc>
        <w:tc>
          <w:tcPr>
            <w:tcW w:w="1782" w:type="dxa"/>
          </w:tcPr>
          <w:p w14:paraId="5C5446EF" w14:textId="77777777" w:rsidR="00524521" w:rsidRDefault="00524521" w:rsidP="00EB144C">
            <w:pPr>
              <w:pStyle w:val="TableParagraph"/>
              <w:spacing w:line="360" w:lineRule="auto"/>
              <w:ind w:left="0"/>
              <w:jc w:val="center"/>
              <w:rPr>
                <w:i/>
                <w:sz w:val="18"/>
              </w:rPr>
            </w:pPr>
          </w:p>
          <w:p w14:paraId="28322A46" w14:textId="77777777" w:rsidR="00524521" w:rsidRDefault="00524521" w:rsidP="00EB144C">
            <w:pPr>
              <w:spacing w:line="360" w:lineRule="auto"/>
              <w:jc w:val="center"/>
              <w:rPr>
                <w:i/>
                <w:sz w:val="24"/>
              </w:rPr>
            </w:pPr>
            <w:r>
              <w:rPr>
                <w:sz w:val="18"/>
              </w:rPr>
              <w:t>Exclusión mediante lista de personas con prohibición de acceso</w:t>
            </w:r>
          </w:p>
        </w:tc>
      </w:tr>
      <w:tr w:rsidR="00524521" w14:paraId="0DAB7B03" w14:textId="77777777" w:rsidTr="00FF0028">
        <w:tc>
          <w:tcPr>
            <w:tcW w:w="1400" w:type="dxa"/>
          </w:tcPr>
          <w:p w14:paraId="54D8A0A8" w14:textId="77777777" w:rsidR="00524521" w:rsidRDefault="00524521" w:rsidP="00EB144C">
            <w:pPr>
              <w:pStyle w:val="TableParagraph"/>
              <w:spacing w:line="360" w:lineRule="auto"/>
              <w:ind w:left="0"/>
              <w:jc w:val="center"/>
              <w:rPr>
                <w:i/>
                <w:sz w:val="18"/>
              </w:rPr>
            </w:pPr>
          </w:p>
          <w:p w14:paraId="15982693" w14:textId="77777777" w:rsidR="00524521" w:rsidRDefault="00524521" w:rsidP="00EB144C">
            <w:pPr>
              <w:spacing w:line="360" w:lineRule="auto"/>
              <w:jc w:val="center"/>
              <w:rPr>
                <w:i/>
                <w:sz w:val="24"/>
              </w:rPr>
            </w:pPr>
            <w:r>
              <w:rPr>
                <w:spacing w:val="-2"/>
                <w:sz w:val="18"/>
              </w:rPr>
              <w:t>Coordinación institucional</w:t>
            </w:r>
          </w:p>
        </w:tc>
        <w:tc>
          <w:tcPr>
            <w:tcW w:w="2750" w:type="dxa"/>
          </w:tcPr>
          <w:p w14:paraId="090C8B34" w14:textId="77777777" w:rsidR="00524521" w:rsidRDefault="00524521" w:rsidP="00EB144C">
            <w:pPr>
              <w:spacing w:line="360" w:lineRule="auto"/>
              <w:jc w:val="center"/>
              <w:rPr>
                <w:i/>
                <w:sz w:val="24"/>
              </w:rPr>
            </w:pPr>
            <w:r>
              <w:rPr>
                <w:sz w:val="18"/>
              </w:rPr>
              <w:t>Comisión Nacional y comisiones locales (Ley 1270 de 2009); coordinación insuficiente con las alcaldías, como mostró la carnetización</w:t>
            </w:r>
          </w:p>
        </w:tc>
        <w:tc>
          <w:tcPr>
            <w:tcW w:w="1950" w:type="dxa"/>
          </w:tcPr>
          <w:p w14:paraId="41450D67" w14:textId="77777777" w:rsidR="00524521" w:rsidRPr="00FF0028" w:rsidRDefault="00524521" w:rsidP="00EB144C">
            <w:pPr>
              <w:spacing w:line="360" w:lineRule="auto"/>
              <w:jc w:val="center"/>
              <w:rPr>
                <w:i/>
                <w:sz w:val="24"/>
                <w:lang w:val="es-CO"/>
              </w:rPr>
            </w:pPr>
            <w:r w:rsidRPr="00FF0028">
              <w:rPr>
                <w:sz w:val="18"/>
                <w:lang w:val="es-CO"/>
              </w:rPr>
              <w:t xml:space="preserve">Coordinación local entre clubes, policía y autoridades locales (Safety </w:t>
            </w:r>
            <w:proofErr w:type="spellStart"/>
            <w:r w:rsidRPr="00FF0028">
              <w:rPr>
                <w:sz w:val="18"/>
                <w:lang w:val="es-CO"/>
              </w:rPr>
              <w:t>Advisory</w:t>
            </w:r>
            <w:proofErr w:type="spellEnd"/>
            <w:r w:rsidRPr="00FF0028">
              <w:rPr>
                <w:sz w:val="18"/>
                <w:lang w:val="es-CO"/>
              </w:rPr>
              <w:t xml:space="preserve"> </w:t>
            </w:r>
            <w:proofErr w:type="spellStart"/>
            <w:r w:rsidRPr="00FF0028">
              <w:rPr>
                <w:sz w:val="18"/>
                <w:lang w:val="es-CO"/>
              </w:rPr>
              <w:t>Groups</w:t>
            </w:r>
            <w:proofErr w:type="spellEnd"/>
            <w:r w:rsidRPr="00FF0028">
              <w:rPr>
                <w:sz w:val="18"/>
                <w:lang w:val="es-CO"/>
              </w:rPr>
              <w:t>)</w:t>
            </w:r>
          </w:p>
        </w:tc>
        <w:tc>
          <w:tcPr>
            <w:tcW w:w="1850" w:type="dxa"/>
          </w:tcPr>
          <w:p w14:paraId="111FF526" w14:textId="77777777" w:rsidR="00524521" w:rsidRDefault="00524521" w:rsidP="00EB144C">
            <w:pPr>
              <w:spacing w:line="360" w:lineRule="auto"/>
              <w:jc w:val="center"/>
              <w:rPr>
                <w:i/>
                <w:sz w:val="24"/>
              </w:rPr>
            </w:pPr>
            <w:r>
              <w:rPr>
                <w:sz w:val="18"/>
              </w:rPr>
              <w:t>Ministerio de Seguridad de la Nación (programa Tribuna Segura)</w:t>
            </w:r>
          </w:p>
        </w:tc>
        <w:tc>
          <w:tcPr>
            <w:tcW w:w="1782" w:type="dxa"/>
          </w:tcPr>
          <w:p w14:paraId="120C6649" w14:textId="77777777" w:rsidR="00524521" w:rsidRDefault="00524521" w:rsidP="00EB144C">
            <w:pPr>
              <w:pStyle w:val="TableParagraph"/>
              <w:spacing w:line="360" w:lineRule="auto"/>
              <w:ind w:left="0"/>
              <w:jc w:val="center"/>
              <w:rPr>
                <w:i/>
                <w:sz w:val="18"/>
              </w:rPr>
            </w:pPr>
          </w:p>
          <w:p w14:paraId="00BCA9D5" w14:textId="77777777" w:rsidR="00524521" w:rsidRDefault="00524521" w:rsidP="00EB144C">
            <w:pPr>
              <w:pStyle w:val="TableParagraph"/>
              <w:spacing w:line="360" w:lineRule="auto"/>
              <w:ind w:left="0"/>
              <w:jc w:val="center"/>
              <w:rPr>
                <w:sz w:val="18"/>
              </w:rPr>
            </w:pPr>
            <w:r>
              <w:rPr>
                <w:sz w:val="18"/>
              </w:rPr>
              <w:t>Ministerio del Interior con la AUF</w:t>
            </w:r>
          </w:p>
          <w:p w14:paraId="60CC0367" w14:textId="77777777" w:rsidR="00524521" w:rsidRDefault="00524521" w:rsidP="00EB144C">
            <w:pPr>
              <w:spacing w:line="360" w:lineRule="auto"/>
              <w:jc w:val="center"/>
              <w:rPr>
                <w:i/>
                <w:sz w:val="24"/>
              </w:rPr>
            </w:pPr>
          </w:p>
        </w:tc>
      </w:tr>
      <w:tr w:rsidR="00524521" w14:paraId="579D2388" w14:textId="77777777" w:rsidTr="00FF0028">
        <w:trPr>
          <w:trHeight w:val="1479"/>
        </w:trPr>
        <w:tc>
          <w:tcPr>
            <w:tcW w:w="1400" w:type="dxa"/>
          </w:tcPr>
          <w:p w14:paraId="069AD2F2" w14:textId="77777777" w:rsidR="00524521" w:rsidRDefault="00524521" w:rsidP="00EB144C">
            <w:pPr>
              <w:pStyle w:val="TableParagraph"/>
              <w:spacing w:line="360" w:lineRule="auto"/>
              <w:ind w:left="0"/>
              <w:jc w:val="center"/>
              <w:rPr>
                <w:i/>
                <w:sz w:val="18"/>
              </w:rPr>
            </w:pPr>
          </w:p>
          <w:p w14:paraId="7C9B51DF" w14:textId="77777777" w:rsidR="00524521" w:rsidRDefault="00524521" w:rsidP="00EB144C">
            <w:pPr>
              <w:pStyle w:val="TableParagraph"/>
              <w:spacing w:line="360" w:lineRule="auto"/>
              <w:ind w:left="0"/>
              <w:jc w:val="center"/>
              <w:rPr>
                <w:i/>
                <w:sz w:val="18"/>
              </w:rPr>
            </w:pPr>
          </w:p>
          <w:p w14:paraId="6DA0CE8C" w14:textId="77777777" w:rsidR="00524521" w:rsidRDefault="00524521" w:rsidP="00EB144C">
            <w:pPr>
              <w:spacing w:line="360" w:lineRule="auto"/>
              <w:jc w:val="center"/>
              <w:rPr>
                <w:i/>
                <w:sz w:val="24"/>
              </w:rPr>
            </w:pPr>
            <w:r>
              <w:rPr>
                <w:spacing w:val="-2"/>
                <w:sz w:val="18"/>
              </w:rPr>
              <w:t>Resultados documentados</w:t>
            </w:r>
          </w:p>
        </w:tc>
        <w:tc>
          <w:tcPr>
            <w:tcW w:w="2750" w:type="dxa"/>
          </w:tcPr>
          <w:p w14:paraId="4D20B87C" w14:textId="77777777" w:rsidR="00524521" w:rsidRDefault="00524521" w:rsidP="00EB144C">
            <w:pPr>
              <w:spacing w:line="360" w:lineRule="auto"/>
              <w:jc w:val="center"/>
              <w:rPr>
                <w:i/>
                <w:sz w:val="24"/>
              </w:rPr>
            </w:pPr>
            <w:r>
              <w:rPr>
                <w:sz w:val="18"/>
              </w:rPr>
              <w:t>149 muertes 2008-2020 (prensa); 154 muertes 2004-2018 y cerca de 23 condenados (academia)</w:t>
            </w:r>
          </w:p>
        </w:tc>
        <w:tc>
          <w:tcPr>
            <w:tcW w:w="1950" w:type="dxa"/>
          </w:tcPr>
          <w:p w14:paraId="7B524EFA" w14:textId="77777777" w:rsidR="00524521" w:rsidRDefault="00524521" w:rsidP="00EB144C">
            <w:pPr>
              <w:pStyle w:val="TableParagraph"/>
              <w:spacing w:line="360" w:lineRule="auto"/>
              <w:ind w:left="0"/>
              <w:jc w:val="center"/>
              <w:rPr>
                <w:i/>
                <w:sz w:val="18"/>
              </w:rPr>
            </w:pPr>
          </w:p>
          <w:p w14:paraId="1FACB62C" w14:textId="77777777" w:rsidR="00524521" w:rsidRDefault="00524521" w:rsidP="00EB144C">
            <w:pPr>
              <w:spacing w:line="360" w:lineRule="auto"/>
              <w:jc w:val="center"/>
              <w:rPr>
                <w:i/>
                <w:sz w:val="24"/>
              </w:rPr>
            </w:pPr>
            <w:r>
              <w:rPr>
                <w:sz w:val="18"/>
              </w:rPr>
              <w:t>Detenciones: reducción del 55 % entre 2010-11 y 2018-19; 4,2 por 100.000 asistentes en 2024-25 (Home Office)</w:t>
            </w:r>
          </w:p>
        </w:tc>
        <w:tc>
          <w:tcPr>
            <w:tcW w:w="1850" w:type="dxa"/>
          </w:tcPr>
          <w:p w14:paraId="3FD57872" w14:textId="77777777" w:rsidR="00524521" w:rsidRDefault="00524521" w:rsidP="00EB144C">
            <w:pPr>
              <w:spacing w:line="360" w:lineRule="auto"/>
              <w:jc w:val="center"/>
              <w:rPr>
                <w:i/>
                <w:sz w:val="24"/>
              </w:rPr>
            </w:pPr>
            <w:r>
              <w:rPr>
                <w:sz w:val="18"/>
              </w:rPr>
              <w:t>Más</w:t>
            </w:r>
            <w:r>
              <w:rPr>
                <w:spacing w:val="76"/>
                <w:sz w:val="18"/>
              </w:rPr>
              <w:t xml:space="preserve"> </w:t>
            </w:r>
            <w:r>
              <w:rPr>
                <w:sz w:val="18"/>
              </w:rPr>
              <w:t>de</w:t>
            </w:r>
            <w:r>
              <w:rPr>
                <w:spacing w:val="76"/>
                <w:sz w:val="18"/>
              </w:rPr>
              <w:t xml:space="preserve"> </w:t>
            </w:r>
            <w:r>
              <w:rPr>
                <w:sz w:val="18"/>
              </w:rPr>
              <w:t>70</w:t>
            </w:r>
            <w:r>
              <w:rPr>
                <w:spacing w:val="75"/>
                <w:sz w:val="18"/>
              </w:rPr>
              <w:t xml:space="preserve"> </w:t>
            </w:r>
            <w:r>
              <w:rPr>
                <w:sz w:val="18"/>
              </w:rPr>
              <w:t>prófugos capturados</w:t>
            </w:r>
            <w:r>
              <w:rPr>
                <w:spacing w:val="80"/>
                <w:sz w:val="18"/>
              </w:rPr>
              <w:t xml:space="preserve"> </w:t>
            </w:r>
            <w:r>
              <w:rPr>
                <w:sz w:val="18"/>
              </w:rPr>
              <w:t>en</w:t>
            </w:r>
            <w:r>
              <w:rPr>
                <w:spacing w:val="80"/>
                <w:sz w:val="18"/>
              </w:rPr>
              <w:t xml:space="preserve"> </w:t>
            </w:r>
            <w:r>
              <w:rPr>
                <w:sz w:val="18"/>
              </w:rPr>
              <w:t xml:space="preserve">2024; </w:t>
            </w:r>
            <w:r>
              <w:rPr>
                <w:spacing w:val="-2"/>
                <w:sz w:val="18"/>
              </w:rPr>
              <w:t>exclusiones administrativas</w:t>
            </w:r>
            <w:r>
              <w:rPr>
                <w:spacing w:val="40"/>
                <w:sz w:val="18"/>
              </w:rPr>
              <w:t xml:space="preserve"> </w:t>
            </w:r>
            <w:r>
              <w:rPr>
                <w:spacing w:val="-2"/>
                <w:sz w:val="18"/>
              </w:rPr>
              <w:t>efectivas</w:t>
            </w:r>
          </w:p>
        </w:tc>
        <w:tc>
          <w:tcPr>
            <w:tcW w:w="1782" w:type="dxa"/>
          </w:tcPr>
          <w:p w14:paraId="7B7A8BAC" w14:textId="77777777" w:rsidR="00524521" w:rsidRDefault="00524521" w:rsidP="00EB144C">
            <w:pPr>
              <w:pStyle w:val="TableParagraph"/>
              <w:spacing w:line="360" w:lineRule="auto"/>
              <w:ind w:left="0"/>
              <w:jc w:val="center"/>
              <w:rPr>
                <w:i/>
                <w:sz w:val="18"/>
              </w:rPr>
            </w:pPr>
          </w:p>
          <w:p w14:paraId="274D32A8" w14:textId="77777777" w:rsidR="00524521" w:rsidRDefault="00524521" w:rsidP="00EB144C">
            <w:pPr>
              <w:spacing w:line="360" w:lineRule="auto"/>
              <w:jc w:val="center"/>
              <w:rPr>
                <w:i/>
                <w:sz w:val="24"/>
              </w:rPr>
            </w:pPr>
            <w:r>
              <w:rPr>
                <w:sz w:val="18"/>
              </w:rPr>
              <w:t>Detenciones: reducción del 80 % según el Ministerio del Interior</w:t>
            </w:r>
          </w:p>
        </w:tc>
      </w:tr>
    </w:tbl>
    <w:p w14:paraId="3D4B0D93" w14:textId="4C0E2293" w:rsidR="00FF0028" w:rsidRDefault="005A53E5" w:rsidP="00EB144C">
      <w:pPr>
        <w:pStyle w:val="Textoindependiente"/>
        <w:spacing w:line="360" w:lineRule="auto"/>
        <w:ind w:left="0"/>
        <w:jc w:val="both"/>
      </w:pPr>
      <w:r>
        <w:rPr>
          <w:i/>
        </w:rPr>
        <w:t>Nota.</w:t>
      </w:r>
      <w:r>
        <w:t xml:space="preserve"> Elaboración propia con base en Home Office (2025), Reino Unido (1989, 2000), Ministerio de Seguridad de la Nación (2017, s. f.), Ministerio de Seguridad Nacional (2026a, 2026b), Gobierno de la Ciudad de Buenos Aires (2024), Presidencia de la República Oriental del Uruguay (2017), Revista Innovación Seguridad (2019), Caracol Radio (2020), Castro-Lozano (2020), Vanguardia (2019), Presidencia de la República de Colombia (2022), Alcaldía de Santiago de Cali (2025) e Infobae (2026).</w:t>
      </w:r>
    </w:p>
    <w:p w14:paraId="51BFEE6D" w14:textId="77777777" w:rsidR="008F59D7" w:rsidRPr="00720FAB" w:rsidRDefault="005A53E5" w:rsidP="00EB144C">
      <w:pPr>
        <w:pStyle w:val="Ttulo1"/>
        <w:numPr>
          <w:ilvl w:val="0"/>
          <w:numId w:val="1"/>
        </w:numPr>
        <w:tabs>
          <w:tab w:val="left" w:pos="578"/>
        </w:tabs>
        <w:spacing w:line="360" w:lineRule="auto"/>
        <w:ind w:left="0" w:firstLine="0"/>
        <w:jc w:val="center"/>
      </w:pPr>
      <w:r>
        <w:rPr>
          <w:spacing w:val="-2"/>
        </w:rPr>
        <w:t>Discusión</w:t>
      </w:r>
    </w:p>
    <w:p w14:paraId="29A51C53" w14:textId="77777777" w:rsidR="00720FAB" w:rsidRDefault="00720FAB" w:rsidP="00720FAB">
      <w:pPr>
        <w:pStyle w:val="Ttulo1"/>
        <w:tabs>
          <w:tab w:val="left" w:pos="578"/>
        </w:tabs>
        <w:spacing w:line="360" w:lineRule="auto"/>
        <w:ind w:left="0" w:firstLine="0"/>
      </w:pPr>
    </w:p>
    <w:p w14:paraId="4B2AA3DD" w14:textId="77777777" w:rsidR="008F59D7" w:rsidRDefault="005A53E5" w:rsidP="00EB144C">
      <w:pPr>
        <w:pStyle w:val="Textoindependiente"/>
        <w:spacing w:line="360" w:lineRule="auto"/>
        <w:ind w:left="0" w:firstLine="707"/>
        <w:jc w:val="both"/>
      </w:pPr>
      <w:r>
        <w:rPr/>
        <w:t>La evidencia examinada permite sostener una tesis: la violencia en el fútbol colombiano es, ante todo, un problema de gobernanza y de voluntad política, no de ausencia de normas. La afirmación puede parecer contraintuitiva en un país acostumbrado a explicar sus males por vacíos legales, pero el recorrido normativo la respalda. La Ley 1270 de 2009, el Código Penal, la jurisprudencia penal, la jurisprudencia constitucional y las competencias disciplinarias de la Dimayor proporcionan, en conjunto, los recursos necesarios (Congreso de Colombia, 2000, 2009). Lo que parece haber fallado, a nuestro juicio, es la aplicación sostenida, con los recursos suficientes y con visión de mediano plazo. Esta lectura coincide con la tesis de Pécaut (2001), para quien la debilidad institucional es un factor estructural de la violencia colombiana, dado que el problema no es la falta del Estado, sino su existencia fragmentada e intermitente.</w:t>
      </w:r>
    </w:p>
    <w:p w14:paraId="3DDD2E13" w14:textId="77777777" w:rsidR="00AD023D" w:rsidRDefault="005A53E5" w:rsidP="00EB144C">
      <w:pPr>
        <w:pStyle w:val="Textoindependiente"/>
        <w:spacing w:line="360" w:lineRule="auto"/>
        <w:ind w:left="0" w:firstLine="707"/>
        <w:jc w:val="both"/>
      </w:pPr>
      <w:r>
        <w:rPr/>
        <w:t>La jurisprudencia apunta en la misma dirección: según la Sentencia C-065 de 2021, las barras no pueden quedar por fuera del diálogo entre entidades, aunque tampoco pueden ocupar el lugar de las autoridades. En lo penal, la Sala de Casación Penal exige prueba concreta del hecho y un autor identificado, y no admite que el incidente colectivo reemplace la conducta individual (Corte Suprema de Justicia, Sala de Casación Penal, 2022); es el mismo requisito con el que tropieza la investigación del homicidio de Andrés Carvajal. En lo civil, el asistente con boleta y el tercero tienen caminos distintos, el del contrato y el de la actividad peligrosa, pero en los dos la agresión de otro hincha solo exonera al organizador si, revisadas las circunstancias de la Tabla 1, fue imprevisible, irresistible y ajena a su control. Una buena política pública tendría que juntar, como mínimo, estos tres planos con la prevención social.</w:t>
      </w:r>
    </w:p>
    <w:p w14:paraId="693D721B" w14:textId="77777777" w:rsidR="00347D59" w:rsidRDefault="00AD023D" w:rsidP="00EB144C">
      <w:pPr>
        <w:pStyle w:val="Textoindependiente"/>
        <w:spacing w:line="360" w:lineRule="auto"/>
        <w:ind w:left="0" w:firstLine="707"/>
        <w:jc w:val="both"/>
      </w:pPr>
      <w:r>
        <w:rPr/>
        <w:t>Lo que muestran los otros países aterriza el diagnóstico. En nuestra opinión, lo decisivo en los tres fue poner a todos los actores bajo una misma dirección institucional, más que la tecnología o una ley aislada. En Inglaterra, Hillsborough obligó a coordinar a actores que antes andaban cada uno por su lado, y Dunning (1999) sostiene que el cambio cultural en las gradas, que volvió la violencia algo mal visto socialmente, pesó tanto como la reforma física de los estadios, porque atacó la causa y no solo el síntoma. Argentina y Uruguay, en cambio, no esperaron una tragedia semejante: allí el cambio vino de una decisión política sostenida en el tiempo pese a las resistencias, y en ambos casos se apoyó en identificar a quien entra al estadio. En Colombia, por lo que muestran las fuentes y los casos, la respuesta visible se ha quedado en multas disciplinarias a los clubes y en operativos de policía, y la identificación de asistentes nunca llegó a funcionar de forma general, como lo prueban el fracaso de la carnetización y el caso 1.</w:t>
      </w:r>
    </w:p>
    <w:p w14:paraId="754F6287" w14:textId="77777777" w:rsidR="008F59D7" w:rsidRDefault="005A53E5" w:rsidP="00EB144C">
      <w:pPr>
        <w:pStyle w:val="Textoindependiente"/>
        <w:spacing w:line="360" w:lineRule="auto"/>
        <w:ind w:left="0" w:firstLine="382"/>
        <w:jc w:val="both"/>
      </w:pPr>
      <w:r>
        <w:rPr/>
        <w:t>El hallazgo de Castaño Pérez et al. (2014) agrega algo que las políticas colombianas no han analizado de forma sistemática. De acuerdo con el estudio, cerca de 45 de cada 100 consumidores de sustancias (alcohol, marihuana, cocaína, poppers, sacol, benzodiacepinas, éxtasis o dick) muestran agresividad física alta, y entre quienes usan marihuana la cifra llega al 88,5 %, con una asociación estadísticamente significativa (p. 84). Es cierto que una asociación no prueba causalidad, pero si cerca de la mitad de los consumidores tiene agresividad física alta, ignorar el consumo es dejar por fuera uno de los factores ligados al fenómeno. Una política integral debe incluir programas de reducción del consumo pensados para los jóvenes de las barras y conectados con los sistemas de salud pública departamentales y municipales.</w:t>
      </w:r>
    </w:p>
    <w:p w14:paraId="0183C464" w14:textId="77777777" w:rsidR="008F59D7" w:rsidRDefault="00F06804" w:rsidP="00EB144C">
      <w:pPr>
        <w:pStyle w:val="Textoindependiente"/>
        <w:spacing w:line="360" w:lineRule="auto"/>
        <w:ind w:left="0" w:firstLine="707"/>
        <w:jc w:val="both"/>
      </w:pPr>
      <w:r>
        <w:rPr/>
        <w:t>Mirados desde la sociología del deporte, estos resultados dialogan con la tesis de Clavijo (2004), que ve en las barras un espacio donde se incluyen jóvenes excluidos. Si eso es cierto, la represión indiscriminada rinde poco, y a veces sale contraproducente. Quitar los espacios de identidad colectiva no hace desaparecer las energías sociales que la barra canaliza; esas energías buscan otra salida, que puede ser peor. Una política mal diseñada, además, tiende a mezclar dos cosas distintas. Para el integrante violento están la sanción penal y la exclusión del estadio. Para la barra como institución social, los proyectos de intervención cultural y los programas de inclusión, empleo y ocupación. En Inglaterra, los programas comunitarios que los clubes desarrollan desde finales de los noventa sugieren que la cultura de las tribunas puede cambiar sin criminalizar a toda la hinchada.</w:t>
      </w:r>
    </w:p>
    <w:p w14:paraId="3711E0CF" w14:textId="77777777" w:rsidR="00347D59" w:rsidRDefault="00347D59" w:rsidP="00EB144C">
      <w:pPr>
        <w:pStyle w:val="Textoindependiente"/>
        <w:spacing w:line="360" w:lineRule="auto"/>
        <w:ind w:left="0" w:firstLine="707"/>
        <w:jc w:val="both"/>
      </w:pPr>
      <w:r>
        <w:rPr/>
        <w:t>El panorama económico también merece ser considerado más allá de las ganancias y las pérdidas. Es posible que los clubes que soportan los mayores costos de la violencia sean también los que menos incentivos tienen para enfrentarla, porque su propia base de aficionados presiona a la administración para que no adopte medidas que puedan percibirse como hostiles. Planteamos, como hipótesis que este trabajo no alcanza a verificar, que ese círculo solo se rompe desde fuera del sistema de incentivos de los clubes, esto es, desde el Estado y desde los organismos reguladores, y que para ello las consecuencias de la violencia tendrían que ser lo bastante severas como para que invertir en seguridad resulte más conveniente que asumir las sanciones. La experiencia inglesa sugiere que, una vez alcanzado ese punto, la seguridad y la conveniencia económica del espectáculo dejan de estar en oposición.</w:t>
      </w:r>
    </w:p>
    <w:p w14:paraId="43EA2CAF" w14:textId="77777777" w:rsidR="00347D59" w:rsidRDefault="00347D59" w:rsidP="00EB144C">
      <w:pPr>
        <w:pStyle w:val="Textoindependiente"/>
        <w:spacing w:line="360" w:lineRule="auto"/>
        <w:ind w:left="0" w:firstLine="707"/>
        <w:jc w:val="both"/>
      </w:pPr>
      <w:r>
        <w:t>El debate sobre la identificación obligatoria de los asistentes, que es lo técnicamente más relevante de las experiencias argentina y uruguaya, deja al descubierto la dimensión institucional y política del problema en Colombia. La carnetización que arrancó en 2017 fracasó, y no por la tecnología, que existe y funciona en países vecinos. Fallaron la coordinación entre la Dimayor, las alcaldías y los clubes para instalar y operar los lectores, y la confianza de unos aficionados que veían un trámite caro y sin beneficios a la vista (Vanguardia, 2019; Nomesqui Rivera, 2023). Creemos, aunque demostrarlo requeriría una investigación específica, que a esos obstáculos se suma la resistencia de actores que sacan provecho de sus relaciones informales con algunos grupos de aficionados y de la capacidad de movilización de estos. Son relaciones cuya existencia y alcance casi no se han estudiado en Colombia. Los pilotos de Cali y Medellín muestran que el tema volvió a la agenda. Que funcionen dependerá de resolver los problemas de coordinación y de confianza que hundieron el primer intento.</w:t>
      </w:r>
    </w:p>
    <w:p w14:paraId="09C0FF75" w14:textId="77777777" w:rsidR="008F59D7" w:rsidRDefault="005A53E5" w:rsidP="00EB144C">
      <w:pPr>
        <w:pStyle w:val="Textoindependiente"/>
        <w:spacing w:line="360" w:lineRule="auto"/>
        <w:ind w:left="0" w:firstLine="325"/>
        <w:jc w:val="both"/>
      </w:pPr>
      <w:r>
        <w:rPr/>
        <w:t>La evolución más reciente del modelo argentino brinda una enseñanza de implicaciones contradictorias que conviene recoger. Mediante la Resolución 429 de 2026, del 13 de mayo de 2026, publicada en el Boletín Oficial, se modificó el artículo 2 de la Resolución 354 de 2017 y se amplió la restricción de concurrencia administrativa a quien esté inscrito en “Registros Públicos de Alimentantes Morosos, o su equivalente, conforme a la normativa local” (Ministerio de Seguridad Nacional, 2026b, art. 1, literal h). Esa medida, que se articula con la Ley 269 de la Ciudad de Buenos Aires y con la Ley 7411 de Salta, termina usando el acceso al estadio como presión para que se paguen las cuotas alimentarias. Nos parece que eso muestra la fuerza de un sistema de identificación ya consolidado, pero también abre dudas de proporcionalidad, porque el espectáculo deportivo se vuelve una herramienta para hacer cumplir deberes que nada tienen que ver con la seguridad, y es una discusión que Colombia tendrá que dar si llega a montar un mecanismo parecido.</w:t>
      </w:r>
    </w:p>
    <w:p w14:paraId="39397271" w14:textId="3E3C67FB" w:rsidR="00EB144C" w:rsidRDefault="00347D59" w:rsidP="00720FAB">
      <w:pPr>
        <w:pStyle w:val="Textoindependiente"/>
        <w:spacing w:line="360" w:lineRule="auto"/>
        <w:ind w:left="0" w:firstLine="707"/>
        <w:jc w:val="both"/>
      </w:pPr>
      <w:r>
        <w:rPr/>
        <w:t>Los resultados permiten, por último, poner en duda el argumento habitual con el cual se justifica la no intervención, esto es, que las diferencias culturales harían intransferibles las soluciones adoptadas por otros países. Argentina y Uruguay son países latinoamericanos, con culturas futbolísticas semejantes a la colombiana, con grupos de aficionados organizados y con niveles de desigualdad comparables. Si en Uruguay las detenciones relacionadas con el fútbol disminuyeron de forma significativa tras la incorporación del reconocimiento facial (Revista Innovación Seguridad, 2019), el desarrollo de una solución de identificación semejante en Colombia es técnicamente posible, aunque la fuente no permite aislar el efecto de esa medida del de otros factores que pudieron concurrir. A nuestro juicio, la diferencia no es principalmente cultural ni tecnológica, sino de gobernanza y de política pública.</w:t>
      </w:r>
    </w:p>
    <w:p w14:paraId="477C5DC0" w14:textId="77777777" w:rsidR="00720FAB" w:rsidRDefault="00720FAB" w:rsidP="00720FAB">
      <w:pPr>
        <w:pStyle w:val="Textoindependiente"/>
        <w:spacing w:line="360" w:lineRule="auto"/>
        <w:ind w:left="0" w:firstLine="707"/>
        <w:jc w:val="left"/>
      </w:pPr>
    </w:p>
    <w:p w14:paraId="7A6C830F" w14:textId="77777777" w:rsidR="00720FAB" w:rsidRDefault="00720FAB" w:rsidP="00720FAB">
      <w:pPr>
        <w:pStyle w:val="Textoindependiente"/>
        <w:spacing w:line="360" w:lineRule="auto"/>
        <w:ind w:left="0" w:firstLine="707"/>
        <w:jc w:val="left"/>
      </w:pPr>
    </w:p>
    <w:p w14:paraId="2C66913E" w14:textId="77777777" w:rsidR="00720FAB" w:rsidRDefault="00720FAB" w:rsidP="00720FAB">
      <w:pPr>
        <w:pStyle w:val="Textoindependiente"/>
        <w:spacing w:line="360" w:lineRule="auto"/>
        <w:ind w:left="0" w:firstLine="707"/>
        <w:jc w:val="left"/>
      </w:pPr>
    </w:p>
    <w:p w14:paraId="7F57D6DC" w14:textId="77777777" w:rsidR="00720FAB" w:rsidRDefault="00720FAB" w:rsidP="00720FAB">
      <w:pPr>
        <w:pStyle w:val="Textoindependiente"/>
        <w:spacing w:line="360" w:lineRule="auto"/>
        <w:ind w:left="0" w:firstLine="707"/>
        <w:jc w:val="left"/>
      </w:pPr>
    </w:p>
    <w:p w14:paraId="4C617D2F" w14:textId="77777777" w:rsidR="00720FAB" w:rsidRDefault="00720FAB" w:rsidP="00720FAB">
      <w:pPr>
        <w:pStyle w:val="Textoindependiente"/>
        <w:spacing w:line="360" w:lineRule="auto"/>
        <w:ind w:left="0" w:firstLine="707"/>
        <w:jc w:val="left"/>
      </w:pPr>
    </w:p>
    <w:p w14:paraId="48DC9D7B" w14:textId="77777777" w:rsidR="008F59D7" w:rsidRPr="00FF0028" w:rsidRDefault="005A53E5" w:rsidP="00EB144C">
      <w:pPr>
        <w:pStyle w:val="Ttulo1"/>
        <w:numPr>
          <w:ilvl w:val="0"/>
          <w:numId w:val="1"/>
        </w:numPr>
        <w:spacing w:line="360" w:lineRule="auto"/>
        <w:ind w:left="0" w:firstLine="0"/>
        <w:jc w:val="center"/>
      </w:pPr>
      <w:r>
        <w:rPr>
          <w:spacing w:val="-2"/>
        </w:rPr>
        <w:lastRenderedPageBreak/>
        <w:t>Conclusiones</w:t>
      </w:r>
    </w:p>
    <w:p w14:paraId="65C46B24" w14:textId="77777777" w:rsidR="00FF0028" w:rsidRDefault="00FF0028" w:rsidP="00EB144C">
      <w:pPr>
        <w:pStyle w:val="Ttulo1"/>
        <w:spacing w:line="360" w:lineRule="auto"/>
        <w:ind w:left="0" w:firstLine="0"/>
        <w:jc w:val="right"/>
      </w:pPr>
    </w:p>
    <w:p w14:paraId="529258A4" w14:textId="77777777" w:rsidR="008F59D7" w:rsidRDefault="005A53E5" w:rsidP="00EB144C">
      <w:pPr>
        <w:pStyle w:val="Textoindependiente"/>
        <w:spacing w:line="360" w:lineRule="auto"/>
        <w:ind w:left="0" w:firstLine="707"/>
        <w:jc w:val="both"/>
      </w:pPr>
      <w:r>
        <w:rPr/>
        <w:t>Presentamos seis conclusiones, y en cada una distinguimos lo que el trabajo demostró con las fuentes, los casos y la jurisprudencia, la manera como lo interpretamos jurídicamente y lo que proponemos para cambiar o reforzar el régimen, que no se deduce necesariamente de la evidencia y debe leerse como recomendación.</w:t>
      </w:r>
    </w:p>
    <w:p w14:paraId="529258A4" w14:textId="77777777" w:rsidR="008F59D7" w:rsidRDefault="005A53E5" w:rsidP="00EB144C">
      <w:pPr>
        <w:pStyle w:val="Textoindependiente"/>
        <w:spacing w:line="360" w:lineRule="auto"/>
        <w:ind w:left="0" w:firstLine="707"/>
        <w:jc w:val="both"/>
      </w:pPr>
      <w:r>
        <w:rPr/>
        <w:t>En cuanto a la hipótesis planteada en la introducción, los resultados van en la misma dirección, porque ninguno de los países comparados redujo la violencia solo con castigo y en Colombia la existencia de normas sancionatorias no se ha traducido en condenas proporcionales a los hechos ni en la identificación sistemática de los agresores. Un estudio documental y comparado como este no alcanza, sin embargo, para demostrarla en sentido estricto, y por eso la dejamos planteada como una tesis que los datos revisados apoyan.</w:t>
      </w:r>
    </w:p>
    <w:p w14:paraId="535F6711" w14:textId="77777777" w:rsidR="005F1D22" w:rsidRDefault="006E6BE4" w:rsidP="00EB144C">
      <w:pPr>
        <w:pStyle w:val="Textoindependiente"/>
        <w:spacing w:line="360" w:lineRule="auto"/>
        <w:ind w:left="0" w:firstLine="707"/>
        <w:jc w:val="both"/>
      </w:pPr>
      <w:r>
        <w:rPr>
          <w:b/>
        </w:rPr>
        <w:t xml:space="preserve">01. Sobre las causas del fenómeno. </w:t>
      </w:r>
      <w:r>
        <w:rPr>
          <w:i/>
        </w:rPr>
        <w:t xml:space="preserve">Lo demostrado. </w:t>
      </w:r>
      <w:r>
        <w:rPr/>
        <w:t>Los homicidios y las lesiones entre hinchas, que en el registro de El País de Cali ocurrieron todos fuera de los estadios (Caracol Radio, 2020), no se explican por el fútbol mismo, y las fuentes que revisamos ubican sus causas en la vida de los jóvenes que llegan a las barras. En Bogotá, Clavijo (2004) vio que la barra les da el reconocimiento que no encuentran en otros espacios, y Pécaut (2001) relaciona la violencia del país con una presencia fragmentada del Estado. En Medellín, Castaño Pérez et al. (2014) estudiaron una muestra de 570 integrantes de barras y hallaron una asociación estadísticamente significativa entre el consumo de sustancias y la agresividad física.</w:t>
      </w:r>
    </w:p>
    <w:p w14:paraId="535F6711" w14:textId="77777777" w:rsidR="005F1D22" w:rsidRDefault="006E6BE4" w:rsidP="00EB144C">
      <w:pPr>
        <w:pStyle w:val="Textoindependiente"/>
        <w:spacing w:line="360" w:lineRule="auto"/>
        <w:ind w:left="0" w:firstLine="707"/>
        <w:jc w:val="both"/>
      </w:pPr>
      <w:r>
        <w:rPr>
          <w:i/>
        </w:rPr>
        <w:t xml:space="preserve">Nuestra interpretación. </w:t>
      </w:r>
      <w:r>
        <w:rPr/>
        <w:t>Leemos en esos hallazgos un fenómeno estructural, ligado a la desigualdad, a la falta de oportunidades para muchos jóvenes y a la normalización de la violencia, con la advertencia de que la asociación entre consumo y agresividad no prueba por sí sola una relación causal. En ese marco, las barras no son la causa de la violencia, sino el espacio en el que actúan sus sectores violentos, y su función de identidad y el barrismo social, reconocidos en el Plan Decenal y en la Sentencia C-065 de 2021, las convierten además en aliadas posibles de la prevención.</w:t>
      </w:r>
    </w:p>
    <w:p w14:paraId="535F6711" w14:textId="77777777" w:rsidR="005F1D22" w:rsidRDefault="006E6BE4" w:rsidP="00EB144C">
      <w:pPr>
        <w:pStyle w:val="Textoindependiente"/>
        <w:spacing w:line="360" w:lineRule="auto"/>
        <w:ind w:left="0" w:firstLine="707"/>
        <w:jc w:val="both"/>
      </w:pPr>
      <w:r>
        <w:rPr>
          <w:i/>
        </w:rPr>
        <w:t xml:space="preserve">Propuesta. </w:t>
      </w:r>
      <w:r>
        <w:rPr/>
        <w:t>La política pública debería incluir programas sociales y de reducción del consumo dirigidos a los jóvenes de las barras, pues sin ellos es probable que las medidas punitivas consigan, a lo sumo, logros aislados.</w:t>
      </w:r>
    </w:p>
    <w:p w14:paraId="0E01C8B3" w14:textId="77777777" w:rsidR="006E6BE4" w:rsidRDefault="006E6BE4" w:rsidP="00EB144C">
      <w:pPr>
        <w:pStyle w:val="Textoindependiente"/>
        <w:spacing w:line="360" w:lineRule="auto"/>
        <w:ind w:left="0" w:firstLine="707"/>
        <w:jc w:val="both"/>
      </w:pPr>
      <w:r>
        <w:rPr>
          <w:b/>
        </w:rPr>
        <w:t xml:space="preserve">02. Sobre el marco normativo y la persecución penal. </w:t>
      </w:r>
      <w:r>
        <w:rPr>
          <w:i/>
        </w:rPr>
        <w:t xml:space="preserve">Lo demostrado. </w:t>
      </w:r>
      <w:r>
        <w:rPr/>
        <w:t>En normas, Colombia está bien servida: tiene la Ley 1270 de 2009, las Leyes 1445 y 1453 de 2011, el Código Penal, el Código Nacional de Seguridad y Convivencia Ciudadana y el régimen disciplinario deportivo, y además una sentencia constitucional que fijó los límites de la participación de las barras (Sentencia C-065 de 2021). También quedó documentada la brecha entre muertes y condenas (Castro-Lozano, 2020). Los casos estudiados mostraron que la persecución penal tropieza sobre todo con la individualización de los autores, un requisito que la Sala de Casación Penal exige con rigor. Cada una actúa sobre alguien distinto: el Código Penal sobre el agresor, la Ley 1445 de 2011 también sobre él, porque permite sacarlo del estadio hasta por seis años sin que haya delito, y el Código Disciplinario Único de la Federación solo sobre los clubes.</w:t>
      </w:r>
    </w:p>
    <w:p w14:paraId="0E01C8B3" w14:textId="77777777" w:rsidR="006E6BE4" w:rsidRDefault="006E6BE4" w:rsidP="00EB144C">
      <w:pPr>
        <w:pStyle w:val="Textoindependiente"/>
        <w:spacing w:line="360" w:lineRule="auto"/>
        <w:ind w:left="0" w:firstLine="707"/>
        <w:jc w:val="both"/>
      </w:pPr>
      <w:r>
        <w:rPr>
          <w:i/>
        </w:rPr>
        <w:t xml:space="preserve">Nuestra interpretación. </w:t>
      </w:r>
      <w:r>
        <w:rPr/>
        <w:t>A nuestro juicio, el problema está en la aplicación. La pena y la prohibición de ingreso necesitan saber quién estuvo en el estadio, y eso en Colombia todavía no se verifica en las puertas; la multa disciplinaria, por su parte, le cae al club y deja al agresor por fuera, como pasó con la sanción al Junior en 2024. En esto coincidimos con Pécaut (2001), para quien la debilidad institucional es una causa de fondo de la violencia colombiana.</w:t>
      </w:r>
    </w:p>
    <w:p w14:paraId="0E01C8B3" w14:textId="77777777" w:rsidR="006E6BE4" w:rsidRDefault="006E6BE4" w:rsidP="00EB144C">
      <w:pPr>
        <w:pStyle w:val="Textoindependiente"/>
        <w:spacing w:line="360" w:lineRule="auto"/>
        <w:ind w:left="0" w:firstLine="707"/>
        <w:jc w:val="both"/>
      </w:pPr>
      <w:r>
        <w:rPr>
          <w:i/>
        </w:rPr>
        <w:t xml:space="preserve">Propuesta. </w:t>
      </w:r>
      <w:r>
        <w:rPr/>
        <w:t>Más que leyes nuevas, hace falta que las vigentes se apliquen de forma coordinada, con recursos, con información confiable y con mecanismos para identificar uno a uno a los responsables.</w:t>
      </w:r>
    </w:p>
    <w:p w14:paraId="757D467A" w14:textId="77777777" w:rsidR="006E6BE4" w:rsidRDefault="006E6BE4" w:rsidP="00EB144C">
      <w:pPr>
        <w:pStyle w:val="Textoindependiente"/>
        <w:spacing w:line="360" w:lineRule="auto"/>
        <w:ind w:left="0" w:firstLine="707"/>
        <w:jc w:val="both"/>
      </w:pPr>
      <w:r>
        <w:rPr>
          <w:b/>
        </w:rPr>
        <w:t xml:space="preserve">03. Sobre la responsabilidad civil de los organizadores. </w:t>
      </w:r>
      <w:r>
        <w:rPr>
          <w:i/>
        </w:rPr>
        <w:t xml:space="preserve">Lo demostrado. </w:t>
      </w:r>
      <w:r>
        <w:rPr/>
        <w:t>Las víctimas tienen dos caminos: quien compró boleta puede reclamar al organizador por la vía contractual cuando este falla en el deber de seguridad incluido en el contrato de espectáculo (artículos 1603 y 1604 del Código Civil), y el tercero sin contrato debe acudir a la vía extracontractual. Y si el daño viene de una actividad peligrosa, las sentencias SC2905-2021 y SC2111-2021 de la Sala de Casación Civil impiden que el organizador se libere probando solamente que fue diligente.</w:t>
      </w:r>
    </w:p>
    <w:p w14:paraId="757D467A" w14:textId="77777777" w:rsidR="006E6BE4" w:rsidRDefault="006E6BE4" w:rsidP="00EB144C">
      <w:pPr>
        <w:pStyle w:val="Textoindependiente"/>
        <w:spacing w:line="360" w:lineRule="auto"/>
        <w:ind w:left="0" w:firstLine="707"/>
        <w:jc w:val="both"/>
      </w:pPr>
      <w:r>
        <w:rPr>
          <w:i/>
        </w:rPr>
        <w:t xml:space="preserve">Nuestra interpretación. </w:t>
      </w:r>
      <w:r>
        <w:rPr/>
        <w:t>Frente al vecino o al peatón, un partido masivo puede tratarse como actividad peligrosa; frente a quien compró la boleta, el deber de seguridad sigue siendo de medios, aunque reforzado. En los dos casos la agresión de otro hincha solo libera al organizador si fue imprevisible, irresistible y ajena a su control, y eso no se resuelve en abstracto sino con los hechos de cada partido, por ejemplo si la requisa funcionó, si se separó a las hinchadas y dónde ocurrió el daño, que son los criterios que propusimos en la Tabla 1.</w:t>
      </w:r>
    </w:p>
    <w:p w14:paraId="757D467A" w14:textId="77777777" w:rsidR="006E6BE4" w:rsidRDefault="006E6BE4" w:rsidP="00EB144C">
      <w:pPr>
        <w:pStyle w:val="Textoindependiente"/>
        <w:spacing w:line="360" w:lineRule="auto"/>
        <w:ind w:left="0" w:firstLine="707"/>
        <w:jc w:val="both"/>
      </w:pPr>
      <w:r>
        <w:rPr>
          <w:i/>
        </w:rPr>
        <w:t xml:space="preserve">Propuesta. </w:t>
      </w:r>
      <w:r>
        <w:rPr/>
        <w:t>Sería útil que la reglamentación de los planes de seguridad fijara mínimos de requisa, de separación de hinchadas y de vigilancia según el riesgo de cada partido. Así los jueces tendrían reglas más claras para juzgar si el organizador fue diligente.</w:t>
      </w:r>
    </w:p>
    <w:p w14:paraId="6205B326" w14:textId="77777777" w:rsidR="006E6BE4" w:rsidRDefault="006E6BE4" w:rsidP="00EB144C">
      <w:pPr>
        <w:pStyle w:val="Textoindependiente"/>
        <w:spacing w:line="360" w:lineRule="auto"/>
        <w:ind w:left="0" w:firstLine="382"/>
        <w:jc w:val="both"/>
      </w:pPr>
      <w:r>
        <w:rPr>
          <w:b/>
        </w:rPr>
        <w:t xml:space="preserve">04. Sobre la identificación de asistentes. </w:t>
      </w:r>
      <w:r>
        <w:rPr>
          <w:i/>
        </w:rPr>
        <w:t xml:space="preserve">Lo demostrado. </w:t>
      </w:r>
      <w:r>
        <w:rPr/>
        <w:t>Los países comparados muestran resultados verificables, resumidos en la Tabla 3: en Uruguay bajaron las detenciones después de instalar el reconocimiento facial, y en Argentina se capturó a prófugos y se excluyó de los estadios a personas concretas por vía administrativa. En Colombia la carnetización de 2017 nunca funcionó, porque faltaron lectores en los estadios, coordinación con las alcaldías y aceptación de los hinchas. Hoy la verificación de identidad en las puertas solo se ensaya en pilotos, y el caso 1 mostró que esa falta es uno de los obstáculos para saber quiénes fueron los agresores.</w:t>
      </w:r>
    </w:p>
    <w:p w14:paraId="6205B326" w14:textId="77777777" w:rsidR="006E6BE4" w:rsidRDefault="006E6BE4" w:rsidP="00EB144C">
      <w:pPr>
        <w:pStyle w:val="Textoindependiente"/>
        <w:spacing w:line="360" w:lineRule="auto"/>
        <w:ind w:left="0" w:firstLine="382"/>
        <w:jc w:val="both"/>
      </w:pPr>
      <w:r>
        <w:rPr>
          <w:i/>
        </w:rPr>
        <w:t xml:space="preserve">Nuestra interpretación. </w:t>
      </w:r>
      <w:r>
        <w:rPr/>
        <w:t>Con estos datos no se puede separar el efecto de la identificación del de otros factores, aunque es la medida cuyos resultados se ven más directamente. Lo que pasó con la carnetización sugiere que en Colombia los problemas han sido más de instituciones que de tecnología; que también sean políticos es una hipótesis que planteamos sin haberla demostrado.</w:t>
      </w:r>
    </w:p>
    <w:p w14:paraId="6205B326" w14:textId="77777777" w:rsidR="006E6BE4" w:rsidRDefault="006E6BE4" w:rsidP="00EB144C">
      <w:pPr>
        <w:pStyle w:val="Textoindependiente"/>
        <w:spacing w:line="360" w:lineRule="auto"/>
        <w:ind w:left="0" w:firstLine="382"/>
        <w:jc w:val="both"/>
      </w:pPr>
      <w:r>
        <w:rPr>
          <w:i/>
        </w:rPr>
        <w:t xml:space="preserve">Propuesta. </w:t>
      </w:r>
      <w:r>
        <w:rPr/>
        <w:t>Proponemos poner en marcha un sistema de identificación de asistentes que proteja los datos personales y sea proporcional, teniendo en cuenta las dudas que deja la decisión argentina de extender la restricción de entrada a los deudores de alimentos.</w:t>
      </w:r>
    </w:p>
    <w:p w14:paraId="0FB6AA53" w14:textId="77777777" w:rsidR="008F59D7" w:rsidRDefault="006E6BE4" w:rsidP="00EB144C">
      <w:pPr>
        <w:pStyle w:val="Textoindependiente"/>
        <w:spacing w:line="360" w:lineRule="auto"/>
        <w:ind w:left="0" w:firstLine="382"/>
        <w:jc w:val="both"/>
      </w:pPr>
      <w:r>
        <w:rPr>
          <w:b/>
        </w:rPr>
        <w:t xml:space="preserve">05. Sobre el régimen disciplinario. </w:t>
      </w:r>
      <w:r>
        <w:rPr>
          <w:i/>
        </w:rPr>
        <w:t xml:space="preserve">Lo demostrado. </w:t>
      </w:r>
      <w:r>
        <w:rPr/>
        <w:t>Cada sanción de la Dimayor a un club sale en una resolución aparte. En las resoluciones que revisamos las multas fueron de ocho a diez salarios mínimos (la Resolución 095 de 2024 le impuso diez al Junior) y hubo cierres parciales o totales de tribuna (División Mayor del Fútbol Colombiano, 2024). No encontramos un consolidado oficial de esas sanciones ni un registro público de reincidencia por club.</w:t>
      </w:r>
    </w:p>
    <w:p w14:paraId="0FB6AA53" w14:textId="77777777" w:rsidR="008F59D7" w:rsidRDefault="006E6BE4" w:rsidP="00EB144C">
      <w:pPr>
        <w:pStyle w:val="Textoindependiente"/>
        <w:spacing w:line="360" w:lineRule="auto"/>
        <w:ind w:left="0" w:firstLine="382"/>
        <w:jc w:val="both"/>
      </w:pPr>
      <w:r>
        <w:rPr>
          <w:i/>
        </w:rPr>
        <w:t xml:space="preserve">Nuestra interpretación. </w:t>
      </w:r>
      <w:r>
        <w:rPr/>
        <w:t>Con lo que encontramos no podemos decir si el régimen disuade, porque un club puede reincidir por razones que nada tienen que ver con la multa, como jugar muchos partidos de alto riesgo o tener una hinchada muy grande. Lo que sí nos parece es que trece millones de pesos, el valor de la multa impuesta al Junior en 2024, es poco frente al problema, y que vale la pena revisar el diseño de las sanciones, aunque el trabajo no alcanza para afirmar que el régimen esté mal calibrado.</w:t>
      </w:r>
    </w:p>
    <w:p w14:paraId="0FB6AA53" w14:textId="77777777" w:rsidR="008F59D7" w:rsidRDefault="006E6BE4" w:rsidP="00EB144C">
      <w:pPr>
        <w:pStyle w:val="Textoindependiente"/>
        <w:spacing w:line="360" w:lineRule="auto"/>
        <w:ind w:left="0" w:firstLine="382"/>
        <w:jc w:val="both"/>
      </w:pPr>
      <w:r>
        <w:rPr>
          <w:i/>
        </w:rPr>
        <w:t xml:space="preserve">Propuesta. </w:t>
      </w:r>
      <w:r>
        <w:rPr/>
        <w:t>La Dimayor y la Federación Colombiana de Fútbol deberían publicar un consolidado de sanciones y de reincidencia por club, que hoy no existe y sin el cual esa evaluación no se puede hacer. Si los datos muestran que las multas no disuaden, se podría pensar en sanciones que suban con la reincidencia, siempre con debido proceso, doble instancia y el control judicial que la Corte Constitucional exige también a los reguladores privados (Corte Constitucional, 2022, 2023).</w:t>
      </w:r>
    </w:p>
    <w:p w14:paraId="0F7D48E6" w14:textId="394FEAE9" w:rsidR="00FF0028" w:rsidRDefault="00000000" w:rsidP="00EB144C">
      <w:pPr>
        <w:pStyle w:val="Textoindependiente"/>
        <w:spacing w:line="360" w:lineRule="auto"/>
        <w:ind w:left="0" w:firstLine="382"/>
        <w:jc w:val="both"/>
      </w:pPr>
      <w:r>
        <w:rPr>
          <w:b/>
        </w:rPr>
        <w:t xml:space="preserve">06. Sobre la transformación cultural. </w:t>
      </w:r>
      <w:r>
        <w:rPr>
          <w:i/>
        </w:rPr>
        <w:t xml:space="preserve">Lo demostrado. </w:t>
      </w:r>
      <w:r>
        <w:rPr/>
        <w:t>En Inglaterra la violencia bajó cuando coincidieron la transformación de los estadios después del Informe Taylor (1990), el régimen de prohibiciones de ingreso de la Football Spectators Act (Reino Unido, 1989) y, según Dunning (1999), un cambio en la cultura de las gradas. Las cifras del Home Office (2025) muestran además que las detenciones ligadas al fútbol cayeron en la última década.</w:t>
      </w:r>
    </w:p>
    <w:p w14:paraId="0F7D48E6" w14:textId="394FEAE9" w:rsidR="00FF0028" w:rsidRDefault="00000000" w:rsidP="00EB144C">
      <w:pPr>
        <w:pStyle w:val="Textoindependiente"/>
        <w:spacing w:line="360" w:lineRule="auto"/>
        <w:ind w:left="0" w:firstLine="382"/>
        <w:jc w:val="both"/>
      </w:pPr>
      <w:r>
        <w:rPr>
          <w:i/>
        </w:rPr>
        <w:t xml:space="preserve">Nuestra interpretación. </w:t>
      </w:r>
      <w:r>
        <w:rPr/>
        <w:t>Coincidimos con Dunning en que el cambio cultural pesó tanto como las normas y la tecnología, aunque con las fuentes revisadas no es posible medir cuánto pesó cada factor.</w:t>
      </w:r>
    </w:p>
    <w:p w14:paraId="0F7D48E6" w14:textId="394FEAE9" w:rsidR="00FF0028" w:rsidRDefault="00000000" w:rsidP="00EB144C">
      <w:pPr>
        <w:pStyle w:val="Textoindependiente"/>
        <w:spacing w:line="360" w:lineRule="auto"/>
        <w:ind w:left="0" w:firstLine="382"/>
        <w:jc w:val="both"/>
      </w:pPr>
      <w:r>
        <w:rPr>
          <w:i/>
        </w:rPr>
        <w:t xml:space="preserve">Propuesta. </w:t>
      </w:r>
      <w:r>
        <w:rPr/>
        <w:t>Las medidas de control deben ir de la mano de programas serios de educación y convivencia. Hay que hablar directamente con las barras, en sus propios términos, dentro del espacio de participación que abrió la Sentencia C-065 de 2021 y con los filtros que sugiere el caso 2. También hace falta que jugadores, técnicos y directivos asuman públicamente un papel activo, porque en Colombia el fútbol mueve una cultura enorme, y la violencia que lo rodea es, en buena parte, lo que pagamos por no cuidar esa cultura con el mismo celo con que el país dice proteger otras cosas que considera importantes.</w:t>
      </w:r>
    </w:p>
    <w:p w14:paraId="2862D119" w14:textId="77777777" w:rsidR="00FF0028" w:rsidRDefault="00FF0028" w:rsidP="00EB144C">
      <w:pPr>
        <w:pStyle w:val="Textoindependiente"/>
        <w:spacing w:line="360" w:lineRule="auto"/>
        <w:ind w:left="0" w:firstLine="382"/>
        <w:jc w:val="left"/>
      </w:pPr>
    </w:p>
    <w:p w14:paraId="377736E0" w14:textId="77777777" w:rsidR="008F59D7" w:rsidRPr="00FF0028" w:rsidRDefault="005A53E5" w:rsidP="00EB144C">
      <w:pPr>
        <w:pStyle w:val="Ttulo1"/>
        <w:numPr>
          <w:ilvl w:val="0"/>
          <w:numId w:val="1"/>
        </w:numPr>
        <w:tabs>
          <w:tab w:val="left" w:pos="4561"/>
        </w:tabs>
        <w:spacing w:line="360" w:lineRule="auto"/>
        <w:ind w:left="0" w:hanging="240"/>
        <w:jc w:val="center"/>
      </w:pPr>
      <w:r>
        <w:rPr>
          <w:spacing w:val="-2"/>
        </w:rPr>
        <w:t>Referencias</w:t>
      </w:r>
    </w:p>
    <w:p w14:paraId="39E79A17" w14:textId="77777777" w:rsidR="00FF0028" w:rsidRDefault="00FF0028" w:rsidP="00EB144C">
      <w:pPr>
        <w:pStyle w:val="Ttulo1"/>
        <w:tabs>
          <w:tab w:val="left" w:pos="4561"/>
        </w:tabs>
        <w:spacing w:line="360" w:lineRule="auto"/>
        <w:ind w:left="0" w:firstLine="0"/>
        <w:jc w:val="right"/>
      </w:pPr>
    </w:p>
    <w:p w14:paraId="738100F8" w14:textId="77777777" w:rsidR="00880D0E" w:rsidRDefault="00880D0E" w:rsidP="00EB144C">
      <w:pPr>
        <w:pStyle w:val="Textoindependiente"/>
        <w:spacing w:line="360" w:lineRule="auto"/>
        <w:ind w:left="709" w:hanging="720"/>
        <w:jc w:val="left"/>
      </w:pPr>
      <w:r>
        <w:t xml:space="preserve">Alcaldía de Santiago de Cali. (2025, 27 de febrero). </w:t>
      </w:r>
      <w:r>
        <w:rPr>
          <w:i/>
        </w:rPr>
        <w:t>Cali, pionera en Colombia al implementar biometría en el estadio Pascual Guerrero para controlar el acceso de hinchas</w:t>
      </w:r>
      <w:r>
        <w:t>. https://www.cali.gov.co/deportes/publicaciones/184745/cali-pionera-en-colombia-al-implementar-biometria-en-el-estadio-pascual-guerrero-para-controlar-el-acceso-de-hinchas/</w:t>
      </w:r>
    </w:p>
    <w:p w14:paraId="370F22E1" w14:textId="77777777" w:rsidR="00880D0E" w:rsidRDefault="00880D0E" w:rsidP="00EB144C">
      <w:pPr>
        <w:pStyle w:val="Textoindependiente"/>
        <w:spacing w:line="360" w:lineRule="auto"/>
        <w:ind w:left="709" w:hanging="720"/>
        <w:jc w:val="left"/>
      </w:pPr>
      <w:r>
        <w:t xml:space="preserve">Caracol Radio. (2020, 10 de octubre). </w:t>
      </w:r>
      <w:r>
        <w:rPr>
          <w:rStyle w:val="nfasis"/>
        </w:rPr>
        <w:t>El lado oscuro del fútbol colombiano: 149 muertos en 12 años</w:t>
      </w:r>
      <w:r>
        <w:t>. Caracol Radio. https://caracol.com.co/radio/2020/10/10/deportes/1602331835_403417.html</w:t>
      </w:r>
    </w:p>
    <w:p w14:paraId="5AB9E415" w14:textId="77777777" w:rsidR="008F59D7" w:rsidRDefault="005A53E5" w:rsidP="00EB144C">
      <w:pPr>
        <w:tabs>
          <w:tab w:val="left" w:pos="5165"/>
          <w:tab w:val="left" w:pos="9125"/>
        </w:tabs>
        <w:spacing w:line="360" w:lineRule="auto"/>
        <w:ind w:left="709" w:hanging="720"/>
        <w:jc w:val="both"/>
        <w:rPr>
          <w:sz w:val="24"/>
        </w:rPr>
      </w:pPr>
      <w:r>
        <w:rPr>
          <w:sz w:val="24"/>
        </w:rPr>
        <w:t>Castaño Pérez, G. A., Restrepo Escobar, S. M., &amp; Uribe Aramburo, N. I. (2014). Agresividad, consumo de drogas y “barras bravas” en el fútbol. Revista Virtual Universidad Católica del Norte, (41), 79-95. https://revistavirtual.ucn.edu.co/index.php/RevistaUCN/article/view/467</w:t>
      </w:r>
    </w:p>
    <w:p w14:paraId="286FEB5F" w14:textId="77777777" w:rsidR="008F59D7" w:rsidRDefault="005A53E5" w:rsidP="00EB144C">
      <w:pPr>
        <w:pStyle w:val="Textoindependiente"/>
        <w:spacing w:line="360" w:lineRule="auto"/>
        <w:ind w:left="709" w:hanging="720"/>
      </w:pPr>
      <w:r>
        <w:t xml:space="preserve">Castro-Lozano, J. A. (2020). “El día que me muera me vas a escuchar”: de la identidad y la violencia en el contexto del fútbol en Colombia. </w:t>
      </w:r>
      <w:r>
        <w:rPr>
          <w:i/>
        </w:rPr>
        <w:t>Revista Logos Ciencia &amp; Tecnología</w:t>
      </w:r>
      <w:r>
        <w:t xml:space="preserve">, 12(1), 175-187. </w:t>
      </w:r>
      <w:hyperlink r:id="rId24">
        <w:r>
          <w:t>https://doi.org/10.22335/rlct.v12i1.1111</w:t>
        </w:r>
      </w:hyperlink>
    </w:p>
    <w:p w14:paraId="68A56B02" w14:textId="77777777" w:rsidR="008F59D7" w:rsidRDefault="005A53E5" w:rsidP="00EB144C">
      <w:pPr>
        <w:pStyle w:val="Textoindependiente"/>
        <w:spacing w:line="360" w:lineRule="auto"/>
        <w:ind w:left="709" w:hanging="720"/>
      </w:pPr>
      <w:r>
        <w:t xml:space="preserve">Clavijo, J. (2004). Estudio de barras de fútbol de Bogotá: los comandos azules. </w:t>
      </w:r>
      <w:r>
        <w:rPr>
          <w:i/>
        </w:rPr>
        <w:t>Universitas Humanística</w:t>
      </w:r>
      <w:r>
        <w:t>, 31(58), 43-59.</w:t>
      </w:r>
    </w:p>
    <w:p w14:paraId="2D072137" w14:textId="77777777" w:rsidR="008F59D7" w:rsidRDefault="005A53E5" w:rsidP="00EB144C">
      <w:pPr>
        <w:pStyle w:val="Textoindependiente"/>
        <w:spacing w:line="360" w:lineRule="auto"/>
        <w:ind w:left="709"/>
      </w:pPr>
      <w:r>
        <w:t>Congreso</w:t>
      </w:r>
      <w:r>
        <w:rPr>
          <w:spacing w:val="-17"/>
        </w:rPr>
        <w:t xml:space="preserve"> </w:t>
      </w:r>
      <w:r>
        <w:t>de</w:t>
      </w:r>
      <w:r>
        <w:rPr>
          <w:spacing w:val="-14"/>
        </w:rPr>
        <w:t xml:space="preserve"> </w:t>
      </w:r>
      <w:r>
        <w:t>Colombia.</w:t>
      </w:r>
      <w:r>
        <w:rPr>
          <w:spacing w:val="-14"/>
        </w:rPr>
        <w:t xml:space="preserve"> </w:t>
      </w:r>
      <w:r>
        <w:t>(1991).</w:t>
      </w:r>
      <w:r>
        <w:rPr>
          <w:spacing w:val="-14"/>
        </w:rPr>
        <w:t xml:space="preserve"> </w:t>
      </w:r>
      <w:r>
        <w:t>Constitución</w:t>
      </w:r>
      <w:r>
        <w:rPr>
          <w:spacing w:val="-15"/>
        </w:rPr>
        <w:t xml:space="preserve"> </w:t>
      </w:r>
      <w:r>
        <w:t>Política</w:t>
      </w:r>
      <w:r>
        <w:rPr>
          <w:spacing w:val="-15"/>
        </w:rPr>
        <w:t xml:space="preserve"> </w:t>
      </w:r>
      <w:r>
        <w:t>de</w:t>
      </w:r>
      <w:r>
        <w:rPr>
          <w:spacing w:val="-14"/>
        </w:rPr>
        <w:t xml:space="preserve"> </w:t>
      </w:r>
      <w:r>
        <w:t>Colombia.</w:t>
      </w:r>
      <w:r>
        <w:rPr>
          <w:spacing w:val="-14"/>
        </w:rPr>
        <w:t xml:space="preserve"> </w:t>
      </w:r>
      <w:r>
        <w:t>Gaceta</w:t>
      </w:r>
      <w:r>
        <w:rPr>
          <w:spacing w:val="-13"/>
        </w:rPr>
        <w:t xml:space="preserve"> </w:t>
      </w:r>
      <w:r>
        <w:t>Constitucional</w:t>
      </w:r>
      <w:r>
        <w:rPr>
          <w:spacing w:val="-13"/>
        </w:rPr>
        <w:t xml:space="preserve"> </w:t>
      </w:r>
      <w:r>
        <w:t>No.</w:t>
      </w:r>
      <w:r>
        <w:rPr>
          <w:spacing w:val="-14"/>
        </w:rPr>
        <w:t xml:space="preserve"> </w:t>
      </w:r>
      <w:r>
        <w:rPr>
          <w:spacing w:val="-4"/>
        </w:rPr>
        <w:t>116.</w:t>
      </w:r>
    </w:p>
    <w:p w14:paraId="05920DA1" w14:textId="77777777" w:rsidR="008F59D7" w:rsidRDefault="005A53E5" w:rsidP="00EB144C">
      <w:pPr>
        <w:pStyle w:val="Textoindependiente"/>
        <w:spacing w:line="360" w:lineRule="auto"/>
        <w:ind w:left="709" w:hanging="720"/>
      </w:pPr>
      <w:r>
        <w:t>Congreso de Colombia. (1995). Ley 181 de 1995, por la cual se dictan disposiciones para el fomento del deporte, la recreación, el aprovechamiento del tiempo libre y la Educación Física y se crea el Sistema Nacional del Deporte. Diario Oficial No. 41.679.</w:t>
      </w:r>
    </w:p>
    <w:p w14:paraId="4F219A60" w14:textId="77777777" w:rsidR="008F59D7" w:rsidRDefault="005A53E5" w:rsidP="00EB144C">
      <w:pPr>
        <w:pStyle w:val="Textoindependiente"/>
        <w:spacing w:line="360" w:lineRule="auto"/>
        <w:ind w:left="709" w:hanging="1102"/>
      </w:pPr>
      <w:r>
        <w:t xml:space="preserve">Congreso de Colombia. (2000). Ley 599 de 2000, por la cual se expide el Código Penal. Diario Oficial </w:t>
      </w:r>
      <w:r>
        <w:lastRenderedPageBreak/>
        <w:t>No. 44.097.</w:t>
      </w:r>
    </w:p>
    <w:p w14:paraId="572C3A40" w14:textId="77777777" w:rsidR="008F59D7" w:rsidRDefault="005A53E5" w:rsidP="00EB144C">
      <w:pPr>
        <w:pStyle w:val="Textoindependiente"/>
        <w:spacing w:line="360" w:lineRule="auto"/>
        <w:ind w:left="709" w:hanging="720"/>
      </w:pPr>
      <w:r>
        <w:t>Congreso de Colombia. (2009). Ley 1270 de 2009, por la cual se crea la Comisión Nacional para la Seguridad, Comodidad y Convivencia en el Fútbol. Diario Oficial No. 47.223.</w:t>
      </w:r>
    </w:p>
    <w:p w14:paraId="56C3A03C" w14:textId="77777777" w:rsidR="008F59D7" w:rsidRDefault="005A53E5" w:rsidP="00EB144C">
      <w:pPr>
        <w:pStyle w:val="Textoindependiente"/>
        <w:spacing w:line="360" w:lineRule="auto"/>
        <w:ind w:left="709" w:hanging="720"/>
      </w:pPr>
      <w:r>
        <w:t>Congreso de Colombia. (2011a). Ley 1445 de 2011, por medio de la cual se modifica la Ley 181 de</w:t>
      </w:r>
      <w:r>
        <w:rPr>
          <w:spacing w:val="-15"/>
        </w:rPr>
        <w:t xml:space="preserve"> </w:t>
      </w:r>
      <w:r>
        <w:t>1995</w:t>
      </w:r>
      <w:r>
        <w:rPr>
          <w:spacing w:val="-15"/>
        </w:rPr>
        <w:t xml:space="preserve"> </w:t>
      </w:r>
      <w:r>
        <w:t>y</w:t>
      </w:r>
      <w:r>
        <w:rPr>
          <w:spacing w:val="-15"/>
        </w:rPr>
        <w:t xml:space="preserve"> </w:t>
      </w:r>
      <w:r>
        <w:t>se</w:t>
      </w:r>
      <w:r>
        <w:rPr>
          <w:spacing w:val="-15"/>
        </w:rPr>
        <w:t xml:space="preserve"> </w:t>
      </w:r>
      <w:r>
        <w:t>dictan</w:t>
      </w:r>
      <w:r>
        <w:rPr>
          <w:spacing w:val="-15"/>
        </w:rPr>
        <w:t xml:space="preserve"> </w:t>
      </w:r>
      <w:r>
        <w:t>otras</w:t>
      </w:r>
      <w:r>
        <w:rPr>
          <w:spacing w:val="-15"/>
        </w:rPr>
        <w:t xml:space="preserve"> </w:t>
      </w:r>
      <w:r>
        <w:t>disposiciones</w:t>
      </w:r>
      <w:r>
        <w:rPr>
          <w:spacing w:val="-15"/>
        </w:rPr>
        <w:t xml:space="preserve"> </w:t>
      </w:r>
      <w:r>
        <w:t>en</w:t>
      </w:r>
      <w:r>
        <w:rPr>
          <w:spacing w:val="-15"/>
        </w:rPr>
        <w:t xml:space="preserve"> </w:t>
      </w:r>
      <w:r>
        <w:t>relación</w:t>
      </w:r>
      <w:r>
        <w:rPr>
          <w:spacing w:val="-15"/>
        </w:rPr>
        <w:t xml:space="preserve"> </w:t>
      </w:r>
      <w:r>
        <w:t>con</w:t>
      </w:r>
      <w:r>
        <w:rPr>
          <w:spacing w:val="-15"/>
        </w:rPr>
        <w:t xml:space="preserve"> </w:t>
      </w:r>
      <w:r>
        <w:t>el</w:t>
      </w:r>
      <w:r>
        <w:rPr>
          <w:spacing w:val="-15"/>
        </w:rPr>
        <w:t xml:space="preserve"> </w:t>
      </w:r>
      <w:r>
        <w:t>deporte</w:t>
      </w:r>
      <w:r>
        <w:rPr>
          <w:spacing w:val="-15"/>
        </w:rPr>
        <w:t xml:space="preserve"> </w:t>
      </w:r>
      <w:r>
        <w:t>profesional.</w:t>
      </w:r>
      <w:r>
        <w:rPr>
          <w:spacing w:val="-15"/>
        </w:rPr>
        <w:t xml:space="preserve"> </w:t>
      </w:r>
      <w:r>
        <w:t>Diario</w:t>
      </w:r>
      <w:r>
        <w:rPr>
          <w:spacing w:val="-15"/>
        </w:rPr>
        <w:t xml:space="preserve"> </w:t>
      </w:r>
      <w:r>
        <w:t>Oficial No. 48.067.</w:t>
      </w:r>
    </w:p>
    <w:p w14:paraId="29E708B9" w14:textId="77777777" w:rsidR="008F59D7" w:rsidRDefault="005A53E5" w:rsidP="00EB144C">
      <w:pPr>
        <w:pStyle w:val="Textoindependiente"/>
        <w:spacing w:line="360" w:lineRule="auto"/>
        <w:ind w:left="709" w:hanging="720"/>
      </w:pPr>
      <w:r>
        <w:t>Congreso de Colombia. (2011b). Ley 1453 de 2011, por medio de la cual se reforma el Código Penal y otras disposiciones en materia de seguridad. Diario Oficial No. 48.110.</w:t>
      </w:r>
    </w:p>
    <w:p w14:paraId="1F465C67" w14:textId="77777777" w:rsidR="0084558A" w:rsidRDefault="00000000" w:rsidP="00EB144C">
      <w:pPr>
        <w:pStyle w:val="Textoindependiente"/>
        <w:spacing w:line="360" w:lineRule="auto"/>
        <w:ind w:left="709" w:hanging="720"/>
      </w:pPr>
      <w:r>
        <w:t>Congreso de Colombia. (2011c). Ley 1480 de 2011, por medio de la cual se expide el Estatuto del Consumidor y se dictan otras disposiciones. Diario Oficial No. 48.220.</w:t>
      </w:r>
    </w:p>
    <w:p w14:paraId="6953A1EC" w14:textId="77777777" w:rsidR="0084558A" w:rsidRDefault="00000000" w:rsidP="00EB144C">
      <w:pPr>
        <w:pStyle w:val="Textoindependiente"/>
        <w:spacing w:line="360" w:lineRule="auto"/>
        <w:ind w:left="709" w:hanging="720"/>
      </w:pPr>
      <w:r>
        <w:t>Congreso de Colombia. (2014). Ley 1708 de 2014, por medio de la cual se expide el Código de Extinción de Dominio. Diario Oficial No. 49.039.</w:t>
      </w:r>
    </w:p>
    <w:p w14:paraId="4877D804" w14:textId="77777777" w:rsidR="008F59D7" w:rsidRDefault="005A53E5" w:rsidP="00EB144C">
      <w:pPr>
        <w:pStyle w:val="Textoindependiente"/>
        <w:spacing w:line="360" w:lineRule="auto"/>
        <w:ind w:left="709" w:hanging="720"/>
      </w:pPr>
      <w:r>
        <w:rPr/>
        <w:t>Congreso de Colombia. (2016). Ley 1801 de 2016, por la cual se expide el Código Nacional de Seguridad y Convivencia Ciudadana. Diario Oficial No. 49.949.</w:t>
      </w:r>
    </w:p>
    <w:p w14:paraId="4877D804" w14:textId="77777777" w:rsidR="008F59D7" w:rsidRDefault="005A53E5" w:rsidP="00EB144C">
      <w:pPr>
        <w:pStyle w:val="Textoindependiente"/>
        <w:spacing w:line="360" w:lineRule="auto"/>
        <w:ind w:left="709" w:hanging="720"/>
      </w:pPr>
      <w:r>
        <w:rPr/>
        <w:t>Congreso de Colombia. (2019). Ley 1952 de 2019, por medio de la cual se expide el Código General Disciplinario, se derogan la Ley 734 de 2002 y algunas disposiciones de la Ley 1474 de 2011, relacionadas con el derecho disciplinario. Diario Oficial No. 50.850.</w:t>
      </w:r>
    </w:p>
    <w:p w14:paraId="38A6DFE7" w14:textId="77777777" w:rsidR="0084558A" w:rsidRDefault="00000000" w:rsidP="00EB144C">
      <w:pPr>
        <w:pStyle w:val="Textoindependiente"/>
        <w:spacing w:line="360" w:lineRule="auto"/>
        <w:ind w:left="709" w:hanging="720"/>
      </w:pPr>
      <w:r>
        <w:t>Congreso de los Estados Unidos de Colombia. (1873). Ley 84 de 1873, Código Civil de los Estados Unidos de Colombia. Diario Oficial No. 2.867.</w:t>
      </w:r>
    </w:p>
    <w:p w14:paraId="74E88193" w14:textId="77777777" w:rsidR="008F59D7" w:rsidRDefault="005A53E5" w:rsidP="00EB144C">
      <w:pPr>
        <w:pStyle w:val="Textoindependiente"/>
        <w:spacing w:line="360" w:lineRule="auto"/>
        <w:ind w:left="709" w:hanging="720"/>
      </w:pPr>
      <w:r>
        <w:t xml:space="preserve">Consejo de Estado, Sala de Consulta y Servicio Civil. (2025, 17 de septiembre). Concepto sobre el deber de la Policía Nacional de prestar el servicio de seguridad en los espectáculos futbolísticos y los límites de la vigilancia y seguridad privada [concepto con reserva levantada el 16 de abril de 2026]. Reseñado en El Colombiano. </w:t>
      </w:r>
      <w:hyperlink r:id="rId25" w:history="1">
        <w:r>
          <w:rPr>
            <w:rStyle w:val="Hipervnculo"/>
          </w:rPr>
          <w:t>https://www.elcolombiano.com/colombia/consejo-estado-ratifica-seguridad-estadios-deber-policia-IL35588404</w:t>
        </w:r>
      </w:hyperlink>
    </w:p>
    <w:p w14:paraId="16BFCA62" w14:textId="77777777" w:rsidR="008F59D7" w:rsidRDefault="005A53E5" w:rsidP="00EB144C">
      <w:pPr>
        <w:pStyle w:val="Textoindependiente"/>
        <w:spacing w:line="360" w:lineRule="auto"/>
        <w:ind w:left="709" w:hanging="720"/>
      </w:pPr>
      <w:r>
        <w:t>Corte Constitucional de</w:t>
      </w:r>
      <w:r>
        <w:rPr>
          <w:spacing w:val="-2"/>
        </w:rPr>
        <w:t xml:space="preserve"> </w:t>
      </w:r>
      <w:r>
        <w:t xml:space="preserve">Colombia. (2021). Sentencia C-065 de 2021 (M. P. Jorge Enrique Ibáñez Najar). </w:t>
      </w:r>
      <w:hyperlink r:id="rId26">
        <w:r>
          <w:t>https://www.corteconstitucional.gov.co/relatoria/2021/c-065-21.htm</w:t>
        </w:r>
      </w:hyperlink>
    </w:p>
    <w:p w14:paraId="56C3CD51" w14:textId="77777777" w:rsidR="008F59D7" w:rsidRDefault="005A53E5" w:rsidP="00EB144C">
      <w:pPr>
        <w:pStyle w:val="Textoindependiente"/>
        <w:spacing w:line="360" w:lineRule="auto"/>
        <w:ind w:left="709" w:hanging="720"/>
      </w:pPr>
      <w:r>
        <w:t xml:space="preserve">Corte Constitucional de Colombia. (2022). Sentencia T-464 de 2022 (M. P. Alejandro Linares Cantillo). </w:t>
      </w:r>
      <w:hyperlink r:id="rId27">
        <w:r>
          <w:rPr>
            <w:spacing w:val="-2"/>
          </w:rPr>
          <w:t>https://www.corteconstitucional.gov.co/relatoria/2022/t-464-22.htm</w:t>
        </w:r>
      </w:hyperlink>
    </w:p>
    <w:p w14:paraId="30A893B6" w14:textId="77777777" w:rsidR="008F59D7" w:rsidRDefault="005A53E5" w:rsidP="00EB144C">
      <w:pPr>
        <w:pStyle w:val="Textoindependiente"/>
        <w:spacing w:line="360" w:lineRule="auto"/>
        <w:ind w:left="709" w:hanging="720"/>
      </w:pPr>
      <w:r>
        <w:t xml:space="preserve">Corte Constitucional de Colombia. (2023). Sentencia SU-386 de 2023. </w:t>
      </w:r>
      <w:hyperlink r:id="rId28">
        <w:r>
          <w:rPr>
            <w:spacing w:val="-2"/>
          </w:rPr>
          <w:t>https://www.corteconstitucional.gov.co/relatoria/2023/SU-386-23.htm</w:t>
        </w:r>
      </w:hyperlink>
    </w:p>
    <w:p w14:paraId="4E378D8D" w14:textId="77777777" w:rsidR="002943C1" w:rsidRDefault="002943C1" w:rsidP="00EB144C">
      <w:pPr>
        <w:pStyle w:val="Textoindependiente"/>
        <w:spacing w:line="360" w:lineRule="auto"/>
        <w:ind w:left="709" w:hanging="720"/>
      </w:pPr>
      <w:r>
        <w:t xml:space="preserve">Corte Suprema de Justicia, Sala de Casación Civil. (2011, 8 de septiembre). Sentencia, expediente 73449-3103-001-2006-00049-01 (M. P. Ruth Marina Díaz Rueda). </w:t>
      </w:r>
      <w:hyperlink r:id="rId29" w:history="1">
        <w:r>
          <w:rPr>
            <w:rStyle w:val="Hipervnculo"/>
          </w:rPr>
          <w:t>https://vlex.com.co/vid/auto-corte-suprema-justicia-874081018</w:t>
        </w:r>
      </w:hyperlink>
    </w:p>
    <w:p w14:paraId="443E2B4C" w14:textId="77777777" w:rsidR="002943C1" w:rsidRPr="002943C1" w:rsidRDefault="002943C1" w:rsidP="00EB144C">
      <w:pPr>
        <w:pStyle w:val="Textoindependiente"/>
        <w:spacing w:line="360" w:lineRule="auto"/>
        <w:ind w:left="709" w:hanging="720"/>
        <w:rPr>
          <w:lang w:val="es-CO"/>
        </w:rPr>
      </w:pPr>
      <w:r>
        <w:rPr>
          <w:lang w:val="es-CO"/>
        </w:rPr>
        <w:lastRenderedPageBreak/>
        <w:t xml:space="preserve">Corte Suprema de Justicia, Sala de Casación Civil. (2021a, 2 de junio). Sentencia SC2111-2021, expediente 85162-31-89-001-2011-00106-01 (M. P. Luis Armando Tolosa Villabona). </w:t>
      </w:r>
      <w:hyperlink r:id="rId30" w:history="1">
        <w:r>
          <w:rPr>
            <w:rStyle w:val="Hipervnculo"/>
            <w:lang w:val="es-CO"/>
          </w:rPr>
          <w:t>https://cortesuprema.gov.co/corte/wp-content/uploads/2021/06/SC2111-2021-2011-00106-01.pdf</w:t>
        </w:r>
      </w:hyperlink>
    </w:p>
    <w:p w14:paraId="200FCA9E" w14:textId="77777777" w:rsidR="002943C1" w:rsidRPr="002943C1" w:rsidRDefault="002943C1" w:rsidP="00EB144C">
      <w:pPr>
        <w:pStyle w:val="Textoindependiente"/>
        <w:spacing w:line="360" w:lineRule="auto"/>
        <w:ind w:left="709" w:hanging="720"/>
        <w:rPr>
          <w:lang w:val="es-CO"/>
        </w:rPr>
      </w:pPr>
      <w:r>
        <w:rPr>
          <w:lang w:val="es-CO"/>
        </w:rPr>
        <w:t xml:space="preserve">Corte Suprema de Justicia, Sala de Casación Civil. (2021b, 29 de julio). Sentencia SC2905-2021, expediente 11001-31-03-032-2015-00230-01 (M. P. Aroldo Wilson Quiroz Monsalvo). </w:t>
      </w:r>
      <w:hyperlink r:id="rId31" w:history="1">
        <w:r>
          <w:rPr>
            <w:rStyle w:val="Hipervnculo"/>
            <w:lang w:val="es-CO"/>
          </w:rPr>
          <w:t>https://cortesuprema.gov.co/corte/wp-content/uploads/2021/08/SC2905-2021-2015-00230-01.pdf</w:t>
        </w:r>
      </w:hyperlink>
    </w:p>
    <w:p w14:paraId="18DCD83B" w14:textId="77777777" w:rsidR="00880D0E" w:rsidRPr="00880D0E" w:rsidRDefault="005A53E5" w:rsidP="00EB144C">
      <w:pPr>
        <w:tabs>
          <w:tab w:val="left" w:pos="2425"/>
        </w:tabs>
        <w:spacing w:line="360" w:lineRule="auto"/>
        <w:ind w:left="709" w:hanging="720"/>
        <w:jc w:val="both"/>
      </w:pPr>
      <w:r>
        <w:rPr>
          <w:sz w:val="24"/>
        </w:rPr>
        <w:t>Corte Suprema de Justicia, Sala de Casación Civil. (2021c).</w:t>
      </w:r>
      <w:r>
        <w:rPr>
          <w:spacing w:val="-3"/>
          <w:sz w:val="24"/>
        </w:rPr>
        <w:t xml:space="preserve"> </w:t>
      </w:r>
      <w:r>
        <w:rPr>
          <w:i/>
          <w:sz w:val="24"/>
        </w:rPr>
        <w:t>De</w:t>
      </w:r>
      <w:r>
        <w:rPr>
          <w:i/>
          <w:spacing w:val="-7"/>
          <w:sz w:val="24"/>
        </w:rPr>
        <w:t xml:space="preserve"> </w:t>
      </w:r>
      <w:r>
        <w:rPr>
          <w:i/>
          <w:sz w:val="24"/>
        </w:rPr>
        <w:t>las</w:t>
      </w:r>
      <w:r>
        <w:rPr>
          <w:i/>
          <w:spacing w:val="-7"/>
          <w:sz w:val="24"/>
        </w:rPr>
        <w:t xml:space="preserve"> </w:t>
      </w:r>
      <w:r>
        <w:rPr>
          <w:i/>
          <w:sz w:val="24"/>
        </w:rPr>
        <w:t>actividades</w:t>
      </w:r>
      <w:r>
        <w:rPr>
          <w:i/>
          <w:spacing w:val="-7"/>
          <w:sz w:val="24"/>
        </w:rPr>
        <w:t xml:space="preserve"> </w:t>
      </w:r>
      <w:r>
        <w:rPr>
          <w:i/>
          <w:sz w:val="24"/>
        </w:rPr>
        <w:t>peligrosas:</w:t>
      </w:r>
      <w:r>
        <w:rPr>
          <w:i/>
          <w:spacing w:val="-7"/>
          <w:sz w:val="24"/>
        </w:rPr>
        <w:t xml:space="preserve"> </w:t>
      </w:r>
      <w:r>
        <w:rPr>
          <w:i/>
          <w:sz w:val="24"/>
        </w:rPr>
        <w:t>estudios contemporáneos</w:t>
      </w:r>
      <w:r>
        <w:rPr>
          <w:i/>
          <w:spacing w:val="-2"/>
          <w:sz w:val="24"/>
        </w:rPr>
        <w:t xml:space="preserve"> </w:t>
      </w:r>
      <w:r>
        <w:rPr>
          <w:i/>
          <w:sz w:val="24"/>
        </w:rPr>
        <w:t>sobre</w:t>
      </w:r>
      <w:r>
        <w:rPr>
          <w:i/>
          <w:spacing w:val="-3"/>
          <w:sz w:val="24"/>
        </w:rPr>
        <w:t xml:space="preserve"> </w:t>
      </w:r>
      <w:r>
        <w:rPr>
          <w:i/>
          <w:sz w:val="24"/>
        </w:rPr>
        <w:t>responsabilidad</w:t>
      </w:r>
      <w:r>
        <w:rPr>
          <w:i/>
          <w:spacing w:val="-2"/>
          <w:sz w:val="24"/>
        </w:rPr>
        <w:t xml:space="preserve"> </w:t>
      </w:r>
      <w:r>
        <w:rPr>
          <w:i/>
          <w:sz w:val="24"/>
        </w:rPr>
        <w:t>extracontractual</w:t>
      </w:r>
      <w:r>
        <w:rPr>
          <w:sz w:val="24"/>
        </w:rPr>
        <w:t>.</w:t>
      </w:r>
      <w:r>
        <w:rPr>
          <w:spacing w:val="-2"/>
          <w:sz w:val="24"/>
        </w:rPr>
        <w:t xml:space="preserve"> </w:t>
      </w:r>
      <w:r>
        <w:rPr>
          <w:sz w:val="24"/>
        </w:rPr>
        <w:t>Relatoría</w:t>
      </w:r>
      <w:r>
        <w:rPr>
          <w:spacing w:val="-4"/>
          <w:sz w:val="24"/>
        </w:rPr>
        <w:t xml:space="preserve"> </w:t>
      </w:r>
      <w:r>
        <w:rPr>
          <w:sz w:val="24"/>
        </w:rPr>
        <w:t>de</w:t>
      </w:r>
      <w:r>
        <w:rPr>
          <w:spacing w:val="-3"/>
          <w:sz w:val="24"/>
        </w:rPr>
        <w:t xml:space="preserve"> </w:t>
      </w:r>
      <w:r>
        <w:rPr>
          <w:sz w:val="24"/>
        </w:rPr>
        <w:t>la</w:t>
      </w:r>
      <w:r>
        <w:rPr>
          <w:spacing w:val="-3"/>
          <w:sz w:val="24"/>
        </w:rPr>
        <w:t xml:space="preserve"> </w:t>
      </w:r>
      <w:r>
        <w:rPr>
          <w:sz w:val="24"/>
        </w:rPr>
        <w:t>Sala</w:t>
      </w:r>
      <w:r>
        <w:rPr>
          <w:spacing w:val="-3"/>
          <w:sz w:val="24"/>
        </w:rPr>
        <w:t xml:space="preserve"> </w:t>
      </w:r>
      <w:r>
        <w:rPr>
          <w:sz w:val="24"/>
        </w:rPr>
        <w:t>de</w:t>
      </w:r>
      <w:r>
        <w:rPr>
          <w:spacing w:val="-3"/>
          <w:sz w:val="24"/>
        </w:rPr>
        <w:t xml:space="preserve"> </w:t>
      </w:r>
      <w:r>
        <w:rPr>
          <w:sz w:val="24"/>
        </w:rPr>
        <w:t xml:space="preserve">Casación </w:t>
      </w:r>
      <w:r>
        <w:rPr>
          <w:spacing w:val="-2"/>
          <w:sz w:val="24"/>
        </w:rPr>
        <w:t>Civil.</w:t>
      </w:r>
      <w:r>
        <w:rPr>
          <w:sz w:val="24"/>
        </w:rPr>
        <w:t xml:space="preserve"> </w:t>
      </w:r>
      <w:r>
        <w:t>https://cortesuprema.gov.co/corte/wp-content/uploads/2021/06/ALGUNOS-ESTUDIOS-CONTEMPOR%C3%81NEOS-ACTIVIDADES-PELIGROSAS.pdf</w:t>
      </w:r>
    </w:p>
    <w:p w14:paraId="6B601830" w14:textId="77777777" w:rsidR="008F59D7" w:rsidRDefault="005A53E5" w:rsidP="00EB144C">
      <w:pPr>
        <w:pStyle w:val="Textoindependiente"/>
        <w:spacing w:line="360" w:lineRule="auto"/>
        <w:ind w:left="709" w:hanging="720"/>
      </w:pPr>
      <w:r>
        <w:t xml:space="preserve">Corte Suprema de Justicia, Sala de Casación Penal. (2022). Sentencia SP3573-2022, Radicación No. 55480 (M. P. Myriam Ávila Roldán). </w:t>
      </w:r>
      <w:hyperlink r:id="rId32">
        <w:r>
          <w:t>https://cortesuprema.gov.co/corte/wp-</w:t>
        </w:r>
        <w:r>
          <w:rPr>
            <w:spacing w:val="-2"/>
          </w:rPr>
          <w:t>content/uploads/relatorias/pe/b1dic2022/SP3573-2022%2855480%29.pdf</w:t>
        </w:r>
      </w:hyperlink>
    </w:p>
    <w:p w14:paraId="608CD196" w14:textId="77777777" w:rsidR="008F59D7" w:rsidRDefault="005A53E5" w:rsidP="00EB144C">
      <w:pPr>
        <w:pStyle w:val="Textoindependiente"/>
        <w:spacing w:line="360" w:lineRule="auto"/>
        <w:ind w:left="709" w:hanging="720"/>
      </w:pPr>
      <w:r>
        <w:t>Corte</w:t>
      </w:r>
      <w:r>
        <w:rPr>
          <w:spacing w:val="-15"/>
        </w:rPr>
        <w:t xml:space="preserve"> </w:t>
      </w:r>
      <w:r>
        <w:t>Suprema</w:t>
      </w:r>
      <w:r>
        <w:rPr>
          <w:spacing w:val="-15"/>
        </w:rPr>
        <w:t xml:space="preserve"> </w:t>
      </w:r>
      <w:r>
        <w:t>de</w:t>
      </w:r>
      <w:r>
        <w:rPr>
          <w:spacing w:val="-15"/>
        </w:rPr>
        <w:t xml:space="preserve"> </w:t>
      </w:r>
      <w:r>
        <w:t>Justicia,</w:t>
      </w:r>
      <w:r>
        <w:rPr>
          <w:spacing w:val="-14"/>
        </w:rPr>
        <w:t xml:space="preserve"> </w:t>
      </w:r>
      <w:r>
        <w:t>Sala</w:t>
      </w:r>
      <w:r>
        <w:rPr>
          <w:spacing w:val="-15"/>
        </w:rPr>
        <w:t xml:space="preserve"> </w:t>
      </w:r>
      <w:r>
        <w:t>de</w:t>
      </w:r>
      <w:r>
        <w:rPr>
          <w:spacing w:val="-15"/>
        </w:rPr>
        <w:t xml:space="preserve"> </w:t>
      </w:r>
      <w:r>
        <w:t>Casación</w:t>
      </w:r>
      <w:r>
        <w:rPr>
          <w:spacing w:val="-14"/>
        </w:rPr>
        <w:t xml:space="preserve"> </w:t>
      </w:r>
      <w:r>
        <w:t>Penal.</w:t>
      </w:r>
      <w:r>
        <w:rPr>
          <w:spacing w:val="-14"/>
        </w:rPr>
        <w:t xml:space="preserve"> </w:t>
      </w:r>
      <w:r>
        <w:t>(2023).</w:t>
      </w:r>
      <w:r>
        <w:rPr>
          <w:spacing w:val="-15"/>
        </w:rPr>
        <w:t xml:space="preserve"> </w:t>
      </w:r>
      <w:r>
        <w:t>Sentencia</w:t>
      </w:r>
      <w:r>
        <w:rPr>
          <w:spacing w:val="-15"/>
        </w:rPr>
        <w:t xml:space="preserve"> </w:t>
      </w:r>
      <w:r>
        <w:t>SP289-2023,</w:t>
      </w:r>
      <w:r>
        <w:rPr>
          <w:spacing w:val="-14"/>
        </w:rPr>
        <w:t xml:space="preserve"> </w:t>
      </w:r>
      <w:r>
        <w:t>Radicación</w:t>
      </w:r>
      <w:r>
        <w:rPr>
          <w:spacing w:val="-14"/>
        </w:rPr>
        <w:t xml:space="preserve"> </w:t>
      </w:r>
      <w:r>
        <w:t xml:space="preserve">No. 63567 (M. P. Luis Antonio Hernández Barbosa). </w:t>
      </w:r>
      <w:hyperlink r:id="rId33">
        <w:r>
          <w:t>https://cortesuprema.gov.co/corte/wp-</w:t>
        </w:r>
        <w:r>
          <w:rPr>
            <w:spacing w:val="-2"/>
          </w:rPr>
          <w:t>content/uploads/relatorias/pe/b1sep2023/SP289-2023%2863567%29.pdf</w:t>
        </w:r>
      </w:hyperlink>
    </w:p>
    <w:p w14:paraId="155153EB" w14:textId="77777777" w:rsidR="008F59D7" w:rsidRDefault="005A53E5" w:rsidP="00EB144C">
      <w:pPr>
        <w:pStyle w:val="Textoindependiente"/>
        <w:spacing w:line="360" w:lineRule="auto"/>
        <w:ind w:left="709" w:hanging="720"/>
      </w:pPr>
      <w:r>
        <w:t>División Mayor del Fútbol Colombiano. (2024, 1 de noviembre). Resolución No. 095 de 2024 del Comité Disciplinario del Campeonato. Dimayor. https://dimayor.com.co/wp-content/uploads/2024/11/Resolucion-No.-095-de-2024-COMITE-DISCIPLINARIO-DEL-CAMPEONATO-1.pdf</w:t>
      </w:r>
    </w:p>
    <w:p w14:paraId="6C0D0B7A" w14:textId="77777777" w:rsidR="008F59D7" w:rsidRDefault="005A53E5" w:rsidP="00EB144C">
      <w:pPr>
        <w:spacing w:line="360" w:lineRule="auto"/>
        <w:ind w:left="709"/>
        <w:rPr>
          <w:sz w:val="24"/>
        </w:rPr>
      </w:pPr>
      <w:r>
        <w:rPr>
          <w:sz w:val="24"/>
          <w:lang w:val="en-US"/>
        </w:rPr>
        <w:t xml:space="preserve">Dunning, E. (1999). Sport matters: Sociological studies of sport, violence and civilization. </w:t>
      </w:r>
      <w:r>
        <w:rPr>
          <w:sz w:val="24"/>
        </w:rPr>
        <w:t>Routledge.</w:t>
      </w:r>
    </w:p>
    <w:p w14:paraId="4B7E2E7F" w14:textId="77777777" w:rsidR="008F59D7" w:rsidRDefault="005A53E5" w:rsidP="00EB144C">
      <w:pPr>
        <w:pStyle w:val="Textoindependiente"/>
        <w:spacing w:line="360" w:lineRule="auto"/>
        <w:ind w:left="709" w:hanging="720"/>
        <w:jc w:val="left"/>
      </w:pPr>
      <w:r>
        <w:t>El</w:t>
      </w:r>
      <w:r>
        <w:rPr>
          <w:spacing w:val="34"/>
        </w:rPr>
        <w:t xml:space="preserve"> </w:t>
      </w:r>
      <w:r>
        <w:t>Espectador.</w:t>
      </w:r>
      <w:r>
        <w:rPr>
          <w:spacing w:val="36"/>
        </w:rPr>
        <w:t xml:space="preserve"> </w:t>
      </w:r>
      <w:r>
        <w:t>(2022,</w:t>
      </w:r>
      <w:r>
        <w:rPr>
          <w:spacing w:val="34"/>
        </w:rPr>
        <w:t xml:space="preserve"> </w:t>
      </w:r>
      <w:r>
        <w:t>24</w:t>
      </w:r>
      <w:r>
        <w:rPr>
          <w:spacing w:val="34"/>
        </w:rPr>
        <w:t xml:space="preserve"> </w:t>
      </w:r>
      <w:r>
        <w:t>de</w:t>
      </w:r>
      <w:r>
        <w:rPr>
          <w:spacing w:val="33"/>
        </w:rPr>
        <w:t xml:space="preserve"> </w:t>
      </w:r>
      <w:r>
        <w:t>septiembre).</w:t>
      </w:r>
      <w:r>
        <w:rPr>
          <w:spacing w:val="33"/>
        </w:rPr>
        <w:t xml:space="preserve"> </w:t>
      </w:r>
      <w:r>
        <w:t>Los</w:t>
      </w:r>
      <w:r>
        <w:rPr>
          <w:spacing w:val="34"/>
        </w:rPr>
        <w:t xml:space="preserve"> </w:t>
      </w:r>
      <w:r>
        <w:t>orígenes</w:t>
      </w:r>
      <w:r>
        <w:rPr>
          <w:spacing w:val="34"/>
        </w:rPr>
        <w:t xml:space="preserve"> </w:t>
      </w:r>
      <w:r>
        <w:t>del</w:t>
      </w:r>
      <w:r>
        <w:rPr>
          <w:spacing w:val="37"/>
        </w:rPr>
        <w:t xml:space="preserve"> </w:t>
      </w:r>
      <w:r>
        <w:t>fútbol</w:t>
      </w:r>
      <w:r>
        <w:rPr>
          <w:spacing w:val="34"/>
        </w:rPr>
        <w:t xml:space="preserve"> </w:t>
      </w:r>
      <w:r>
        <w:t>colombiano.</w:t>
      </w:r>
      <w:r>
        <w:rPr>
          <w:spacing w:val="40"/>
        </w:rPr>
        <w:t xml:space="preserve"> </w:t>
      </w:r>
      <w:r>
        <w:rPr>
          <w:i/>
        </w:rPr>
        <w:t>El</w:t>
      </w:r>
      <w:r>
        <w:rPr>
          <w:i/>
          <w:spacing w:val="34"/>
        </w:rPr>
        <w:t xml:space="preserve"> </w:t>
      </w:r>
      <w:r>
        <w:rPr>
          <w:i/>
        </w:rPr>
        <w:t>Espectador</w:t>
      </w:r>
      <w:r>
        <w:t xml:space="preserve">. </w:t>
      </w:r>
      <w:hyperlink r:id="rId34">
        <w:r>
          <w:t>https://www.elespectador.com/deportes/futbol-colombiano/los-origenes-del-futbol-</w:t>
        </w:r>
        <w:r>
          <w:rPr>
            <w:spacing w:val="-2"/>
          </w:rPr>
          <w:t>colombiano/</w:t>
        </w:r>
      </w:hyperlink>
    </w:p>
    <w:p w14:paraId="42CA9C9F" w14:textId="77777777" w:rsidR="008F59D7" w:rsidRDefault="005A53E5" w:rsidP="00EB144C">
      <w:pPr>
        <w:pStyle w:val="Textoindependiente"/>
        <w:spacing w:line="360" w:lineRule="auto"/>
        <w:ind w:left="709" w:hanging="720"/>
        <w:jc w:val="left"/>
      </w:pPr>
      <w:r>
        <w:t>El País. (2020). Pasión mortal: inventario de una tragedia. El País de Cali. https://www.elpais.com.co/especiales/pasion-mortal-hinchas-futbol-asesinados-colombia/</w:t>
      </w:r>
    </w:p>
    <w:p w14:paraId="71E75B79" w14:textId="77777777" w:rsidR="008F59D7" w:rsidRPr="00807E98" w:rsidRDefault="005A53E5" w:rsidP="00EB144C">
      <w:pPr>
        <w:pStyle w:val="Textoindependiente"/>
        <w:tabs>
          <w:tab w:val="left" w:pos="2555"/>
          <w:tab w:val="left" w:pos="3104"/>
          <w:tab w:val="left" w:pos="4056"/>
          <w:tab w:val="left" w:pos="5165"/>
          <w:tab w:val="left" w:pos="5784"/>
          <w:tab w:val="left" w:pos="6348"/>
          <w:tab w:val="left" w:pos="6897"/>
          <w:tab w:val="left" w:pos="7753"/>
          <w:tab w:val="left" w:pos="8307"/>
          <w:tab w:val="left" w:pos="9250"/>
        </w:tabs>
        <w:spacing w:line="360" w:lineRule="auto"/>
        <w:ind w:left="709" w:hanging="720"/>
        <w:jc w:val="left"/>
        <w:rPr>
          <w:lang w:val="en-US"/>
        </w:rPr>
      </w:pPr>
      <w:r>
        <w:t>Federación</w:t>
      </w:r>
      <w:r>
        <w:rPr>
          <w:spacing w:val="80"/>
        </w:rPr>
        <w:t xml:space="preserve"> </w:t>
      </w:r>
      <w:r>
        <w:t>Colombiana</w:t>
      </w:r>
      <w:r>
        <w:rPr>
          <w:spacing w:val="80"/>
        </w:rPr>
        <w:t xml:space="preserve"> </w:t>
      </w:r>
      <w:r>
        <w:t>de</w:t>
      </w:r>
      <w:r>
        <w:rPr>
          <w:spacing w:val="80"/>
        </w:rPr>
        <w:t xml:space="preserve"> </w:t>
      </w:r>
      <w:r>
        <w:t>Fútbol.</w:t>
      </w:r>
      <w:r>
        <w:rPr>
          <w:spacing w:val="80"/>
        </w:rPr>
        <w:t xml:space="preserve"> </w:t>
      </w:r>
      <w:r>
        <w:t>(2026).</w:t>
      </w:r>
      <w:r>
        <w:rPr>
          <w:spacing w:val="80"/>
        </w:rPr>
        <w:t xml:space="preserve"> </w:t>
      </w:r>
      <w:r>
        <w:t>Código</w:t>
      </w:r>
      <w:r>
        <w:rPr>
          <w:spacing w:val="80"/>
        </w:rPr>
        <w:t xml:space="preserve"> </w:t>
      </w:r>
      <w:r>
        <w:t>Disciplinario</w:t>
      </w:r>
      <w:r>
        <w:rPr>
          <w:spacing w:val="80"/>
        </w:rPr>
        <w:t xml:space="preserve"> </w:t>
      </w:r>
      <w:r>
        <w:t>Único</w:t>
      </w:r>
      <w:r>
        <w:rPr>
          <w:spacing w:val="80"/>
        </w:rPr>
        <w:t xml:space="preserve"> </w:t>
      </w:r>
      <w:r>
        <w:t>de</w:t>
      </w:r>
      <w:r>
        <w:rPr>
          <w:spacing w:val="80"/>
        </w:rPr>
        <w:t xml:space="preserve"> </w:t>
      </w:r>
      <w:r>
        <w:t>la</w:t>
      </w:r>
      <w:r>
        <w:rPr>
          <w:spacing w:val="80"/>
        </w:rPr>
        <w:t xml:space="preserve"> </w:t>
      </w:r>
      <w:r>
        <w:t xml:space="preserve">Federación </w:t>
      </w:r>
      <w:r>
        <w:rPr>
          <w:spacing w:val="-2"/>
        </w:rPr>
        <w:t>Colombiana</w:t>
      </w:r>
      <w:r>
        <w:t xml:space="preserve"> </w:t>
      </w:r>
      <w:r>
        <w:rPr>
          <w:spacing w:val="-6"/>
        </w:rPr>
        <w:t>de</w:t>
      </w:r>
      <w:r>
        <w:t xml:space="preserve"> </w:t>
      </w:r>
      <w:r>
        <w:rPr>
          <w:spacing w:val="-2"/>
        </w:rPr>
        <w:t>Fútbol</w:t>
      </w:r>
      <w:r>
        <w:t xml:space="preserve"> </w:t>
      </w:r>
      <w:r>
        <w:rPr>
          <w:spacing w:val="-2"/>
        </w:rPr>
        <w:t>(versión</w:t>
      </w:r>
      <w:r>
        <w:t xml:space="preserve"> </w:t>
      </w:r>
      <w:r>
        <w:rPr>
          <w:spacing w:val="-4"/>
        </w:rPr>
        <w:t>del</w:t>
      </w:r>
      <w:r>
        <w:t xml:space="preserve"> </w:t>
      </w:r>
      <w:r>
        <w:rPr>
          <w:spacing w:val="-6"/>
        </w:rPr>
        <w:t>14</w:t>
      </w:r>
      <w:r>
        <w:t xml:space="preserve"> </w:t>
      </w:r>
      <w:r>
        <w:rPr>
          <w:spacing w:val="-6"/>
        </w:rPr>
        <w:t>de</w:t>
      </w:r>
      <w:r>
        <w:t xml:space="preserve"> </w:t>
      </w:r>
      <w:r>
        <w:rPr>
          <w:spacing w:val="-2"/>
        </w:rPr>
        <w:t>enero</w:t>
      </w:r>
      <w:r>
        <w:t xml:space="preserve"> </w:t>
      </w:r>
      <w:r>
        <w:rPr>
          <w:spacing w:val="-6"/>
        </w:rPr>
        <w:t>de</w:t>
      </w:r>
      <w:r>
        <w:t xml:space="preserve"> </w:t>
      </w:r>
      <w:r>
        <w:rPr>
          <w:spacing w:val="-2"/>
        </w:rPr>
        <w:t>2026).</w:t>
      </w:r>
      <w:r>
        <w:t xml:space="preserve"> </w:t>
      </w:r>
      <w:r>
        <w:rPr>
          <w:spacing w:val="-4"/>
          <w:lang w:val="en-US"/>
        </w:rPr>
        <w:t xml:space="preserve">FCF. </w:t>
      </w:r>
      <w:hyperlink r:id="rId35">
        <w:r>
          <w:rPr>
            <w:lang w:val="en-US"/>
          </w:rPr>
          <w:t>https://fcf.com.co/2026/01/14/https-fcf-com-co-index-php-2012-05-24-codigo-</w:t>
        </w:r>
        <w:r>
          <w:rPr>
            <w:spacing w:val="-2"/>
            <w:lang w:val="en-US"/>
          </w:rPr>
          <w:t>disciplinario/</w:t>
        </w:r>
      </w:hyperlink>
    </w:p>
    <w:p w14:paraId="53AD1762" w14:textId="77777777" w:rsidR="008F59D7" w:rsidRDefault="005A53E5" w:rsidP="00EB144C">
      <w:pPr>
        <w:pStyle w:val="Textoindependiente"/>
        <w:spacing w:line="360" w:lineRule="auto"/>
        <w:ind w:left="709" w:hanging="720"/>
        <w:jc w:val="left"/>
      </w:pPr>
      <w:r>
        <w:t>Fiscalía General de la Nación. (s. f.). Estadística de delitos: datos abiertos. Recuperado el 15 de</w:t>
      </w:r>
      <w:r>
        <w:rPr>
          <w:spacing w:val="40"/>
        </w:rPr>
        <w:t xml:space="preserve"> </w:t>
      </w:r>
      <w:r>
        <w:t xml:space="preserve">junio de 2026, de </w:t>
      </w:r>
      <w:hyperlink r:id="rId36">
        <w:r>
          <w:t>https://www.fiscalia.gov.co/colombia/gestion/estadistica-de-delitos/</w:t>
        </w:r>
      </w:hyperlink>
    </w:p>
    <w:p w14:paraId="3266F021" w14:textId="77777777" w:rsidR="008F59D7" w:rsidRDefault="005A53E5" w:rsidP="00EB144C">
      <w:pPr>
        <w:pStyle w:val="Textoindependiente"/>
        <w:spacing w:line="360" w:lineRule="auto"/>
        <w:ind w:left="709" w:hanging="720"/>
      </w:pPr>
      <w:r>
        <w:t>Gobierno de la Ciudad de Buenos Aires. (2024). Más de 70 prófugos capturados gracias al programa</w:t>
      </w:r>
      <w:r>
        <w:rPr>
          <w:spacing w:val="-5"/>
        </w:rPr>
        <w:t xml:space="preserve"> </w:t>
      </w:r>
      <w:r>
        <w:t>Tribuna</w:t>
      </w:r>
      <w:r>
        <w:rPr>
          <w:spacing w:val="-7"/>
        </w:rPr>
        <w:t xml:space="preserve"> </w:t>
      </w:r>
      <w:r>
        <w:t>Segura</w:t>
      </w:r>
      <w:r>
        <w:rPr>
          <w:spacing w:val="-6"/>
        </w:rPr>
        <w:t xml:space="preserve"> </w:t>
      </w:r>
      <w:r>
        <w:t>en</w:t>
      </w:r>
      <w:r>
        <w:rPr>
          <w:spacing w:val="-5"/>
        </w:rPr>
        <w:t xml:space="preserve"> </w:t>
      </w:r>
      <w:r>
        <w:t>2024</w:t>
      </w:r>
      <w:r>
        <w:rPr>
          <w:spacing w:val="-5"/>
        </w:rPr>
        <w:t xml:space="preserve"> </w:t>
      </w:r>
      <w:r>
        <w:t>en</w:t>
      </w:r>
      <w:r>
        <w:rPr>
          <w:spacing w:val="-5"/>
        </w:rPr>
        <w:t xml:space="preserve"> </w:t>
      </w:r>
      <w:r>
        <w:t>los</w:t>
      </w:r>
      <w:r>
        <w:rPr>
          <w:spacing w:val="-5"/>
        </w:rPr>
        <w:t xml:space="preserve"> </w:t>
      </w:r>
      <w:r>
        <w:t>estadios.</w:t>
      </w:r>
      <w:r>
        <w:rPr>
          <w:spacing w:val="-3"/>
        </w:rPr>
        <w:t xml:space="preserve"> </w:t>
      </w:r>
      <w:hyperlink r:id="rId37">
        <w:r>
          <w:t>https://buenosaires.gob.ar/noticias/mas-</w:t>
        </w:r>
      </w:hyperlink>
      <w:r>
        <w:rPr>
          <w:spacing w:val="-2"/>
        </w:rPr>
        <w:t>de-70-profugos-capturados-gracias-al-programa-tribuna-segura-en-2024-en-los-estadios</w:t>
      </w:r>
    </w:p>
    <w:p w14:paraId="3217008D" w14:textId="77777777" w:rsidR="008F59D7" w:rsidRDefault="005A53E5" w:rsidP="00EB144C">
      <w:pPr>
        <w:spacing w:line="360" w:lineRule="auto"/>
        <w:ind w:left="709" w:hanging="720"/>
        <w:jc w:val="both"/>
        <w:rPr>
          <w:sz w:val="24"/>
        </w:rPr>
      </w:pPr>
      <w:r>
        <w:rPr>
          <w:sz w:val="24"/>
        </w:rPr>
        <w:t xml:space="preserve">Hernández Sampieri, R., Fernández Collado, C., &amp; Baptista Lucio, P. (2014). </w:t>
      </w:r>
      <w:r>
        <w:rPr>
          <w:i/>
          <w:sz w:val="24"/>
        </w:rPr>
        <w:t xml:space="preserve">Metodología de la investigación </w:t>
      </w:r>
      <w:r>
        <w:rPr>
          <w:sz w:val="24"/>
        </w:rPr>
        <w:t>(6.ª ed.). McGraw-Hill.</w:t>
      </w:r>
    </w:p>
    <w:p w14:paraId="377CDD8A" w14:textId="77777777" w:rsidR="008F59D7" w:rsidRPr="00807E98" w:rsidRDefault="005A53E5" w:rsidP="00EB144C">
      <w:pPr>
        <w:pStyle w:val="Textoindependiente"/>
        <w:spacing w:line="360" w:lineRule="auto"/>
        <w:ind w:left="709" w:hanging="720"/>
        <w:rPr>
          <w:lang w:val="en-US"/>
        </w:rPr>
      </w:pPr>
      <w:r>
        <w:t>Home</w:t>
      </w:r>
      <w:r>
        <w:rPr>
          <w:spacing w:val="-1"/>
        </w:rPr>
        <w:t xml:space="preserve"> </w:t>
      </w:r>
      <w:r>
        <w:t xml:space="preserve">Office. </w:t>
      </w:r>
      <w:r>
        <w:rPr>
          <w:lang w:val="en-US"/>
        </w:rPr>
        <w:t xml:space="preserve">(2025). Football-related arrests and banning orders, England and Wales. GOV.UK. </w:t>
      </w:r>
      <w:hyperlink r:id="rId38">
        <w:r>
          <w:rPr>
            <w:spacing w:val="-2"/>
            <w:lang w:val="en-US"/>
          </w:rPr>
          <w:t>https://www.gov.uk/government/collections/football-banning-orders</w:t>
        </w:r>
      </w:hyperlink>
    </w:p>
    <w:p w14:paraId="4C4BD970" w14:textId="77777777" w:rsidR="0084558A" w:rsidRPr="00FF0028" w:rsidRDefault="00000000" w:rsidP="00EB144C">
      <w:pPr>
        <w:pStyle w:val="Textoindependiente"/>
        <w:spacing w:line="360" w:lineRule="auto"/>
        <w:ind w:left="709" w:hanging="720"/>
        <w:rPr>
          <w:lang w:val="es-CO"/>
        </w:rPr>
      </w:pPr>
      <w:r w:rsidRPr="00FF0028">
        <w:rPr>
          <w:lang w:val="es-CO"/>
        </w:rPr>
        <w:t xml:space="preserve">Infobae. (2026, 4 de septiembre). </w:t>
      </w:r>
      <w:r w:rsidRPr="00FF0028">
        <w:rPr>
          <w:i/>
          <w:lang w:val="es-CO"/>
        </w:rPr>
        <w:t>Independiente Medellín será el primer equipo en Colombia en implementar el reconocimiento facial para ingresar al estadio: así funcionará</w:t>
      </w:r>
      <w:r w:rsidRPr="00FF0028">
        <w:rPr>
          <w:lang w:val="es-CO"/>
        </w:rPr>
        <w:t>. Infobae. https://www.infobae.com/colombia/deportes/2026/09/04/independiente-medellin-sera-el-primer-equipo-en-colombia-en-implementar-el-reconocimiento-facial-para-ingresar-al-estadio-asi-funcionara/</w:t>
      </w:r>
    </w:p>
    <w:p w14:paraId="14E18385" w14:textId="77777777" w:rsidR="008F59D7" w:rsidRDefault="005A53E5" w:rsidP="00EB144C">
      <w:pPr>
        <w:pStyle w:val="Textoindependiente"/>
        <w:spacing w:line="360" w:lineRule="auto"/>
        <w:ind w:left="709" w:hanging="720"/>
      </w:pPr>
      <w:r>
        <w:t>Ministerio del Interior. (2014). Plan Decenal de Seguridad, Comodidad y Convivencia en el Fútbol 2014-2024. Comisión Nacional de Seguridad, Comodidad y Convivencia en el Fútbol. https://adsdatabase.ohchr.org/IssueLibrary/COLOMBIA_Plan%20Decenal%20de%20Seguridad%20Comodiad%20y%20Convivencia%20en%20el%20Futbol%202014-2024.pdf</w:t>
      </w:r>
    </w:p>
    <w:p w14:paraId="2A7F3306" w14:textId="77777777" w:rsidR="008F59D7" w:rsidRDefault="005A53E5" w:rsidP="00EB144C">
      <w:pPr>
        <w:pStyle w:val="Textoindependiente"/>
        <w:spacing w:line="360" w:lineRule="auto"/>
        <w:ind w:left="709" w:hanging="720"/>
      </w:pPr>
      <w:r>
        <w:t>Ministerio de Seguridad de la Nación (Argentina). (2017). Decreto 246/2017 y Resolución 354/2017, restricción de concurrencia administrativa a espectáculos futbolísticos. Boletín Oficial de la República Argentina.</w:t>
      </w:r>
    </w:p>
    <w:p w14:paraId="6CD53F60" w14:textId="77777777" w:rsidR="008F59D7" w:rsidRDefault="005A53E5" w:rsidP="00EB144C">
      <w:pPr>
        <w:pStyle w:val="Textoindependiente"/>
        <w:spacing w:line="360" w:lineRule="auto"/>
        <w:ind w:left="709" w:hanging="720"/>
      </w:pPr>
      <w:r>
        <w:t xml:space="preserve">Ministerio de Seguridad de la Nación (Argentina). (s. f.). Programa Tribuna Segura. </w:t>
      </w:r>
      <w:hyperlink r:id="rId39">
        <w:r>
          <w:rPr>
            <w:spacing w:val="-2"/>
          </w:rPr>
          <w:t>https://www.argentina.gob.ar/seguridad/tribunasegura</w:t>
        </w:r>
      </w:hyperlink>
    </w:p>
    <w:p w14:paraId="4BED29AE" w14:textId="77777777" w:rsidR="008F59D7" w:rsidRDefault="005A53E5" w:rsidP="00EB144C">
      <w:pPr>
        <w:pStyle w:val="Textoindependiente"/>
        <w:spacing w:line="360" w:lineRule="auto"/>
        <w:ind w:left="709" w:hanging="720"/>
      </w:pPr>
      <w:r>
        <w:t>Ministerio de Seguridad Nacional (Argentina). (2026a, 12 de febrero). Resolución 120/2026 (RESOL-2026-120-APN-MSG). Boletín Oficial de la República Argentina. https://www.boletinoficial.gob.ar/detalleAviso/primera/338413/20260212</w:t>
      </w:r>
    </w:p>
    <w:p w14:paraId="6464CFF3" w14:textId="77777777" w:rsidR="008F59D7" w:rsidRDefault="005A53E5" w:rsidP="00EB144C">
      <w:pPr>
        <w:pStyle w:val="Textoindependiente"/>
        <w:spacing w:line="360" w:lineRule="auto"/>
        <w:ind w:left="709" w:hanging="720"/>
      </w:pPr>
      <w:r>
        <w:t xml:space="preserve">Ministerio de Seguridad Nacional (Argentina). (2026b, 13 de mayo). Resolución 429/2026 (RESOL-2026-429-APN-MSG), modificatoria de la Resolución 354/2017. Boletín Oficial de la República Argentina. </w:t>
      </w:r>
      <w:r>
        <w:lastRenderedPageBreak/>
        <w:t>https://www.boletinoficial.gob.ar/detalleAviso/primera/341881/20260513</w:t>
      </w:r>
    </w:p>
    <w:p w14:paraId="0A8A9205" w14:textId="77777777" w:rsidR="008F59D7" w:rsidRPr="00FF0028" w:rsidRDefault="005A53E5" w:rsidP="00EB144C">
      <w:pPr>
        <w:pStyle w:val="Textoindependiente"/>
        <w:spacing w:line="360" w:lineRule="auto"/>
        <w:ind w:left="709" w:hanging="720"/>
        <w:rPr>
          <w:lang w:val="es-CO"/>
        </w:rPr>
      </w:pPr>
      <w:proofErr w:type="spellStart"/>
      <w:r w:rsidRPr="00FF0028">
        <w:rPr>
          <w:lang w:val="es-CO"/>
        </w:rPr>
        <w:t>Nomesqui</w:t>
      </w:r>
      <w:proofErr w:type="spellEnd"/>
      <w:r w:rsidRPr="00FF0028">
        <w:rPr>
          <w:lang w:val="es-CO"/>
        </w:rPr>
        <w:t xml:space="preserve"> Rivera, J. (2023, 25 de abril). </w:t>
      </w:r>
      <w:r w:rsidRPr="00FF0028">
        <w:rPr>
          <w:i/>
          <w:lang w:val="es-CO"/>
        </w:rPr>
        <w:t>Acelerar el procedimiento biométrico y documental para hinchas, una medida que se prometió hace más de 13 años</w:t>
      </w:r>
      <w:r w:rsidRPr="00FF0028">
        <w:rPr>
          <w:lang w:val="es-CO"/>
        </w:rPr>
        <w:t>. Infobae. https://www.infobae.com/colombia/2023/04/26/acelerar-el-procedimiento-biometrico-y-documental-para-hinchas-una-medida-que-se-prometio-hace-mas-de-13-anos/</w:t>
      </w:r>
    </w:p>
    <w:p w14:paraId="01107D25" w14:textId="77777777" w:rsidR="008F59D7" w:rsidRDefault="005A53E5" w:rsidP="00EB144C">
      <w:pPr>
        <w:pStyle w:val="Textoindependiente"/>
        <w:spacing w:line="360" w:lineRule="auto"/>
        <w:ind w:left="709" w:hanging="720"/>
      </w:pPr>
      <w:proofErr w:type="spellStart"/>
      <w:r>
        <w:t>Pécaut</w:t>
      </w:r>
      <w:proofErr w:type="spellEnd"/>
      <w:r>
        <w:t xml:space="preserve">, D. (2001). La tragedia colombiana: guerra, violencia, tráfico de droga. </w:t>
      </w:r>
      <w:r>
        <w:rPr>
          <w:i/>
        </w:rPr>
        <w:t>Sociedad &amp; Economía</w:t>
      </w:r>
      <w:r>
        <w:t>, (1), 6-35.</w:t>
      </w:r>
    </w:p>
    <w:p w14:paraId="709DB82D" w14:textId="77777777" w:rsidR="008F59D7" w:rsidRDefault="005A53E5" w:rsidP="00EB144C">
      <w:pPr>
        <w:pStyle w:val="Textoindependiente"/>
        <w:spacing w:line="360" w:lineRule="auto"/>
        <w:ind w:left="709" w:hanging="720"/>
      </w:pPr>
      <w:r>
        <w:t>Policía</w:t>
      </w:r>
      <w:r>
        <w:rPr>
          <w:spacing w:val="-2"/>
        </w:rPr>
        <w:t xml:space="preserve"> </w:t>
      </w:r>
      <w:r>
        <w:t>Nacional</w:t>
      </w:r>
      <w:r>
        <w:rPr>
          <w:spacing w:val="-1"/>
        </w:rPr>
        <w:t xml:space="preserve"> </w:t>
      </w:r>
      <w:r>
        <w:t>de</w:t>
      </w:r>
      <w:r>
        <w:rPr>
          <w:spacing w:val="-2"/>
        </w:rPr>
        <w:t xml:space="preserve"> </w:t>
      </w:r>
      <w:r>
        <w:t>Colombia.</w:t>
      </w:r>
      <w:r>
        <w:rPr>
          <w:spacing w:val="-2"/>
        </w:rPr>
        <w:t xml:space="preserve"> </w:t>
      </w:r>
      <w:r>
        <w:t>(s.</w:t>
      </w:r>
      <w:r>
        <w:rPr>
          <w:spacing w:val="-2"/>
        </w:rPr>
        <w:t xml:space="preserve"> </w:t>
      </w:r>
      <w:r>
        <w:t>f.).</w:t>
      </w:r>
      <w:r>
        <w:rPr>
          <w:spacing w:val="-1"/>
        </w:rPr>
        <w:t xml:space="preserve"> </w:t>
      </w:r>
      <w:r>
        <w:t>Estadística</w:t>
      </w:r>
      <w:r>
        <w:rPr>
          <w:spacing w:val="-3"/>
        </w:rPr>
        <w:t xml:space="preserve"> </w:t>
      </w:r>
      <w:r>
        <w:t>delictiva.</w:t>
      </w:r>
      <w:r>
        <w:rPr>
          <w:spacing w:val="-1"/>
        </w:rPr>
        <w:t xml:space="preserve"> </w:t>
      </w:r>
      <w:r>
        <w:t>Recuperado</w:t>
      </w:r>
      <w:r>
        <w:rPr>
          <w:spacing w:val="-1"/>
        </w:rPr>
        <w:t xml:space="preserve"> </w:t>
      </w:r>
      <w:r>
        <w:t>el</w:t>
      </w:r>
      <w:r>
        <w:rPr>
          <w:spacing w:val="-1"/>
        </w:rPr>
        <w:t xml:space="preserve"> </w:t>
      </w:r>
      <w:r>
        <w:t>15</w:t>
      </w:r>
      <w:r>
        <w:rPr>
          <w:spacing w:val="-1"/>
        </w:rPr>
        <w:t xml:space="preserve"> </w:t>
      </w:r>
      <w:r>
        <w:t>de</w:t>
      </w:r>
      <w:r>
        <w:rPr>
          <w:spacing w:val="-2"/>
        </w:rPr>
        <w:t xml:space="preserve"> </w:t>
      </w:r>
      <w:r>
        <w:t>junio</w:t>
      </w:r>
      <w:r>
        <w:rPr>
          <w:spacing w:val="-1"/>
        </w:rPr>
        <w:t xml:space="preserve"> </w:t>
      </w:r>
      <w:r>
        <w:t>de</w:t>
      </w:r>
      <w:r>
        <w:rPr>
          <w:spacing w:val="-2"/>
        </w:rPr>
        <w:t xml:space="preserve"> </w:t>
      </w:r>
      <w:r>
        <w:t>2026,</w:t>
      </w:r>
      <w:r>
        <w:rPr>
          <w:spacing w:val="-1"/>
        </w:rPr>
        <w:t xml:space="preserve"> </w:t>
      </w:r>
      <w:r>
        <w:t xml:space="preserve">de </w:t>
      </w:r>
      <w:hyperlink r:id="rId40">
        <w:r>
          <w:rPr>
            <w:spacing w:val="-2"/>
          </w:rPr>
          <w:t>https://www.policia.gov.co/grupo-informacion-criminalidad/estadistica-delictiva</w:t>
        </w:r>
      </w:hyperlink>
    </w:p>
    <w:p w14:paraId="6DAF77FA" w14:textId="77777777" w:rsidR="008F59D7" w:rsidRDefault="005A53E5" w:rsidP="00EB144C">
      <w:pPr>
        <w:pStyle w:val="Textoindependiente"/>
        <w:spacing w:line="360" w:lineRule="auto"/>
        <w:ind w:left="709" w:hanging="720"/>
      </w:pPr>
      <w:r>
        <w:t>Presidencia de la República de Colombia. (1971). Decreto 410 de 1971, por el cual se expide el Código de Comercio. Diario Oficial No. 33.339.</w:t>
      </w:r>
    </w:p>
    <w:p w14:paraId="7F9AB145" w14:textId="77777777" w:rsidR="008F59D7" w:rsidRDefault="005A53E5" w:rsidP="00EB144C">
      <w:pPr>
        <w:pStyle w:val="Textoindependiente"/>
        <w:spacing w:line="360" w:lineRule="auto"/>
        <w:ind w:left="709" w:hanging="720"/>
      </w:pPr>
      <w:r>
        <w:t>Presidencia de la República de Colombia. (2012). Decreto 1007 de 2012, por el cual se expide el Estatuto del Aficionado al Fútbol en Colombia. Diario Oficial No. 48.431.</w:t>
      </w:r>
    </w:p>
    <w:p w14:paraId="6C8FA338" w14:textId="77777777" w:rsidR="0084558A" w:rsidRDefault="00000000" w:rsidP="00EB144C">
      <w:pPr>
        <w:pStyle w:val="Textoindependiente"/>
        <w:spacing w:line="360" w:lineRule="auto"/>
        <w:ind w:left="709" w:hanging="720"/>
      </w:pPr>
      <w:r>
        <w:t>Presidencia de la República de Colombia. (2022). Decreto 1622 de 2022, por medio del cual se adiciona la Parte 17 del Libro 2 del Decreto 1085 de 2015, Decreto Único Reglamentario del Sector Administrativo del Deporte, en lo relacionado con la regulación del ingreso a los eventos de fútbol profesional como medida para garantizar la seguridad y convivencia en los estadios. Diario Oficial No. 52.117.</w:t>
      </w:r>
    </w:p>
    <w:p w14:paraId="5D757E9F" w14:textId="77777777" w:rsidR="008F59D7" w:rsidRDefault="005A53E5" w:rsidP="00EB144C">
      <w:pPr>
        <w:pStyle w:val="Textoindependiente"/>
        <w:spacing w:line="360" w:lineRule="auto"/>
        <w:ind w:left="709" w:hanging="720"/>
      </w:pPr>
      <w:r>
        <w:t>Presidencia de la República Oriental del Uruguay. (2017, 7 de marzo). Cáceres: cámaras de reconocimiento facial en estadio Centenario estarán instaladas el 31 de marzo. Secretaría Nacional del Deporte. https://www.gub.uy/presidencia/comunicacion/noticias/caceres-camaras-reconocimiento-facial-estadio-centenario-estaran-instaladas</w:t>
      </w:r>
    </w:p>
    <w:p w14:paraId="7F878D86" w14:textId="77777777" w:rsidR="008F59D7" w:rsidRPr="00807E98" w:rsidRDefault="005A53E5" w:rsidP="00EB144C">
      <w:pPr>
        <w:pStyle w:val="Textoindependiente"/>
        <w:spacing w:line="360" w:lineRule="auto"/>
        <w:ind w:left="709" w:hanging="720"/>
        <w:rPr>
          <w:lang w:val="en-US"/>
        </w:rPr>
      </w:pPr>
      <w:r>
        <w:rPr>
          <w:lang w:val="en-US"/>
        </w:rPr>
        <w:t xml:space="preserve">Reino Unido. (1989). Football Spectators Act 1989. The National Archives. </w:t>
      </w:r>
      <w:hyperlink r:id="rId41">
        <w:r>
          <w:rPr>
            <w:spacing w:val="-2"/>
            <w:lang w:val="en-US"/>
          </w:rPr>
          <w:t>https://www.legislation.gov.uk/ukpga/1989/37</w:t>
        </w:r>
      </w:hyperlink>
    </w:p>
    <w:p w14:paraId="0E4D3FE0" w14:textId="77777777" w:rsidR="008F59D7" w:rsidRDefault="005A53E5" w:rsidP="00EB144C">
      <w:pPr>
        <w:pStyle w:val="Textoindependiente"/>
        <w:spacing w:line="360" w:lineRule="auto"/>
        <w:ind w:left="709" w:hanging="720"/>
      </w:pPr>
      <w:r>
        <w:rPr>
          <w:lang w:val="en-US"/>
        </w:rPr>
        <w:t xml:space="preserve">Reino Unido. (2000). Football (Disorder) Act 2000. The National Archives. </w:t>
      </w:r>
      <w:hyperlink r:id="rId42">
        <w:r>
          <w:rPr>
            <w:spacing w:val="-2"/>
          </w:rPr>
          <w:t>https://www.legislation.gov.uk/ukpga/2000/25</w:t>
        </w:r>
      </w:hyperlink>
    </w:p>
    <w:p w14:paraId="449820F5" w14:textId="77777777" w:rsidR="008F59D7" w:rsidRDefault="005A53E5" w:rsidP="00EB144C">
      <w:pPr>
        <w:pStyle w:val="Textoindependiente"/>
        <w:tabs>
          <w:tab w:val="left" w:pos="3354"/>
          <w:tab w:val="left" w:pos="4866"/>
          <w:tab w:val="left" w:pos="6072"/>
          <w:tab w:val="left" w:pos="7224"/>
          <w:tab w:val="left" w:pos="8777"/>
        </w:tabs>
        <w:spacing w:line="360" w:lineRule="auto"/>
        <w:ind w:left="709" w:hanging="720"/>
      </w:pPr>
      <w:r>
        <w:t>Revista Innovación Seguridad. (2019, 22 de enero). Videovigilancia con control de acceso por identificación facial en el fútbol uruguayo. https://revistainnovacion.com/nota/10319/videovigilancia_con_control_de_acceso_por_identificacion_facial_en_el_futbol_uruguayo/</w:t>
      </w:r>
    </w:p>
    <w:p w14:paraId="1B3533C5" w14:textId="77777777" w:rsidR="008F59D7" w:rsidRPr="00FF0028" w:rsidRDefault="005A53E5" w:rsidP="00EB144C">
      <w:pPr>
        <w:pStyle w:val="Textoindependiente"/>
        <w:spacing w:line="360" w:lineRule="auto"/>
        <w:ind w:left="709" w:hanging="720"/>
        <w:rPr>
          <w:lang w:val="en-US"/>
        </w:rPr>
      </w:pPr>
      <w:r>
        <w:t xml:space="preserve">Tamayo Jaramillo, J. (2007). </w:t>
      </w:r>
      <w:r>
        <w:rPr>
          <w:i/>
        </w:rPr>
        <w:t>Tratado de responsabilidad civil</w:t>
      </w:r>
      <w:r>
        <w:t xml:space="preserve"> (Tomos I y II). </w:t>
      </w:r>
      <w:r w:rsidRPr="00FF0028">
        <w:rPr>
          <w:lang w:val="en-US"/>
        </w:rPr>
        <w:t>Legis.</w:t>
      </w:r>
    </w:p>
    <w:p w14:paraId="630FBB18" w14:textId="77777777" w:rsidR="008F59D7" w:rsidRPr="00FF0028" w:rsidRDefault="005A53E5" w:rsidP="00EB144C">
      <w:pPr>
        <w:pStyle w:val="Textoindependiente"/>
        <w:spacing w:line="360" w:lineRule="auto"/>
        <w:ind w:left="709" w:hanging="720"/>
        <w:rPr>
          <w:spacing w:val="-2"/>
        </w:rPr>
      </w:pPr>
      <w:r>
        <w:rPr>
          <w:lang w:val="en-US"/>
        </w:rPr>
        <w:lastRenderedPageBreak/>
        <w:t xml:space="preserve">Taylor, P. (1990). The Hillsborough Stadium disaster: Final report. Her Majesty’s Stationery Office. </w:t>
      </w:r>
      <w:hyperlink r:id="rId43">
        <w:r w:rsidRPr="00FF0028">
          <w:t>https://www.gov.uk/government/publications/the-hillsborough-stadium-disaster-</w:t>
        </w:r>
      </w:hyperlink>
      <w:r w:rsidRPr="00FF0028">
        <w:rPr>
          <w:spacing w:val="-2"/>
        </w:rPr>
        <w:t>inquiry-by-the-rt-hon-lord-justice-taylor</w:t>
      </w:r>
    </w:p>
    <w:p w14:paraId="6D898033" w14:textId="77777777" w:rsidR="0084558A" w:rsidRPr="00FF0028" w:rsidRDefault="00000000" w:rsidP="00EB144C">
      <w:pPr>
        <w:pStyle w:val="Textoindependiente"/>
        <w:spacing w:line="360" w:lineRule="auto"/>
        <w:ind w:left="709" w:hanging="720"/>
        <w:rPr>
          <w:spacing w:val="-2"/>
          <w:lang w:val="es-CO"/>
        </w:rPr>
      </w:pPr>
      <w:r w:rsidRPr="00FF0028">
        <w:rPr>
          <w:lang w:val="es-CO"/>
        </w:rPr>
        <w:t xml:space="preserve">Vanguardia. (2019, 24 de febrero). </w:t>
      </w:r>
      <w:r w:rsidRPr="00FF0028">
        <w:rPr>
          <w:i/>
          <w:lang w:val="es-CO"/>
        </w:rPr>
        <w:t>¿Qué pasó con la carnetización en los estadios de Colombia?</w:t>
      </w:r>
      <w:r w:rsidRPr="00FF0028">
        <w:rPr>
          <w:lang w:val="es-CO"/>
        </w:rPr>
        <w:t xml:space="preserve"> Vanguardia. https://www.vanguardia.com/deportes/futbol-colombiano/2019/02/24/que-paso-con-la-carnetizacion-en-los-estadios-de-colombia/</w:t>
      </w:r>
    </w:p>
    <w:p w14:paraId="4F0827BA" w14:textId="77777777" w:rsidR="0089136C" w:rsidRPr="00FF0028" w:rsidRDefault="0089136C" w:rsidP="00EB144C">
      <w:pPr>
        <w:pStyle w:val="Textoindependiente"/>
        <w:spacing w:line="360" w:lineRule="auto"/>
        <w:ind w:left="0" w:hanging="720"/>
        <w:rPr>
          <w:lang w:val="es-CO"/>
        </w:rPr>
      </w:pPr>
    </w:p>
    <w:p w14:paraId="06E8E683" w14:textId="77777777" w:rsidR="0089136C" w:rsidRPr="00FF0028" w:rsidRDefault="0089136C" w:rsidP="00EB144C">
      <w:pPr>
        <w:pStyle w:val="Textoindependiente"/>
        <w:spacing w:line="360" w:lineRule="auto"/>
        <w:ind w:left="0" w:hanging="720"/>
        <w:rPr>
          <w:lang w:val="es-CO"/>
        </w:rPr>
      </w:pPr>
    </w:p>
    <w:sectPr w:rsidR="0089136C" w:rsidRPr="00FF0028" w:rsidSect="00FF0028">
      <w:pgSz w:w="12240" w:h="15840"/>
      <w:pgMar w:top="1418" w:right="1418" w:bottom="1418" w:left="1418" w:header="717"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28E3B" w14:textId="77777777" w:rsidR="004A641D" w:rsidRDefault="004A641D">
      <w:r>
        <w:separator/>
      </w:r>
    </w:p>
  </w:endnote>
  <w:endnote w:type="continuationSeparator" w:id="0">
    <w:p w14:paraId="01463B37" w14:textId="77777777" w:rsidR="004A641D" w:rsidRDefault="004A64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82C61" w14:textId="77777777" w:rsidR="005E4666" w:rsidRDefault="005E4666">
    <w:pPr>
      <w:pStyle w:val="Piedepgina"/>
    </w:pPr>
  </w:p>
  <w:p w14:paraId="100B4109" w14:textId="77777777" w:rsidR="005E4666" w:rsidRDefault="005E4666">
    <w:pPr>
      <w:pStyle w:val="Piedepgina"/>
    </w:pPr>
  </w:p>
  <w:p w14:paraId="1ACAA7CD" w14:textId="77777777" w:rsidR="005E4666" w:rsidRDefault="005E4666">
    <w:pPr>
      <w:pStyle w:val="Piedepgina"/>
    </w:pPr>
  </w:p>
  <w:p w14:paraId="6B94196B" w14:textId="77777777" w:rsidR="005E4666" w:rsidRDefault="005E4666">
    <w:pPr>
      <w:pStyle w:val="Piedepgina"/>
    </w:pPr>
  </w:p>
  <w:p w14:paraId="2BA015AF" w14:textId="77777777" w:rsidR="005E4666" w:rsidRDefault="005E466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737F5" w14:textId="77777777" w:rsidR="004A641D" w:rsidRDefault="004A641D">
      <w:r>
        <w:separator/>
      </w:r>
    </w:p>
  </w:footnote>
  <w:footnote w:type="continuationSeparator" w:id="0">
    <w:p w14:paraId="0F3E9D71" w14:textId="77777777" w:rsidR="004A641D" w:rsidRDefault="004A64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1605A" w14:textId="77777777" w:rsidR="008F59D7" w:rsidRDefault="00EF4F7A">
    <w:pPr>
      <w:pStyle w:val="Textoindependiente"/>
      <w:spacing w:line="14" w:lineRule="auto"/>
      <w:ind w:left="0"/>
      <w:jc w:val="left"/>
      <w:rPr>
        <w:sz w:val="20"/>
      </w:rPr>
    </w:pPr>
    <w:r>
      <w:rPr>
        <w:noProof/>
        <w:sz w:val="20"/>
        <w:lang w:val="es-CO" w:eastAsia="es-CO"/>
      </w:rPr>
      <mc:AlternateContent>
        <mc:Choice Requires="wps">
          <w:drawing>
            <wp:anchor distT="0" distB="0" distL="0" distR="0" simplePos="0" relativeHeight="251659264" behindDoc="1" locked="0" layoutInCell="1" allowOverlap="1" wp14:anchorId="7258FD26" wp14:editId="5AF49815">
              <wp:simplePos x="0" y="0"/>
              <wp:positionH relativeFrom="page">
                <wp:posOffset>885824</wp:posOffset>
              </wp:positionH>
              <wp:positionV relativeFrom="page">
                <wp:posOffset>438150</wp:posOffset>
              </wp:positionV>
              <wp:extent cx="2352675" cy="24765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675" cy="247650"/>
                      </a:xfrm>
                      <a:prstGeom prst="rect">
                        <a:avLst/>
                      </a:prstGeom>
                    </wps:spPr>
                    <wps:txbx>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258FD26" id="_x0000_t202" coordsize="21600,21600" o:spt="202" path="m,l,21600r21600,l21600,xe">
              <v:stroke joinstyle="miter"/>
              <v:path gradientshapeok="t" o:connecttype="rect"/>
            </v:shapetype>
            <v:shape id="Textbox 2" o:spid="_x0000_s1026" type="#_x0000_t202" style="position:absolute;margin-left:69.75pt;margin-top:34.5pt;width:185.25pt;height:19.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" filled="f" stroked="f">
              <v:textbox inset="0,0,0,0">
                <w:txbxContent>
                  <w:p w14:paraId="65F99049" w14:textId="77777777" w:rsidR="008F59D7" w:rsidRDefault="00EF4F7A">
                    <w:pPr>
                      <w:pStyle w:val="Textoindependiente"/>
                      <w:spacing w:before="10"/>
                      <w:ind w:left="20"/>
                      <w:jc w:val="left"/>
                      <w:rPr>
                        <w:spacing w:val="-2"/>
                        <w:lang w:val="es-MX"/>
                      </w:rPr>
                    </w:pPr>
                    <w:r>
                      <w:rPr>
                        <w:spacing w:val="-2"/>
                        <w:lang w:val="es-MX"/>
                      </w:rPr>
                      <w:t>Violencia en el Fútbol Colombiano</w:t>
                    </w:r>
                  </w:p>
                  <w:p w14:paraId="322125D3" w14:textId="77777777" w:rsidR="00EF4F7A" w:rsidRPr="00EF4F7A" w:rsidRDefault="00EF4F7A">
                    <w:pPr>
                      <w:pStyle w:val="Textoindependiente"/>
                      <w:spacing w:before="10"/>
                      <w:ind w:left="20"/>
                      <w:jc w:val="left"/>
                      <w:rPr>
                        <w:lang w:val="es-MX"/>
                      </w:rPr>
                    </w:pPr>
                  </w:p>
                </w:txbxContent>
              </v:textbox>
              <w10:wrap anchorx="page" anchory="page"/>
            </v:shape>
          </w:pict>
        </mc:Fallback>
      </mc:AlternateContent>
    </w:r>
    <w:r w:rsidR="005A53E5">
      <w:rPr>
        <w:noProof/>
        <w:sz w:val="20"/>
        <w:lang w:val="es-CO" w:eastAsia="es-CO"/>
      </w:rPr>
      <mc:AlternateContent>
        <mc:Choice Requires="wps">
          <w:drawing>
            <wp:anchor distT="0" distB="0" distL="0" distR="0" simplePos="0" relativeHeight="251657216" behindDoc="1" locked="0" layoutInCell="1" allowOverlap="1" wp14:anchorId="747B5270" wp14:editId="3A1699B5">
              <wp:simplePos x="0" y="0"/>
              <wp:positionH relativeFrom="page">
                <wp:posOffset>900430</wp:posOffset>
              </wp:positionH>
              <wp:positionV relativeFrom="page">
                <wp:posOffset>727075</wp:posOffset>
              </wp:positionV>
              <wp:extent cx="5971540" cy="1206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1540" cy="12065"/>
                      </a:xfrm>
                      <a:custGeom>
                        <a:avLst/>
                        <a:gdLst/>
                        <a:ahLst/>
                        <a:cxnLst/>
                        <a:rect l="l" t="t" r="r" b="b"/>
                        <a:pathLst>
                          <a:path w="5971540" h="12065">
                            <a:moveTo>
                              <a:pt x="5971540" y="0"/>
                            </a:moveTo>
                            <a:lnTo>
                              <a:pt x="0" y="0"/>
                            </a:lnTo>
                            <a:lnTo>
                              <a:pt x="0" y="12065"/>
                            </a:lnTo>
                            <a:lnTo>
                              <a:pt x="5971540" y="12065"/>
                            </a:lnTo>
                            <a:lnTo>
                              <a:pt x="5971540" y="0"/>
                            </a:lnTo>
                            <a:close/>
                          </a:path>
                        </a:pathLst>
                      </a:custGeom>
                      <a:solidFill>
                        <a:srgbClr val="EC7C30"/>
                      </a:solidFill>
                    </wps:spPr>
                    <wps:bodyPr wrap="square" lIns="0" tIns="0" rIns="0" bIns="0" rtlCol="0">
                      <a:prstTxWarp prst="textNoShape">
                        <a:avLst/>
                      </a:prstTxWarp>
                      <a:noAutofit/>
                    </wps:bodyPr>
                  </wps:wsp>
                </a:graphicData>
              </a:graphic>
            </wp:anchor>
          </w:drawing>
        </mc:Choice>
        <mc:Fallback>
          <w:pict>
            <v:shape w14:anchorId="4436D929" id="Graphic 1" o:spid="_x0000_s1026" style="position:absolute;margin-left:70.9pt;margin-top:57.25pt;width:470.2pt;height:.9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971540,120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" path="m5971540,l,,,12065r5971540,l5971540,xe" fillcolor="#ec7c30" stroked="f">
              <v:path arrowok="t"/>
              <w10:wrap anchorx="page" anchory="page"/>
            </v:shape>
          </w:pict>
        </mc:Fallback>
      </mc:AlternateContent>
    </w:r>
    <w:r w:rsidR="005A53E5">
      <w:rPr>
        <w:noProof/>
        <w:sz w:val="20"/>
        <w:lang w:val="es-CO" w:eastAsia="es-CO"/>
      </w:rPr>
      <mc:AlternateContent>
        <mc:Choice Requires="wps">
          <w:drawing>
            <wp:anchor distT="0" distB="0" distL="0" distR="0" simplePos="0" relativeHeight="487301120" behindDoc="1" locked="0" layoutInCell="1" allowOverlap="1" wp14:anchorId="10139AE2" wp14:editId="5B2999AE">
              <wp:simplePos x="0" y="0"/>
              <wp:positionH relativeFrom="page">
                <wp:posOffset>6374129</wp:posOffset>
              </wp:positionH>
              <wp:positionV relativeFrom="page">
                <wp:posOffset>465893</wp:posOffset>
              </wp:positionV>
              <wp:extent cx="191770"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770" cy="165735"/>
                      </a:xfrm>
                      <a:prstGeom prst="rect">
                        <a:avLst/>
                      </a:prstGeom>
                    </wps:spPr>
                    <wps:txbx>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wps:txbx>
                    <wps:bodyPr wrap="square" lIns="0" tIns="0" rIns="0" bIns="0" rtlCol="0">
                      <a:noAutofit/>
                    </wps:bodyPr>
                  </wps:wsp>
                </a:graphicData>
              </a:graphic>
            </wp:anchor>
          </w:drawing>
        </mc:Choice>
        <mc:Fallback>
          <w:pict>
            <v:shape w14:anchorId="10139AE2" id="Textbox 3" o:spid="_x0000_s1027" type="#_x0000_t202" style="position:absolute;margin-left:501.9pt;margin-top:36.7pt;width:15.1pt;height:13.05pt;z-index:-1601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" filled="f" stroked="f">
              <v:textbox inset="0,0,0,0">
                <w:txbxContent>
                  <w:p w14:paraId="01017462" w14:textId="77777777" w:rsidR="008F59D7" w:rsidRDefault="005A53E5">
                    <w:pPr>
                      <w:spacing w:before="10"/>
                      <w:ind w:left="20"/>
                      <w:rPr>
                        <w:sz w:val="20"/>
                      </w:rPr>
                    </w:pPr>
                    <w:r>
                      <w:rPr>
                        <w:spacing w:val="-5"/>
                        <w:sz w:val="20"/>
                      </w:rPr>
                      <w:fldChar w:fldCharType="begin"/>
                    </w:r>
                    <w:r>
                      <w:rPr>
                        <w:spacing w:val="-5"/>
                        <w:sz w:val="20"/>
                      </w:rPr>
                      <w:instrText xml:space="preserve"> PAGE </w:instrText>
                    </w:r>
                    <w:r>
                      <w:rPr>
                        <w:spacing w:val="-5"/>
                        <w:sz w:val="20"/>
                      </w:rPr>
                      <w:fldChar w:fldCharType="separate"/>
                    </w:r>
                    <w:r w:rsidR="00FA2C93">
                      <w:rPr>
                        <w:noProof/>
                        <w:spacing w:val="-5"/>
                        <w:sz w:val="20"/>
                      </w:rPr>
                      <w:t>31</w:t>
                    </w:r>
                    <w:r>
                      <w:rPr>
                        <w:spacing w:val="-5"/>
                        <w:sz w:val="2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451A96"/>
    <w:multiLevelType w:val="multilevel"/>
    <w:tmpl w:val="05FE45BE"/>
    <w:lvl w:ilvl="0">
      <w:start w:val="1"/>
      <w:numFmt w:val="decimal"/>
      <w:lvlText w:val="%1."/>
      <w:lvlJc w:val="left"/>
      <w:pPr>
        <w:ind w:left="1058" w:hanging="360"/>
        <w:jc w:val="right"/>
      </w:pPr>
      <w:rPr>
        <w:rFonts w:ascii="Times New Roman" w:eastAsia="Times New Roman" w:hAnsi="Times New Roman" w:cs="Times New Roman" w:hint="default"/>
        <w:b/>
        <w:bCs/>
        <w:i w:val="0"/>
        <w:iCs w:val="0"/>
        <w:spacing w:val="0"/>
        <w:w w:val="100"/>
        <w:sz w:val="24"/>
        <w:szCs w:val="24"/>
        <w:lang w:val="es-ES" w:eastAsia="en-US" w:bidi="ar-SA"/>
      </w:rPr>
    </w:lvl>
    <w:lvl w:ilvl="1">
      <w:start w:val="1"/>
      <w:numFmt w:val="decimal"/>
      <w:lvlText w:val="%1.%2"/>
      <w:lvlJc w:val="left"/>
      <w:pPr>
        <w:ind w:left="698" w:hanging="360"/>
      </w:pPr>
      <w:rPr>
        <w:rFonts w:ascii="Times New Roman" w:eastAsia="Times New Roman" w:hAnsi="Times New Roman" w:cs="Times New Roman" w:hint="default"/>
        <w:b/>
        <w:bCs/>
        <w:i w:val="0"/>
        <w:iCs w:val="0"/>
        <w:spacing w:val="0"/>
        <w:w w:val="100"/>
        <w:sz w:val="24"/>
        <w:szCs w:val="24"/>
        <w:lang w:val="es-ES" w:eastAsia="en-US" w:bidi="ar-SA"/>
      </w:rPr>
    </w:lvl>
    <w:lvl w:ilvl="2">
      <w:numFmt w:val="bullet"/>
      <w:lvlText w:val="•"/>
      <w:lvlJc w:val="left"/>
      <w:pPr>
        <w:ind w:left="2062" w:hanging="360"/>
      </w:pPr>
      <w:rPr>
        <w:rFonts w:hint="default"/>
        <w:lang w:val="es-ES" w:eastAsia="en-US" w:bidi="ar-SA"/>
      </w:rPr>
    </w:lvl>
    <w:lvl w:ilvl="3">
      <w:numFmt w:val="bullet"/>
      <w:lvlText w:val="•"/>
      <w:lvlJc w:val="left"/>
      <w:pPr>
        <w:ind w:left="3064" w:hanging="360"/>
      </w:pPr>
      <w:rPr>
        <w:rFonts w:hint="default"/>
        <w:lang w:val="es-ES" w:eastAsia="en-US" w:bidi="ar-SA"/>
      </w:rPr>
    </w:lvl>
    <w:lvl w:ilvl="4">
      <w:numFmt w:val="bullet"/>
      <w:lvlText w:val="•"/>
      <w:lvlJc w:val="left"/>
      <w:pPr>
        <w:ind w:left="4066" w:hanging="360"/>
      </w:pPr>
      <w:rPr>
        <w:rFonts w:hint="default"/>
        <w:lang w:val="es-ES" w:eastAsia="en-US" w:bidi="ar-SA"/>
      </w:rPr>
    </w:lvl>
    <w:lvl w:ilvl="5">
      <w:numFmt w:val="bullet"/>
      <w:lvlText w:val="•"/>
      <w:lvlJc w:val="left"/>
      <w:pPr>
        <w:ind w:left="5068" w:hanging="360"/>
      </w:pPr>
      <w:rPr>
        <w:rFonts w:hint="default"/>
        <w:lang w:val="es-ES" w:eastAsia="en-US" w:bidi="ar-SA"/>
      </w:rPr>
    </w:lvl>
    <w:lvl w:ilvl="6">
      <w:numFmt w:val="bullet"/>
      <w:lvlText w:val="•"/>
      <w:lvlJc w:val="left"/>
      <w:pPr>
        <w:ind w:left="6071" w:hanging="360"/>
      </w:pPr>
      <w:rPr>
        <w:rFonts w:hint="default"/>
        <w:lang w:val="es-ES" w:eastAsia="en-US" w:bidi="ar-SA"/>
      </w:rPr>
    </w:lvl>
    <w:lvl w:ilvl="7">
      <w:numFmt w:val="bullet"/>
      <w:lvlText w:val="•"/>
      <w:lvlJc w:val="left"/>
      <w:pPr>
        <w:ind w:left="7073" w:hanging="360"/>
      </w:pPr>
      <w:rPr>
        <w:rFonts w:hint="default"/>
        <w:lang w:val="es-ES" w:eastAsia="en-US" w:bidi="ar-SA"/>
      </w:rPr>
    </w:lvl>
    <w:lvl w:ilvl="8">
      <w:numFmt w:val="bullet"/>
      <w:lvlText w:val="•"/>
      <w:lvlJc w:val="left"/>
      <w:pPr>
        <w:ind w:left="8075" w:hanging="360"/>
      </w:pPr>
      <w:rPr>
        <w:rFonts w:hint="default"/>
        <w:lang w:val="es-ES" w:eastAsia="en-US" w:bidi="ar-SA"/>
      </w:rPr>
    </w:lvl>
  </w:abstractNum>
  <w:num w:numId="1" w16cid:durableId="2139571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59D7"/>
    <w:rsid w:val="00053338"/>
    <w:rsid w:val="000B5C69"/>
    <w:rsid w:val="00167F94"/>
    <w:rsid w:val="001879BA"/>
    <w:rsid w:val="002202CE"/>
    <w:rsid w:val="0023511A"/>
    <w:rsid w:val="002943C1"/>
    <w:rsid w:val="002A6898"/>
    <w:rsid w:val="002C717C"/>
    <w:rsid w:val="00347D59"/>
    <w:rsid w:val="003938D0"/>
    <w:rsid w:val="003D21ED"/>
    <w:rsid w:val="003F3590"/>
    <w:rsid w:val="004A641D"/>
    <w:rsid w:val="00524521"/>
    <w:rsid w:val="005A53E5"/>
    <w:rsid w:val="005B3FCC"/>
    <w:rsid w:val="005D70CD"/>
    <w:rsid w:val="005E0B04"/>
    <w:rsid w:val="005E241A"/>
    <w:rsid w:val="005E4666"/>
    <w:rsid w:val="005F1D22"/>
    <w:rsid w:val="005F6C15"/>
    <w:rsid w:val="00633B31"/>
    <w:rsid w:val="00674B75"/>
    <w:rsid w:val="00680801"/>
    <w:rsid w:val="00681B77"/>
    <w:rsid w:val="0068458C"/>
    <w:rsid w:val="006E6870"/>
    <w:rsid w:val="006E6BE4"/>
    <w:rsid w:val="006F5AB6"/>
    <w:rsid w:val="006F770F"/>
    <w:rsid w:val="00707DBD"/>
    <w:rsid w:val="00720FAB"/>
    <w:rsid w:val="00727064"/>
    <w:rsid w:val="0076130C"/>
    <w:rsid w:val="00774EB9"/>
    <w:rsid w:val="007A019C"/>
    <w:rsid w:val="007B3A5D"/>
    <w:rsid w:val="00807E98"/>
    <w:rsid w:val="0084558A"/>
    <w:rsid w:val="00880D0E"/>
    <w:rsid w:val="00885D90"/>
    <w:rsid w:val="008904BA"/>
    <w:rsid w:val="0089136C"/>
    <w:rsid w:val="00894319"/>
    <w:rsid w:val="008F3836"/>
    <w:rsid w:val="008F59D7"/>
    <w:rsid w:val="00903EB1"/>
    <w:rsid w:val="00911A26"/>
    <w:rsid w:val="009A36E9"/>
    <w:rsid w:val="009A5971"/>
    <w:rsid w:val="009A6DDA"/>
    <w:rsid w:val="009B76C7"/>
    <w:rsid w:val="009E663F"/>
    <w:rsid w:val="00A42B27"/>
    <w:rsid w:val="00A5652B"/>
    <w:rsid w:val="00A6507F"/>
    <w:rsid w:val="00A81E5A"/>
    <w:rsid w:val="00AB0147"/>
    <w:rsid w:val="00AD023D"/>
    <w:rsid w:val="00AD7370"/>
    <w:rsid w:val="00B02751"/>
    <w:rsid w:val="00B10667"/>
    <w:rsid w:val="00B34315"/>
    <w:rsid w:val="00C321A0"/>
    <w:rsid w:val="00C839DA"/>
    <w:rsid w:val="00CC0DD5"/>
    <w:rsid w:val="00D056B9"/>
    <w:rsid w:val="00D519B5"/>
    <w:rsid w:val="00D8568B"/>
    <w:rsid w:val="00D92AD3"/>
    <w:rsid w:val="00DD271F"/>
    <w:rsid w:val="00DF3558"/>
    <w:rsid w:val="00E5680B"/>
    <w:rsid w:val="00E94736"/>
    <w:rsid w:val="00EB144C"/>
    <w:rsid w:val="00EC1C99"/>
    <w:rsid w:val="00EF4F7A"/>
    <w:rsid w:val="00F06804"/>
    <w:rsid w:val="00FA2C93"/>
    <w:rsid w:val="00FA527A"/>
    <w:rsid w:val="00FB1029"/>
    <w:rsid w:val="00FD2548"/>
    <w:rsid w:val="00FE3374"/>
    <w:rsid w:val="00FF002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56F20"/>
  <w15:docId w15:val="{541FB3E8-604D-4D7E-A4F1-3A186AF2A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698" w:hanging="360"/>
      <w:jc w:val="both"/>
      <w:outlineLvl w:val="0"/>
    </w:pPr>
    <w:rPr>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pPr>
      <w:ind w:left="338"/>
      <w:jc w:val="both"/>
    </w:pPr>
    <w:rPr>
      <w:sz w:val="24"/>
      <w:szCs w:val="24"/>
    </w:rPr>
  </w:style>
  <w:style w:type="paragraph" w:styleId="Prrafodelista">
    <w:name w:val="List Paragraph"/>
    <w:basedOn w:val="Normal"/>
    <w:uiPriority w:val="1"/>
    <w:qFormat/>
    <w:pPr>
      <w:spacing w:before="119"/>
      <w:ind w:left="698" w:hanging="360"/>
      <w:jc w:val="both"/>
    </w:pPr>
  </w:style>
  <w:style w:type="paragraph" w:customStyle="1" w:styleId="TableParagraph">
    <w:name w:val="Table Paragraph"/>
    <w:basedOn w:val="Normal"/>
    <w:uiPriority w:val="1"/>
    <w:qFormat/>
    <w:pPr>
      <w:ind w:left="88"/>
    </w:pPr>
  </w:style>
  <w:style w:type="paragraph" w:styleId="Encabezado">
    <w:name w:val="header"/>
    <w:basedOn w:val="Normal"/>
    <w:link w:val="EncabezadoCar"/>
    <w:uiPriority w:val="99"/>
    <w:unhideWhenUsed/>
    <w:rsid w:val="00EF4F7A"/>
    <w:pPr>
      <w:tabs>
        <w:tab w:val="center" w:pos="4419"/>
        <w:tab w:val="right" w:pos="8838"/>
      </w:tabs>
    </w:pPr>
  </w:style>
  <w:style w:type="character" w:customStyle="1" w:styleId="EncabezadoCar">
    <w:name w:val="Encabezado Car"/>
    <w:basedOn w:val="Fuentedeprrafopredeter"/>
    <w:link w:val="Encabezado"/>
    <w:uiPriority w:val="99"/>
    <w:rsid w:val="00EF4F7A"/>
    <w:rPr>
      <w:rFonts w:ascii="Times New Roman" w:eastAsia="Times New Roman" w:hAnsi="Times New Roman" w:cs="Times New Roman"/>
      <w:lang w:val="es-ES"/>
    </w:rPr>
  </w:style>
  <w:style w:type="paragraph" w:styleId="Piedepgina">
    <w:name w:val="footer"/>
    <w:basedOn w:val="Normal"/>
    <w:link w:val="PiedepginaCar"/>
    <w:uiPriority w:val="99"/>
    <w:unhideWhenUsed/>
    <w:rsid w:val="00EF4F7A"/>
    <w:pPr>
      <w:tabs>
        <w:tab w:val="center" w:pos="4419"/>
        <w:tab w:val="right" w:pos="8838"/>
      </w:tabs>
    </w:pPr>
  </w:style>
  <w:style w:type="character" w:customStyle="1" w:styleId="PiedepginaCar">
    <w:name w:val="Pie de página Car"/>
    <w:basedOn w:val="Fuentedeprrafopredeter"/>
    <w:link w:val="Piedepgina"/>
    <w:uiPriority w:val="99"/>
    <w:rsid w:val="00EF4F7A"/>
    <w:rPr>
      <w:rFonts w:ascii="Times New Roman" w:eastAsia="Times New Roman" w:hAnsi="Times New Roman" w:cs="Times New Roman"/>
      <w:lang w:val="es-ES"/>
    </w:rPr>
  </w:style>
  <w:style w:type="character" w:customStyle="1" w:styleId="TextoindependienteCar">
    <w:name w:val="Texto independiente Car"/>
    <w:basedOn w:val="Fuentedeprrafopredeter"/>
    <w:link w:val="Textoindependiente"/>
    <w:uiPriority w:val="1"/>
    <w:rsid w:val="007A019C"/>
    <w:rPr>
      <w:rFonts w:ascii="Times New Roman" w:eastAsia="Times New Roman" w:hAnsi="Times New Roman" w:cs="Times New Roman"/>
      <w:sz w:val="24"/>
      <w:szCs w:val="24"/>
      <w:lang w:val="es-ES"/>
    </w:rPr>
  </w:style>
  <w:style w:type="character" w:styleId="Hipervnculo">
    <w:name w:val="Hyperlink"/>
    <w:basedOn w:val="Fuentedeprrafopredeter"/>
    <w:uiPriority w:val="99"/>
    <w:unhideWhenUsed/>
    <w:rsid w:val="00880D0E"/>
    <w:rPr>
      <w:color w:val="0000FF" w:themeColor="hyperlink"/>
      <w:u w:val="single"/>
    </w:rPr>
  </w:style>
  <w:style w:type="character" w:styleId="nfasis">
    <w:name w:val="Emphasis"/>
    <w:basedOn w:val="Fuentedeprrafopredeter"/>
    <w:uiPriority w:val="20"/>
    <w:qFormat/>
    <w:rsid w:val="00880D0E"/>
    <w:rPr>
      <w:i/>
      <w:iCs/>
    </w:rPr>
  </w:style>
  <w:style w:type="character" w:customStyle="1" w:styleId="Mencinsinresolver1">
    <w:name w:val="Mención sin resolver1"/>
    <w:basedOn w:val="Fuentedeprrafopredeter"/>
    <w:uiPriority w:val="99"/>
    <w:semiHidden/>
    <w:unhideWhenUsed/>
    <w:rsid w:val="002943C1"/>
    <w:rPr>
      <w:color w:val="605E5C"/>
      <w:shd w:val="clear" w:color="auto" w:fill="E1DFDD"/>
    </w:rPr>
  </w:style>
  <w:style w:type="table" w:styleId="Tablaconcuadrcula">
    <w:name w:val="Table Grid"/>
    <w:basedOn w:val="Tablanormal"/>
    <w:uiPriority w:val="39"/>
    <w:rsid w:val="005245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80801"/>
    <w:rPr>
      <w:sz w:val="16"/>
      <w:szCs w:val="16"/>
    </w:rPr>
  </w:style>
  <w:style w:type="paragraph" w:styleId="Textocomentario">
    <w:name w:val="annotation text"/>
    <w:basedOn w:val="Normal"/>
    <w:link w:val="TextocomentarioCar"/>
    <w:uiPriority w:val="99"/>
    <w:semiHidden/>
    <w:unhideWhenUsed/>
    <w:rsid w:val="00680801"/>
    <w:rPr>
      <w:sz w:val="20"/>
      <w:szCs w:val="20"/>
    </w:rPr>
  </w:style>
  <w:style w:type="character" w:customStyle="1" w:styleId="TextocomentarioCar">
    <w:name w:val="Texto comentario Car"/>
    <w:basedOn w:val="Fuentedeprrafopredeter"/>
    <w:link w:val="Textocomentario"/>
    <w:uiPriority w:val="99"/>
    <w:semiHidden/>
    <w:rsid w:val="00680801"/>
    <w:rPr>
      <w:rFonts w:ascii="Times New Roman" w:eastAsia="Times New Roman" w:hAnsi="Times New Roman"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680801"/>
    <w:rPr>
      <w:b/>
      <w:bCs/>
    </w:rPr>
  </w:style>
  <w:style w:type="character" w:customStyle="1" w:styleId="AsuntodelcomentarioCar">
    <w:name w:val="Asunto del comentario Car"/>
    <w:basedOn w:val="TextocomentarioCar"/>
    <w:link w:val="Asuntodelcomentario"/>
    <w:uiPriority w:val="99"/>
    <w:semiHidden/>
    <w:rsid w:val="00680801"/>
    <w:rPr>
      <w:rFonts w:ascii="Times New Roman" w:eastAsia="Times New Roman" w:hAnsi="Times New Roman" w:cs="Times New Roman"/>
      <w:b/>
      <w:bCs/>
      <w:sz w:val="20"/>
      <w:szCs w:val="20"/>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hyperlink" Target="http://www.usbbog.edu.co/" TargetMode="External"/><Relationship Id="rId26" Type="http://schemas.openxmlformats.org/officeDocument/2006/relationships/hyperlink" Target="https://www.corteconstitucional.gov.co/relatoria/2021/c-065-21.htm" TargetMode="External"/><Relationship Id="rId39" Type="http://schemas.openxmlformats.org/officeDocument/2006/relationships/hyperlink" Target="https://www.argentina.gob.ar/seguridad/tribunasegura" TargetMode="External"/><Relationship Id="rId3" Type="http://schemas.openxmlformats.org/officeDocument/2006/relationships/styles" Target="styles.xml"/><Relationship Id="rId21" Type="http://schemas.openxmlformats.org/officeDocument/2006/relationships/hyperlink" Target="http://www.usbctg.edu.co/" TargetMode="External"/><Relationship Id="rId34" Type="http://schemas.openxmlformats.org/officeDocument/2006/relationships/hyperlink" Target="https://www.elespectador.com/deportes/futbol-colombiano/los-origenes-del-futbol-colombiano/" TargetMode="External"/><Relationship Id="rId42" Type="http://schemas.openxmlformats.org/officeDocument/2006/relationships/hyperlink" Target="https://www.legislation.gov.uk/ukpga/2000/25" TargetMode="External"/><Relationship Id="rId7" Type="http://schemas.openxmlformats.org/officeDocument/2006/relationships/endnotes" Target="endnotes.xml"/><Relationship Id="rId12" Type="http://schemas.openxmlformats.org/officeDocument/2006/relationships/image" Target="media/image2.jpeg"/><Relationship Id="rId17" Type="http://schemas.openxmlformats.org/officeDocument/2006/relationships/hyperlink" Target="http://www.usb.edu.co/" TargetMode="External"/><Relationship Id="rId25" Type="http://schemas.openxmlformats.org/officeDocument/2006/relationships/hyperlink" Target="https://www.elcolombiano.com/colombia/consejo-estado-ratifica-seguridad-estadios-deber-policia-IL35588404" TargetMode="External"/><Relationship Id="rId33" Type="http://schemas.openxmlformats.org/officeDocument/2006/relationships/hyperlink" Target="https://cortesuprema.gov.co/corte/wp-content/uploads/relatorias/pe/b1sep2023/SP289-2023%2863567%29.pdf" TargetMode="External"/><Relationship Id="rId38" Type="http://schemas.openxmlformats.org/officeDocument/2006/relationships/hyperlink" Target="https://www.gov.uk/government/collections/football-banning-orders"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www.usbcali.edu.co/" TargetMode="External"/><Relationship Id="rId29" Type="http://schemas.openxmlformats.org/officeDocument/2006/relationships/hyperlink" Target="https://vlex.com.co/vid/auto-corte-suprema-justicia-874081018" TargetMode="External"/><Relationship Id="rId41" Type="http://schemas.openxmlformats.org/officeDocument/2006/relationships/hyperlink" Target="https://www.legislation.gov.uk/ukpga/1989/3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creativecommons.org/?page_id=13" TargetMode="External"/><Relationship Id="rId24" Type="http://schemas.openxmlformats.org/officeDocument/2006/relationships/hyperlink" Target="https://doi.org/10.22335/rlct.v12i1.1111" TargetMode="External"/><Relationship Id="rId32" Type="http://schemas.openxmlformats.org/officeDocument/2006/relationships/hyperlink" Target="https://cortesuprema.gov.co/corte/wp-content/uploads/relatorias/pe/b1dic2022/SP3573-2022%2855480%29.pdf" TargetMode="External"/><Relationship Id="rId37" Type="http://schemas.openxmlformats.org/officeDocument/2006/relationships/hyperlink" Target="https://buenosaires.gob.ar/noticias/mas-" TargetMode="External"/><Relationship Id="rId40" Type="http://schemas.openxmlformats.org/officeDocument/2006/relationships/hyperlink" Target="https://www.policia.gov.co/grupo-informacion-criminalidad/estadistica-delictiva"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www.revistas.usb.edu.co/" TargetMode="External"/><Relationship Id="rId28" Type="http://schemas.openxmlformats.org/officeDocument/2006/relationships/hyperlink" Target="https://www.corteconstitucional.gov.co/relatoria/2023/SU-386-23.htm" TargetMode="External"/><Relationship Id="rId36" Type="http://schemas.openxmlformats.org/officeDocument/2006/relationships/hyperlink" Target="https://www.fiscalia.gov.co/colombia/gestion/estadistica-de-delitos/" TargetMode="External"/><Relationship Id="rId10" Type="http://schemas.openxmlformats.org/officeDocument/2006/relationships/footer" Target="footer1.xml"/><Relationship Id="rId19" Type="http://schemas.openxmlformats.org/officeDocument/2006/relationships/hyperlink" Target="http://www.usbmed.edu.co/" TargetMode="External"/><Relationship Id="rId31" Type="http://schemas.openxmlformats.org/officeDocument/2006/relationships/hyperlink" Target="https://cortesuprema.gov.co/corte/wp-content/uploads/2021/08/SC2905-2021-2015-00230-01.pdf"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hyperlink" Target="http://www.editorialbonaventuriana.usb.edu.co/" TargetMode="External"/><Relationship Id="rId27" Type="http://schemas.openxmlformats.org/officeDocument/2006/relationships/hyperlink" Target="https://www.corteconstitucional.gov.co/relatoria/2022/t-464-22.htm" TargetMode="External"/><Relationship Id="rId30" Type="http://schemas.openxmlformats.org/officeDocument/2006/relationships/hyperlink" Target="https://cortesuprema.gov.co/corte/wp-content/uploads/2021/06/SC2111-2021-2011-00106-01.pdf" TargetMode="External"/><Relationship Id="rId35" Type="http://schemas.openxmlformats.org/officeDocument/2006/relationships/hyperlink" Target="https://fcf.com.co/2026/01/14/https-fcf-com-co-index-php-2012-05-24-codigo-disciplinario/" TargetMode="External"/><Relationship Id="rId43" Type="http://schemas.openxmlformats.org/officeDocument/2006/relationships/hyperlink" Target="https://www.gov.uk/government/publications/the-hillsborough-stadium-disas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61225-B417-407C-B979-FFC30A110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15667</Words>
  <Characters>86174</Characters>
  <Application>Microsoft Office Word</Application>
  <DocSecurity>0</DocSecurity>
  <Lines>718</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Estefanía López</dc:creator>
  <cp:lastModifiedBy>David Caicedo</cp:lastModifiedBy>
  <cp:revision>3</cp:revision>
  <dcterms:created xsi:type="dcterms:W3CDTF">2026-09-23T15:34:00Z</dcterms:created>
  <dcterms:modified xsi:type="dcterms:W3CDTF">2026-09-23T15:35:00Z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2026-07-01T00:00:00Z</vt:filetime>
  </property>
  <property fmtid="{D5CDD505-2E9C-101B-9397-08002B2CF9AE}" pid="4" name="Creator">
    <vt:lpwstr>Microsoft® Word para Microsoft 365</vt:lpwstr>
  </property>
  <property fmtid="{D5CDD505-2E9C-101B-9397-08002B2CF9AE}" pid="5" name="LastSaved">
    <vt:filetime>2026-07-07T00:00:00Z</vt:filetime>
  </property>
  <property fmtid="{D5CDD505-2E9C-101B-9397-08002B2CF9AE}" pid="6" name="Producer">
    <vt:lpwstr>Microsoft® Word para Microsoft 365</vt:lpwstr>
  </property>
</Properties>
</file>