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i w:val="0"/>
          <w:sz w:val="28"/>
          <w:u w:val="none"/>
        </w:rPr>
        <w:t>MEMORANDO JURÍDICO JUSTIFICATIVO</w:t>
      </w:r>
    </w:p>
    <w:p>
      <w:pPr>
        <w:spacing w:after="280"/>
        <w:jc w:val="center"/>
      </w:pPr>
      <w:r>
        <w:rPr>
          <w:rFonts w:ascii="Times New Roman" w:hAnsi="Times New Roman"/>
          <w:b/>
          <w:i w:val="0"/>
          <w:sz w:val="24"/>
          <w:u w:val="none"/>
        </w:rPr>
        <w:t>Fundamentación y defensa de las decisiones adoptadas en la constitución de NOVA BIENESTAR INTEGRAL S.A.S.</w:t>
      </w:r>
    </w:p>
    <w:p>
      <w:pPr>
        <w:keepNext/>
        <w:spacing w:before="320" w:after="160"/>
        <w:jc w:val="center"/>
      </w:pPr>
      <w:r>
        <w:rPr>
          <w:rFonts w:ascii="Times New Roman" w:hAnsi="Times New Roman"/>
          <w:b/>
          <w:i w:val="0"/>
          <w:sz w:val="24"/>
          <w:u w:val="none"/>
        </w:rPr>
        <w:t>I. OBJETO, ALCANCE Y METODOLOGÍA</w:t>
      </w:r>
    </w:p>
    <w:p>
      <w:pPr>
        <w:keepNext/>
        <w:spacing w:before="240" w:after="80"/>
        <w:jc w:val="left"/>
      </w:pPr>
      <w:r>
        <w:rPr>
          <w:rFonts w:ascii="Times New Roman" w:hAnsi="Times New Roman"/>
          <w:b/>
          <w:i w:val="0"/>
          <w:sz w:val="24"/>
          <w:u w:val="none"/>
        </w:rPr>
        <w:t>1. Objeto del memorando</w:t>
      </w:r>
    </w:p>
    <w:p>
      <w:r>
        <w:rPr>
          <w:rFonts w:ascii="Times New Roman" w:hAnsi="Times New Roman"/>
          <w:b w:val="0"/>
          <w:i w:val="0"/>
          <w:u w:val="none"/>
        </w:rPr>
        <w:t xml:space="preserve">Este memorando cumple una función distinta de la de los demás documentos del expediente. Aquellos son </w:t>
      </w:r>
      <w:r>
        <w:rPr>
          <w:rFonts w:ascii="Times New Roman" w:hAnsi="Times New Roman"/>
          <w:b/>
          <w:i w:val="0"/>
          <w:u w:val="none"/>
        </w:rPr>
        <w:t>instrumentos jurídicos destinados a producir efectos</w:t>
      </w:r>
      <w:r>
        <w:rPr>
          <w:rFonts w:ascii="Times New Roman" w:hAnsi="Times New Roman"/>
          <w:b w:val="0"/>
          <w:i w:val="0"/>
          <w:u w:val="none"/>
        </w:rPr>
        <w:t xml:space="preserve">: el documento privado crea la sociedad, las aceptaciones de cargo permiten inscribir a los administradores, la certificación acredita el capital. Este, en cambio, es un </w:t>
      </w:r>
      <w:r>
        <w:rPr>
          <w:rFonts w:ascii="Times New Roman" w:hAnsi="Times New Roman"/>
          <w:b/>
          <w:i w:val="0"/>
          <w:u w:val="none"/>
        </w:rPr>
        <w:t>documento de sustentación</w:t>
      </w:r>
      <w:r>
        <w:rPr>
          <w:rFonts w:ascii="Times New Roman" w:hAnsi="Times New Roman"/>
          <w:b w:val="0"/>
          <w:i w:val="0"/>
          <w:u w:val="none"/>
        </w:rPr>
        <w:t>: explica por qué cada pieza del expediente existe, cuál es su fundamento normativo, y por qué cada decisión discrecional se tomó en un sentido y no en otro.</w:t>
      </w:r>
    </w:p>
    <w:p>
      <w:r>
        <w:rPr>
          <w:rFonts w:ascii="Times New Roman" w:hAnsi="Times New Roman"/>
          <w:b w:val="0"/>
          <w:i w:val="0"/>
          <w:u w:val="none"/>
        </w:rPr>
        <w:t xml:space="preserve">La distinción importa porque la constitución de una sociedad por acciones simplificada no es un ejercicio de llenar formatos. La Ley 1258 de 2008 desplazó al redactor de estatutos desde la posición de quien transcribe un modelo hacia la de quien </w:t>
      </w:r>
      <w:r>
        <w:rPr>
          <w:rFonts w:ascii="Times New Roman" w:hAnsi="Times New Roman"/>
          <w:b/>
          <w:i w:val="0"/>
          <w:u w:val="none"/>
        </w:rPr>
        <w:t>diseña un régimen contractual</w:t>
      </w:r>
      <w:r>
        <w:rPr>
          <w:rFonts w:ascii="Times New Roman" w:hAnsi="Times New Roman"/>
          <w:b w:val="0"/>
          <w:i w:val="0"/>
          <w:u w:val="none"/>
        </w:rPr>
        <w:t>: donde el Código de Comercio imponía reglas imperativas para la sociedad anónima, la Ley 1258 ofrece reglas supletivas que las partes pueden desplazar. Cada norma supletiva no utilizada es, por lo tanto, una decisión tácita que también debe poder defenderse.</w:t>
      </w:r>
    </w:p>
    <w:p>
      <w:pPr>
        <w:keepNext/>
        <w:spacing w:before="240" w:after="80"/>
        <w:jc w:val="left"/>
      </w:pPr>
      <w:r>
        <w:rPr>
          <w:rFonts w:ascii="Times New Roman" w:hAnsi="Times New Roman"/>
          <w:b/>
          <w:i w:val="0"/>
          <w:sz w:val="24"/>
          <w:u w:val="none"/>
        </w:rPr>
        <w:t>2. Insumo fáctico</w:t>
      </w:r>
    </w:p>
    <w:p>
      <w:r>
        <w:rPr>
          <w:rFonts w:ascii="Times New Roman" w:hAnsi="Times New Roman"/>
          <w:b w:val="0"/>
          <w:i w:val="0"/>
          <w:u w:val="none"/>
        </w:rPr>
        <w:t>La totalidad de la información utilizada proviene del documento "Levantamiento de información para la constitución de sociedad por acciones simplificada", que se resume así:</w:t>
      </w:r>
    </w:p>
    <w:tbl>
      <w:tblPr>
        <w:tblStyle w:val="TableGrid"/>
        <w:tblW w:type="auto" w:w="0"/>
        <w:jc w:val="center"/>
        <w:tblLayout w:type="fixed"/>
        <w:tblLook w:firstColumn="1" w:firstRow="1" w:lastColumn="0" w:lastRow="0" w:noHBand="0" w:noVBand="1" w:val="04A0"/>
        <w:tblW w:w="9121" w:type="dxa"/>
        <w:tblLayout w:type="fixed"/>
      </w:tblPr>
      <w:tblGrid>
        <w:gridCol w:w="3101"/>
        <w:gridCol w:w="6020"/>
      </w:tblGrid>
      <w:tr>
        <w:tc>
          <w:tcPr>
            <w:tcW w:type="dxa" w:w="3101"/>
            <w:shd w:val="clear" w:color="auto" w:fill="D9D9D9"/>
          </w:tcPr>
          <w:p>
            <w:pPr>
              <w:spacing w:after="40" w:before="40" w:line="240" w:lineRule="auto"/>
              <w:jc w:val="center"/>
            </w:pPr>
            <w:r>
              <w:rPr>
                <w:rFonts w:ascii="Times New Roman" w:hAnsi="Times New Roman"/>
                <w:b/>
                <w:i w:val="0"/>
                <w:sz w:val="20"/>
                <w:u w:val="none"/>
              </w:rPr>
              <w:t>Variable</w:t>
            </w:r>
          </w:p>
        </w:tc>
        <w:tc>
          <w:tcPr>
            <w:tcW w:type="dxa" w:w="6020"/>
            <w:shd w:val="clear" w:color="auto" w:fill="D9D9D9"/>
          </w:tcPr>
          <w:p>
            <w:pPr>
              <w:spacing w:after="40" w:before="40" w:line="240" w:lineRule="auto"/>
              <w:jc w:val="center"/>
            </w:pPr>
            <w:r>
              <w:rPr>
                <w:rFonts w:ascii="Times New Roman" w:hAnsi="Times New Roman"/>
                <w:b/>
                <w:i w:val="0"/>
                <w:sz w:val="20"/>
                <w:u w:val="none"/>
              </w:rPr>
              <w:t>Dato del levantamiento</w:t>
            </w:r>
          </w:p>
        </w:tc>
      </w:tr>
      <w:tr>
        <w:tc>
          <w:tcPr>
            <w:tcW w:type="dxa" w:w="3101"/>
          </w:tcPr>
          <w:p>
            <w:pPr>
              <w:spacing w:after="40" w:before="40" w:line="240" w:lineRule="auto"/>
              <w:jc w:val="left"/>
            </w:pPr>
            <w:r>
              <w:rPr>
                <w:rFonts w:ascii="Times New Roman" w:hAnsi="Times New Roman"/>
                <w:b w:val="0"/>
                <w:i w:val="0"/>
                <w:sz w:val="20"/>
                <w:u w:val="none"/>
              </w:rPr>
              <w:t>Accionista 1</w:t>
            </w:r>
          </w:p>
        </w:tc>
        <w:tc>
          <w:tcPr>
            <w:tcW w:type="dxa" w:w="6020"/>
          </w:tcPr>
          <w:p>
            <w:pPr>
              <w:spacing w:after="40" w:before="40" w:line="240" w:lineRule="auto"/>
              <w:jc w:val="left"/>
            </w:pPr>
            <w:r>
              <w:rPr>
                <w:rFonts w:ascii="Times New Roman" w:hAnsi="Times New Roman"/>
                <w:b w:val="0"/>
                <w:i w:val="0"/>
                <w:sz w:val="20"/>
                <w:u w:val="none"/>
              </w:rPr>
              <w:t>Mariana López Castaño, C.C. 1.039.672.481 de Medellín, soltera, domiciliada en Medellín, colombiana, 65 %</w:t>
            </w:r>
          </w:p>
        </w:tc>
      </w:tr>
      <w:tr>
        <w:tc>
          <w:tcPr>
            <w:tcW w:type="dxa" w:w="3101"/>
          </w:tcPr>
          <w:p>
            <w:pPr>
              <w:spacing w:after="40" w:before="40" w:line="240" w:lineRule="auto"/>
              <w:jc w:val="left"/>
            </w:pPr>
            <w:r>
              <w:rPr>
                <w:rFonts w:ascii="Times New Roman" w:hAnsi="Times New Roman"/>
                <w:b w:val="0"/>
                <w:i w:val="0"/>
                <w:sz w:val="20"/>
                <w:u w:val="none"/>
              </w:rPr>
              <w:t>Accionista 2</w:t>
            </w:r>
          </w:p>
        </w:tc>
        <w:tc>
          <w:tcPr>
            <w:tcW w:type="dxa" w:w="6020"/>
          </w:tcPr>
          <w:p>
            <w:pPr>
              <w:spacing w:after="40" w:before="40" w:line="240" w:lineRule="auto"/>
              <w:jc w:val="left"/>
            </w:pPr>
            <w:r>
              <w:rPr>
                <w:rFonts w:ascii="Times New Roman" w:hAnsi="Times New Roman"/>
                <w:b w:val="0"/>
                <w:i w:val="0"/>
                <w:sz w:val="20"/>
                <w:u w:val="none"/>
              </w:rPr>
              <w:t>Felipe Andrés Gómez Vélez, C.C. 1.152.846.390 de Envigado, casado, domiciliado en Envigado, colombiano, 35 %</w:t>
            </w:r>
          </w:p>
        </w:tc>
      </w:tr>
      <w:tr>
        <w:tc>
          <w:tcPr>
            <w:tcW w:type="dxa" w:w="3101"/>
          </w:tcPr>
          <w:p>
            <w:pPr>
              <w:spacing w:after="40" w:before="40" w:line="240" w:lineRule="auto"/>
              <w:jc w:val="left"/>
            </w:pPr>
            <w:r>
              <w:rPr>
                <w:rFonts w:ascii="Times New Roman" w:hAnsi="Times New Roman"/>
                <w:b w:val="0"/>
                <w:i w:val="0"/>
                <w:sz w:val="20"/>
                <w:u w:val="none"/>
              </w:rPr>
              <w:t>Denominación</w:t>
            </w:r>
          </w:p>
        </w:tc>
        <w:tc>
          <w:tcPr>
            <w:tcW w:type="dxa" w:w="6020"/>
          </w:tcPr>
          <w:p>
            <w:pPr>
              <w:spacing w:after="40" w:before="40" w:line="240" w:lineRule="auto"/>
              <w:jc w:val="left"/>
            </w:pPr>
            <w:r>
              <w:rPr>
                <w:rFonts w:ascii="Times New Roman" w:hAnsi="Times New Roman"/>
                <w:b w:val="0"/>
                <w:i w:val="0"/>
                <w:sz w:val="20"/>
                <w:u w:val="none"/>
              </w:rPr>
              <w:t>NOVA BIENESTAR INTEGRAL S.A.S.</w:t>
            </w:r>
          </w:p>
        </w:tc>
      </w:tr>
      <w:tr>
        <w:tc>
          <w:tcPr>
            <w:tcW w:type="dxa" w:w="3101"/>
          </w:tcPr>
          <w:p>
            <w:pPr>
              <w:spacing w:after="40" w:before="40" w:line="240" w:lineRule="auto"/>
              <w:jc w:val="left"/>
            </w:pPr>
            <w:r>
              <w:rPr>
                <w:rFonts w:ascii="Times New Roman" w:hAnsi="Times New Roman"/>
                <w:b w:val="0"/>
                <w:i w:val="0"/>
                <w:sz w:val="20"/>
                <w:u w:val="none"/>
              </w:rPr>
              <w:t>Fecha de constitución</w:t>
            </w:r>
          </w:p>
        </w:tc>
        <w:tc>
          <w:tcPr>
            <w:tcW w:type="dxa" w:w="6020"/>
          </w:tcPr>
          <w:p>
            <w:pPr>
              <w:spacing w:after="40" w:before="40" w:line="240" w:lineRule="auto"/>
              <w:jc w:val="left"/>
            </w:pPr>
            <w:r>
              <w:rPr>
                <w:rFonts w:ascii="Times New Roman" w:hAnsi="Times New Roman"/>
                <w:b w:val="0"/>
                <w:i w:val="0"/>
                <w:sz w:val="20"/>
                <w:u w:val="none"/>
              </w:rPr>
              <w:t>1.º de octubre de 2026</w:t>
            </w:r>
          </w:p>
        </w:tc>
      </w:tr>
      <w:tr>
        <w:tc>
          <w:tcPr>
            <w:tcW w:type="dxa" w:w="3101"/>
          </w:tcPr>
          <w:p>
            <w:pPr>
              <w:spacing w:after="40" w:before="40" w:line="240" w:lineRule="auto"/>
              <w:jc w:val="left"/>
            </w:pPr>
            <w:r>
              <w:rPr>
                <w:rFonts w:ascii="Times New Roman" w:hAnsi="Times New Roman"/>
                <w:b w:val="0"/>
                <w:i w:val="0"/>
                <w:sz w:val="20"/>
                <w:u w:val="none"/>
              </w:rPr>
              <w:t>Actividad económica</w:t>
            </w:r>
          </w:p>
        </w:tc>
        <w:tc>
          <w:tcPr>
            <w:tcW w:type="dxa" w:w="6020"/>
          </w:tcPr>
          <w:p>
            <w:pPr>
              <w:spacing w:after="40" w:before="40" w:line="240" w:lineRule="auto"/>
              <w:jc w:val="left"/>
            </w:pPr>
            <w:r>
              <w:rPr>
                <w:rFonts w:ascii="Times New Roman" w:hAnsi="Times New Roman"/>
                <w:b w:val="0"/>
                <w:i w:val="0"/>
                <w:sz w:val="20"/>
                <w:u w:val="none"/>
              </w:rPr>
              <w:t>Prestación de servicios de bienestar, rehabilitación física y acondicionamiento integral</w:t>
            </w:r>
          </w:p>
        </w:tc>
      </w:tr>
      <w:tr>
        <w:tc>
          <w:tcPr>
            <w:tcW w:type="dxa" w:w="3101"/>
          </w:tcPr>
          <w:p>
            <w:pPr>
              <w:spacing w:after="40" w:before="40" w:line="240" w:lineRule="auto"/>
              <w:jc w:val="left"/>
            </w:pPr>
            <w:r>
              <w:rPr>
                <w:rFonts w:ascii="Times New Roman" w:hAnsi="Times New Roman"/>
                <w:b w:val="0"/>
                <w:i w:val="0"/>
                <w:sz w:val="20"/>
                <w:u w:val="none"/>
              </w:rPr>
              <w:t>Importador / exportador / usuario aduanero</w:t>
            </w:r>
          </w:p>
        </w:tc>
        <w:tc>
          <w:tcPr>
            <w:tcW w:type="dxa" w:w="6020"/>
          </w:tcPr>
          <w:p>
            <w:pPr>
              <w:spacing w:after="40" w:before="40" w:line="240" w:lineRule="auto"/>
              <w:jc w:val="left"/>
            </w:pPr>
            <w:r>
              <w:rPr>
                <w:rFonts w:ascii="Times New Roman" w:hAnsi="Times New Roman"/>
                <w:b w:val="0"/>
                <w:i w:val="0"/>
                <w:sz w:val="20"/>
                <w:u w:val="none"/>
              </w:rPr>
              <w:t>No aplica</w:t>
            </w:r>
          </w:p>
        </w:tc>
      </w:tr>
      <w:tr>
        <w:tc>
          <w:tcPr>
            <w:tcW w:type="dxa" w:w="3101"/>
          </w:tcPr>
          <w:p>
            <w:pPr>
              <w:spacing w:after="40" w:before="40" w:line="240" w:lineRule="auto"/>
              <w:jc w:val="left"/>
            </w:pPr>
            <w:r>
              <w:rPr>
                <w:rFonts w:ascii="Times New Roman" w:hAnsi="Times New Roman"/>
                <w:b w:val="0"/>
                <w:i w:val="0"/>
                <w:sz w:val="20"/>
                <w:u w:val="none"/>
              </w:rPr>
              <w:t>Domicilio y dirección</w:t>
            </w:r>
          </w:p>
        </w:tc>
        <w:tc>
          <w:tcPr>
            <w:tcW w:type="dxa" w:w="6020"/>
          </w:tcPr>
          <w:p>
            <w:pPr>
              <w:spacing w:after="40" w:before="40" w:line="240" w:lineRule="auto"/>
              <w:jc w:val="left"/>
            </w:pPr>
            <w:r>
              <w:rPr>
                <w:rFonts w:ascii="Times New Roman" w:hAnsi="Times New Roman"/>
                <w:b w:val="0"/>
                <w:i w:val="0"/>
                <w:sz w:val="20"/>
                <w:u w:val="none"/>
              </w:rPr>
              <w:t>Carrera 37 n.º 10A-58, oficina 804, Medellín — ubicación: oficina</w:t>
            </w:r>
          </w:p>
        </w:tc>
      </w:tr>
      <w:tr>
        <w:tc>
          <w:tcPr>
            <w:tcW w:type="dxa" w:w="3101"/>
          </w:tcPr>
          <w:p>
            <w:pPr>
              <w:spacing w:after="40" w:before="40" w:line="240" w:lineRule="auto"/>
              <w:jc w:val="left"/>
            </w:pPr>
            <w:r>
              <w:rPr>
                <w:rFonts w:ascii="Times New Roman" w:hAnsi="Times New Roman"/>
                <w:b w:val="0"/>
                <w:i w:val="0"/>
                <w:sz w:val="20"/>
                <w:u w:val="none"/>
              </w:rPr>
              <w:t>Teléfono y correo</w:t>
            </w:r>
          </w:p>
        </w:tc>
        <w:tc>
          <w:tcPr>
            <w:tcW w:type="dxa" w:w="6020"/>
          </w:tcPr>
          <w:p>
            <w:pPr>
              <w:spacing w:after="40" w:before="40" w:line="240" w:lineRule="auto"/>
              <w:jc w:val="left"/>
            </w:pPr>
            <w:r>
              <w:rPr>
                <w:rFonts w:ascii="Times New Roman" w:hAnsi="Times New Roman"/>
                <w:b w:val="0"/>
                <w:i w:val="0"/>
                <w:sz w:val="20"/>
                <w:u w:val="none"/>
              </w:rPr>
              <w:t>315 684 9271 — contacto@novabienestarintegral.com</w:t>
            </w:r>
          </w:p>
        </w:tc>
      </w:tr>
      <w:tr>
        <w:tc>
          <w:tcPr>
            <w:tcW w:type="dxa" w:w="3101"/>
          </w:tcPr>
          <w:p>
            <w:pPr>
              <w:spacing w:after="40" w:before="40" w:line="240" w:lineRule="auto"/>
              <w:jc w:val="left"/>
            </w:pPr>
            <w:r>
              <w:rPr>
                <w:rFonts w:ascii="Times New Roman" w:hAnsi="Times New Roman"/>
                <w:b w:val="0"/>
                <w:i w:val="0"/>
                <w:sz w:val="20"/>
                <w:u w:val="none"/>
              </w:rPr>
              <w:t>Representante legal</w:t>
            </w:r>
          </w:p>
        </w:tc>
        <w:tc>
          <w:tcPr>
            <w:tcW w:type="dxa" w:w="6020"/>
          </w:tcPr>
          <w:p>
            <w:pPr>
              <w:spacing w:after="40" w:before="40" w:line="240" w:lineRule="auto"/>
              <w:jc w:val="left"/>
            </w:pPr>
            <w:r>
              <w:rPr>
                <w:rFonts w:ascii="Times New Roman" w:hAnsi="Times New Roman"/>
                <w:b w:val="0"/>
                <w:i w:val="0"/>
                <w:sz w:val="20"/>
                <w:u w:val="none"/>
              </w:rPr>
              <w:t>Mariana López Castaño</w:t>
            </w:r>
          </w:p>
        </w:tc>
      </w:tr>
      <w:tr>
        <w:tc>
          <w:tcPr>
            <w:tcW w:type="dxa" w:w="3101"/>
          </w:tcPr>
          <w:p>
            <w:pPr>
              <w:spacing w:after="40" w:before="40" w:line="240" w:lineRule="auto"/>
              <w:jc w:val="left"/>
            </w:pPr>
            <w:r>
              <w:rPr>
                <w:rFonts w:ascii="Times New Roman" w:hAnsi="Times New Roman"/>
                <w:b w:val="0"/>
                <w:i w:val="0"/>
                <w:sz w:val="20"/>
                <w:u w:val="none"/>
              </w:rPr>
              <w:t>Representante legal suplente</w:t>
            </w:r>
          </w:p>
        </w:tc>
        <w:tc>
          <w:tcPr>
            <w:tcW w:type="dxa" w:w="6020"/>
          </w:tcPr>
          <w:p>
            <w:pPr>
              <w:spacing w:after="40" w:before="40" w:line="240" w:lineRule="auto"/>
              <w:jc w:val="left"/>
            </w:pPr>
            <w:r>
              <w:rPr>
                <w:rFonts w:ascii="Times New Roman" w:hAnsi="Times New Roman"/>
                <w:b w:val="0"/>
                <w:i w:val="0"/>
                <w:sz w:val="20"/>
                <w:u w:val="none"/>
              </w:rPr>
              <w:t>Felipe Andrés Gómez Vélez</w:t>
            </w:r>
          </w:p>
        </w:tc>
      </w:tr>
      <w:tr>
        <w:tc>
          <w:tcPr>
            <w:tcW w:type="dxa" w:w="3101"/>
          </w:tcPr>
          <w:p>
            <w:pPr>
              <w:spacing w:after="40" w:before="40" w:line="240" w:lineRule="auto"/>
              <w:jc w:val="left"/>
            </w:pPr>
            <w:r>
              <w:rPr>
                <w:rFonts w:ascii="Times New Roman" w:hAnsi="Times New Roman"/>
                <w:b w:val="0"/>
                <w:i w:val="0"/>
                <w:sz w:val="20"/>
                <w:u w:val="none"/>
              </w:rPr>
              <w:t>Ley 1780 de 2016</w:t>
            </w:r>
          </w:p>
        </w:tc>
        <w:tc>
          <w:tcPr>
            <w:tcW w:type="dxa" w:w="6020"/>
          </w:tcPr>
          <w:p>
            <w:pPr>
              <w:spacing w:after="40" w:before="40" w:line="240" w:lineRule="auto"/>
              <w:jc w:val="left"/>
            </w:pPr>
            <w:r>
              <w:rPr>
                <w:rFonts w:ascii="Times New Roman" w:hAnsi="Times New Roman"/>
                <w:b w:val="0"/>
                <w:i w:val="0"/>
                <w:sz w:val="20"/>
                <w:u w:val="none"/>
              </w:rPr>
              <w:t>Sí: Mariana tiene 30 años y es titular del 65 % de las acciones</w:t>
            </w:r>
          </w:p>
        </w:tc>
      </w:tr>
      <w:tr>
        <w:tc>
          <w:tcPr>
            <w:tcW w:type="dxa" w:w="3101"/>
          </w:tcPr>
          <w:p>
            <w:pPr>
              <w:spacing w:after="40" w:before="40" w:line="240" w:lineRule="auto"/>
              <w:jc w:val="left"/>
            </w:pPr>
            <w:r>
              <w:rPr>
                <w:rFonts w:ascii="Times New Roman" w:hAnsi="Times New Roman"/>
                <w:b w:val="0"/>
                <w:i w:val="0"/>
                <w:sz w:val="20"/>
                <w:u w:val="none"/>
              </w:rPr>
              <w:t>Trabajadores</w:t>
            </w:r>
          </w:p>
        </w:tc>
        <w:tc>
          <w:tcPr>
            <w:tcW w:type="dxa" w:w="6020"/>
          </w:tcPr>
          <w:p>
            <w:pPr>
              <w:spacing w:after="40" w:before="40" w:line="240" w:lineRule="auto"/>
              <w:jc w:val="left"/>
            </w:pPr>
            <w:r>
              <w:rPr>
                <w:rFonts w:ascii="Times New Roman" w:hAnsi="Times New Roman"/>
                <w:b w:val="0"/>
                <w:i w:val="0"/>
                <w:sz w:val="20"/>
                <w:u w:val="none"/>
              </w:rPr>
              <w:t>9 en total; 5 mujeres; 2 mujeres en cargos directivos; 0 % temporales</w:t>
            </w:r>
          </w:p>
        </w:tc>
      </w:tr>
      <w:tr>
        <w:tc>
          <w:tcPr>
            <w:tcW w:type="dxa" w:w="3101"/>
          </w:tcPr>
          <w:p>
            <w:pPr>
              <w:spacing w:after="40" w:before="40" w:line="240" w:lineRule="auto"/>
              <w:jc w:val="left"/>
            </w:pPr>
            <w:r>
              <w:rPr>
                <w:rFonts w:ascii="Times New Roman" w:hAnsi="Times New Roman"/>
                <w:b w:val="0"/>
                <w:i w:val="0"/>
                <w:sz w:val="20"/>
                <w:u w:val="none"/>
              </w:rPr>
              <w:t>Establecimiento de comercio</w:t>
            </w:r>
          </w:p>
        </w:tc>
        <w:tc>
          <w:tcPr>
            <w:tcW w:type="dxa" w:w="6020"/>
          </w:tcPr>
          <w:p>
            <w:pPr>
              <w:spacing w:after="40" w:before="40" w:line="240" w:lineRule="auto"/>
              <w:jc w:val="left"/>
            </w:pPr>
            <w:r>
              <w:rPr>
                <w:rFonts w:ascii="Times New Roman" w:hAnsi="Times New Roman"/>
                <w:b w:val="0"/>
                <w:i w:val="0"/>
                <w:sz w:val="20"/>
                <w:u w:val="none"/>
              </w:rPr>
              <w:t>Sí — "NOVA BIENESTAR", activos $55.000.000</w:t>
            </w:r>
          </w:p>
        </w:tc>
      </w:tr>
      <w:tr>
        <w:tc>
          <w:tcPr>
            <w:tcW w:type="dxa" w:w="3101"/>
          </w:tcPr>
          <w:p>
            <w:pPr>
              <w:spacing w:after="40" w:before="40" w:line="240" w:lineRule="auto"/>
              <w:jc w:val="left"/>
            </w:pPr>
            <w:r>
              <w:rPr>
                <w:rFonts w:ascii="Times New Roman" w:hAnsi="Times New Roman"/>
                <w:b w:val="0"/>
                <w:i w:val="0"/>
                <w:sz w:val="20"/>
                <w:u w:val="none"/>
              </w:rPr>
              <w:t>Innovación</w:t>
            </w:r>
          </w:p>
        </w:tc>
        <w:tc>
          <w:tcPr>
            <w:tcW w:type="dxa" w:w="6020"/>
          </w:tcPr>
          <w:p>
            <w:pPr>
              <w:spacing w:after="40" w:before="40" w:line="240" w:lineRule="auto"/>
              <w:jc w:val="left"/>
            </w:pPr>
            <w:r>
              <w:rPr>
                <w:rFonts w:ascii="Times New Roman" w:hAnsi="Times New Roman"/>
                <w:b w:val="0"/>
                <w:i w:val="0"/>
                <w:sz w:val="20"/>
                <w:u w:val="none"/>
              </w:rPr>
              <w:t>No</w:t>
            </w:r>
          </w:p>
        </w:tc>
      </w:tr>
      <w:tr>
        <w:tc>
          <w:tcPr>
            <w:tcW w:type="dxa" w:w="3101"/>
          </w:tcPr>
          <w:p>
            <w:pPr>
              <w:spacing w:after="40" w:before="40" w:line="240" w:lineRule="auto"/>
              <w:jc w:val="left"/>
            </w:pPr>
            <w:r>
              <w:rPr>
                <w:rFonts w:ascii="Times New Roman" w:hAnsi="Times New Roman"/>
                <w:b w:val="0"/>
                <w:i w:val="0"/>
                <w:sz w:val="20"/>
                <w:u w:val="none"/>
              </w:rPr>
              <w:t>Capital autorizado</w:t>
            </w:r>
          </w:p>
        </w:tc>
        <w:tc>
          <w:tcPr>
            <w:tcW w:type="dxa" w:w="6020"/>
          </w:tcPr>
          <w:p>
            <w:pPr>
              <w:spacing w:after="40" w:before="40" w:line="240" w:lineRule="auto"/>
              <w:jc w:val="left"/>
            </w:pPr>
            <w:r>
              <w:rPr>
                <w:rFonts w:ascii="Times New Roman" w:hAnsi="Times New Roman"/>
                <w:b w:val="0"/>
                <w:i w:val="0"/>
                <w:sz w:val="20"/>
                <w:u w:val="none"/>
              </w:rPr>
              <w:t>$1.200.000.000</w:t>
            </w:r>
          </w:p>
        </w:tc>
      </w:tr>
      <w:tr>
        <w:tc>
          <w:tcPr>
            <w:tcW w:type="dxa" w:w="3101"/>
          </w:tcPr>
          <w:p>
            <w:pPr>
              <w:spacing w:after="40" w:before="40" w:line="240" w:lineRule="auto"/>
              <w:jc w:val="left"/>
            </w:pPr>
            <w:r>
              <w:rPr>
                <w:rFonts w:ascii="Times New Roman" w:hAnsi="Times New Roman"/>
                <w:b w:val="0"/>
                <w:i w:val="0"/>
                <w:sz w:val="20"/>
                <w:u w:val="none"/>
              </w:rPr>
              <w:t>Capital suscrito y pagado</w:t>
            </w:r>
          </w:p>
        </w:tc>
        <w:tc>
          <w:tcPr>
            <w:tcW w:type="dxa" w:w="6020"/>
          </w:tcPr>
          <w:p>
            <w:pPr>
              <w:spacing w:after="40" w:before="40" w:line="240" w:lineRule="auto"/>
              <w:jc w:val="left"/>
            </w:pPr>
            <w:r>
              <w:rPr>
                <w:rFonts w:ascii="Times New Roman" w:hAnsi="Times New Roman"/>
                <w:b w:val="0"/>
                <w:i w:val="0"/>
                <w:sz w:val="20"/>
                <w:u w:val="none"/>
              </w:rPr>
              <w:t>$600.000.000 (con mención de un plazo de 2 años)</w:t>
            </w:r>
          </w:p>
        </w:tc>
      </w:tr>
      <w:tr>
        <w:tc>
          <w:tcPr>
            <w:tcW w:type="dxa" w:w="3101"/>
          </w:tcPr>
          <w:p>
            <w:pPr>
              <w:spacing w:after="40" w:before="40" w:line="240" w:lineRule="auto"/>
              <w:jc w:val="left"/>
            </w:pPr>
            <w:r>
              <w:rPr>
                <w:rFonts w:ascii="Times New Roman" w:hAnsi="Times New Roman"/>
                <w:b w:val="0"/>
                <w:i w:val="0"/>
                <w:sz w:val="20"/>
                <w:u w:val="none"/>
              </w:rPr>
              <w:t>Valor nominal de la acción</w:t>
            </w:r>
          </w:p>
        </w:tc>
        <w:tc>
          <w:tcPr>
            <w:tcW w:type="dxa" w:w="6020"/>
          </w:tcPr>
          <w:p>
            <w:pPr>
              <w:spacing w:after="40" w:before="40" w:line="240" w:lineRule="auto"/>
              <w:jc w:val="left"/>
            </w:pPr>
            <w:r>
              <w:rPr>
                <w:rFonts w:ascii="Times New Roman" w:hAnsi="Times New Roman"/>
                <w:b w:val="0"/>
                <w:i w:val="0"/>
                <w:sz w:val="20"/>
                <w:u w:val="none"/>
              </w:rPr>
              <w:t>$1.000</w:t>
            </w:r>
          </w:p>
        </w:tc>
      </w:tr>
    </w:tbl>
    <w:p>
      <w:pPr>
        <w:spacing w:after="80"/>
      </w:pPr>
    </w:p>
    <w:p>
      <w:pPr>
        <w:keepNext/>
        <w:spacing w:before="240" w:after="80"/>
        <w:jc w:val="left"/>
      </w:pPr>
      <w:r>
        <w:rPr>
          <w:rFonts w:ascii="Times New Roman" w:hAnsi="Times New Roman"/>
          <w:b/>
          <w:i w:val="0"/>
          <w:sz w:val="24"/>
          <w:u w:val="none"/>
        </w:rPr>
        <w:t>3. Metodología</w:t>
      </w:r>
    </w:p>
    <w:p>
      <w:r>
        <w:rPr>
          <w:rFonts w:ascii="Times New Roman" w:hAnsi="Times New Roman"/>
          <w:b w:val="0"/>
          <w:i w:val="0"/>
          <w:u w:val="none"/>
        </w:rPr>
        <w:t xml:space="preserve">El trabajo se desarrolló en cuatro fases. </w:t>
      </w:r>
      <w:r>
        <w:rPr>
          <w:rFonts w:ascii="Times New Roman" w:hAnsi="Times New Roman"/>
          <w:b/>
          <w:i w:val="0"/>
          <w:u w:val="none"/>
        </w:rPr>
        <w:t>Primera</w:t>
      </w:r>
      <w:r>
        <w:rPr>
          <w:rFonts w:ascii="Times New Roman" w:hAnsi="Times New Roman"/>
          <w:b w:val="0"/>
          <w:i w:val="0"/>
          <w:u w:val="none"/>
        </w:rPr>
        <w:t xml:space="preserve">, la identificación de las decisiones jurídicas que el levantamiento no resuelve y que el redactor debe adoptar. </w:t>
      </w:r>
      <w:r>
        <w:rPr>
          <w:rFonts w:ascii="Times New Roman" w:hAnsi="Times New Roman"/>
          <w:b/>
          <w:i w:val="0"/>
          <w:u w:val="none"/>
        </w:rPr>
        <w:t>Segunda</w:t>
      </w:r>
      <w:r>
        <w:rPr>
          <w:rFonts w:ascii="Times New Roman" w:hAnsi="Times New Roman"/>
          <w:b w:val="0"/>
          <w:i w:val="0"/>
          <w:u w:val="none"/>
        </w:rPr>
        <w:t xml:space="preserve">, la consulta del marco normativo aplicable y de la doctrina de la Superintendencia de Sociedades sobre los puntos controvertidos. </w:t>
      </w:r>
      <w:r>
        <w:rPr>
          <w:rFonts w:ascii="Times New Roman" w:hAnsi="Times New Roman"/>
          <w:b/>
          <w:i w:val="0"/>
          <w:u w:val="none"/>
        </w:rPr>
        <w:t>Tercera</w:t>
      </w:r>
      <w:r>
        <w:rPr>
          <w:rFonts w:ascii="Times New Roman" w:hAnsi="Times New Roman"/>
          <w:b w:val="0"/>
          <w:i w:val="0"/>
          <w:u w:val="none"/>
        </w:rPr>
        <w:t xml:space="preserve">, la verificación de los requisitos registrales de la Cámara de Comercio de Medellín para Antioquia, que es la competente por razón del domicilio social. </w:t>
      </w:r>
      <w:r>
        <w:rPr>
          <w:rFonts w:ascii="Times New Roman" w:hAnsi="Times New Roman"/>
          <w:b/>
          <w:i w:val="0"/>
          <w:u w:val="none"/>
        </w:rPr>
        <w:t>Cuarta</w:t>
      </w:r>
      <w:r>
        <w:rPr>
          <w:rFonts w:ascii="Times New Roman" w:hAnsi="Times New Roman"/>
          <w:b w:val="0"/>
          <w:i w:val="0"/>
          <w:u w:val="none"/>
        </w:rPr>
        <w:t>, la redacción de los documentos y la elaboración de esta sustentación.</w:t>
      </w:r>
    </w:p>
    <w:p>
      <w:pPr>
        <w:keepNext/>
        <w:spacing w:before="320" w:after="160"/>
        <w:jc w:val="center"/>
      </w:pPr>
      <w:r>
        <w:rPr>
          <w:rFonts w:ascii="Times New Roman" w:hAnsi="Times New Roman"/>
          <w:b/>
          <w:i w:val="0"/>
          <w:sz w:val="24"/>
          <w:u w:val="none"/>
        </w:rPr>
        <w:t>II. MARCO NORMATIVO APLICABLE</w:t>
      </w:r>
    </w:p>
    <w:p>
      <w:r>
        <w:rPr>
          <w:rFonts w:ascii="Times New Roman" w:hAnsi="Times New Roman"/>
          <w:b w:val="0"/>
          <w:i w:val="0"/>
          <w:u w:val="none"/>
        </w:rPr>
        <w:t xml:space="preserve">El orden de prelación normativa de la sociedad por acciones simplificada está fijado en el </w:t>
      </w:r>
      <w:r>
        <w:rPr>
          <w:rFonts w:ascii="Times New Roman" w:hAnsi="Times New Roman"/>
          <w:b/>
          <w:i w:val="0"/>
          <w:u w:val="none"/>
        </w:rPr>
        <w:t>artículo 45 de la Ley 1258 de 2008</w:t>
      </w:r>
      <w:r>
        <w:rPr>
          <w:rFonts w:ascii="Times New Roman" w:hAnsi="Times New Roman"/>
          <w:b w:val="0"/>
          <w:i w:val="0"/>
          <w:u w:val="none"/>
        </w:rPr>
        <w:t xml:space="preserve">: primero la Ley 1258; luego los estatutos; en su defecto, las normas de la sociedad anónima; y en último término, las disposiciones generales del Código de Comercio. Este orden explica buena parte de las decisiones adoptadas: cuando la Ley 1258 guarda silencio y la norma de la anónima es </w:t>
      </w:r>
      <w:r>
        <w:rPr>
          <w:rFonts w:ascii="Times New Roman" w:hAnsi="Times New Roman"/>
          <w:b/>
          <w:i w:val="0"/>
          <w:u w:val="none"/>
        </w:rPr>
        <w:t>imperativa</w:t>
      </w:r>
      <w:r>
        <w:rPr>
          <w:rFonts w:ascii="Times New Roman" w:hAnsi="Times New Roman"/>
          <w:b w:val="0"/>
          <w:i w:val="0"/>
          <w:u w:val="none"/>
        </w:rPr>
        <w:t xml:space="preserve"> —no dispositiva—, la doctrina de la Superintendencia de Sociedades sostiene que no se traslada automáticamente a la S.A.S., de modo que la materia queda entregada a los estatutos.</w:t>
      </w:r>
    </w:p>
    <w:tbl>
      <w:tblPr>
        <w:tblStyle w:val="TableGrid"/>
        <w:tblW w:type="auto" w:w="0"/>
        <w:jc w:val="center"/>
        <w:tblLayout w:type="fixed"/>
        <w:tblLook w:firstColumn="1" w:firstRow="1" w:lastColumn="0" w:lastRow="0" w:noHBand="0" w:noVBand="1" w:val="04A0"/>
        <w:tblW w:w="9122" w:type="dxa"/>
        <w:tblLayout w:type="fixed"/>
      </w:tblPr>
      <w:tblGrid>
        <w:gridCol w:w="2737"/>
        <w:gridCol w:w="6385"/>
      </w:tblGrid>
      <w:tr>
        <w:tc>
          <w:tcPr>
            <w:tcW w:type="dxa" w:w="2737"/>
            <w:shd w:val="clear" w:color="auto" w:fill="D9D9D9"/>
          </w:tcPr>
          <w:p>
            <w:pPr>
              <w:spacing w:after="40" w:before="40" w:line="240" w:lineRule="auto"/>
              <w:jc w:val="center"/>
            </w:pPr>
            <w:r>
              <w:rPr>
                <w:rFonts w:ascii="Times New Roman" w:hAnsi="Times New Roman"/>
                <w:b/>
                <w:i w:val="0"/>
                <w:sz w:val="20"/>
                <w:u w:val="none"/>
              </w:rPr>
              <w:t>Norma</w:t>
            </w:r>
          </w:p>
        </w:tc>
        <w:tc>
          <w:tcPr>
            <w:tcW w:type="dxa" w:w="6385"/>
            <w:shd w:val="clear" w:color="auto" w:fill="D9D9D9"/>
          </w:tcPr>
          <w:p>
            <w:pPr>
              <w:spacing w:after="40" w:before="40" w:line="240" w:lineRule="auto"/>
              <w:jc w:val="center"/>
            </w:pPr>
            <w:r>
              <w:rPr>
                <w:rFonts w:ascii="Times New Roman" w:hAnsi="Times New Roman"/>
                <w:b/>
                <w:i w:val="0"/>
                <w:sz w:val="20"/>
                <w:u w:val="none"/>
              </w:rPr>
              <w:t>Materia regulada</w:t>
            </w:r>
          </w:p>
        </w:tc>
      </w:tr>
      <w:tr>
        <w:tc>
          <w:tcPr>
            <w:tcW w:type="dxa" w:w="2737"/>
          </w:tcPr>
          <w:p>
            <w:pPr>
              <w:spacing w:after="40" w:before="40" w:line="240" w:lineRule="auto"/>
              <w:jc w:val="left"/>
            </w:pPr>
            <w:r>
              <w:rPr>
                <w:rFonts w:ascii="Times New Roman" w:hAnsi="Times New Roman"/>
                <w:b w:val="0"/>
                <w:i w:val="0"/>
                <w:sz w:val="20"/>
                <w:u w:val="none"/>
              </w:rPr>
              <w:t>Ley 1258 de 2008</w:t>
            </w:r>
          </w:p>
        </w:tc>
        <w:tc>
          <w:tcPr>
            <w:tcW w:type="dxa" w:w="6385"/>
          </w:tcPr>
          <w:p>
            <w:pPr>
              <w:spacing w:after="40" w:before="40" w:line="240" w:lineRule="auto"/>
              <w:jc w:val="left"/>
            </w:pPr>
            <w:r>
              <w:rPr>
                <w:rFonts w:ascii="Times New Roman" w:hAnsi="Times New Roman"/>
                <w:b w:val="0"/>
                <w:i w:val="0"/>
                <w:sz w:val="20"/>
                <w:u w:val="none"/>
              </w:rPr>
              <w:t>Régimen integral de la sociedad por acciones simplificada</w:t>
            </w:r>
          </w:p>
        </w:tc>
      </w:tr>
      <w:tr>
        <w:tc>
          <w:tcPr>
            <w:tcW w:type="dxa" w:w="2737"/>
          </w:tcPr>
          <w:p>
            <w:pPr>
              <w:spacing w:after="40" w:before="40" w:line="240" w:lineRule="auto"/>
              <w:jc w:val="left"/>
            </w:pPr>
            <w:r>
              <w:rPr>
                <w:rFonts w:ascii="Times New Roman" w:hAnsi="Times New Roman"/>
                <w:b w:val="0"/>
                <w:i w:val="0"/>
                <w:sz w:val="20"/>
                <w:u w:val="none"/>
              </w:rPr>
              <w:t>Código de Comercio (Decreto 410 de 1971)</w:t>
            </w:r>
          </w:p>
        </w:tc>
        <w:tc>
          <w:tcPr>
            <w:tcW w:type="dxa" w:w="6385"/>
          </w:tcPr>
          <w:p>
            <w:pPr>
              <w:spacing w:after="40" w:before="40" w:line="240" w:lineRule="auto"/>
              <w:jc w:val="left"/>
            </w:pPr>
            <w:r>
              <w:rPr>
                <w:rFonts w:ascii="Times New Roman" w:hAnsi="Times New Roman"/>
                <w:b w:val="0"/>
                <w:i w:val="0"/>
                <w:sz w:val="20"/>
                <w:u w:val="none"/>
              </w:rPr>
              <w:t>Registro mercantil, establecimientos de comercio, acciones, actas, liquidación</w:t>
            </w:r>
          </w:p>
        </w:tc>
      </w:tr>
      <w:tr>
        <w:tc>
          <w:tcPr>
            <w:tcW w:type="dxa" w:w="2737"/>
          </w:tcPr>
          <w:p>
            <w:pPr>
              <w:spacing w:after="40" w:before="40" w:line="240" w:lineRule="auto"/>
              <w:jc w:val="left"/>
            </w:pPr>
            <w:r>
              <w:rPr>
                <w:rFonts w:ascii="Times New Roman" w:hAnsi="Times New Roman"/>
                <w:b w:val="0"/>
                <w:i w:val="0"/>
                <w:sz w:val="20"/>
                <w:u w:val="none"/>
              </w:rPr>
              <w:t>Ley 222 de 1995</w:t>
            </w:r>
          </w:p>
        </w:tc>
        <w:tc>
          <w:tcPr>
            <w:tcW w:type="dxa" w:w="6385"/>
          </w:tcPr>
          <w:p>
            <w:pPr>
              <w:spacing w:after="40" w:before="40" w:line="240" w:lineRule="auto"/>
              <w:jc w:val="left"/>
            </w:pPr>
            <w:r>
              <w:rPr>
                <w:rFonts w:ascii="Times New Roman" w:hAnsi="Times New Roman"/>
                <w:b w:val="0"/>
                <w:i w:val="0"/>
                <w:sz w:val="20"/>
                <w:u w:val="none"/>
              </w:rPr>
              <w:t>Deberes de los administradores, derecho de inspección, reuniones no presenciales y voto por escrito</w:t>
            </w:r>
          </w:p>
        </w:tc>
      </w:tr>
      <w:tr>
        <w:tc>
          <w:tcPr>
            <w:tcW w:type="dxa" w:w="2737"/>
          </w:tcPr>
          <w:p>
            <w:pPr>
              <w:spacing w:after="40" w:before="40" w:line="240" w:lineRule="auto"/>
              <w:jc w:val="left"/>
            </w:pPr>
            <w:r>
              <w:rPr>
                <w:rFonts w:ascii="Times New Roman" w:hAnsi="Times New Roman"/>
                <w:b w:val="0"/>
                <w:i w:val="0"/>
                <w:sz w:val="20"/>
                <w:u w:val="none"/>
              </w:rPr>
              <w:t>Decreto Ley 2150 de 1995, artículo 42</w:t>
            </w:r>
          </w:p>
        </w:tc>
        <w:tc>
          <w:tcPr>
            <w:tcW w:type="dxa" w:w="6385"/>
          </w:tcPr>
          <w:p>
            <w:pPr>
              <w:spacing w:after="40" w:before="40" w:line="240" w:lineRule="auto"/>
              <w:jc w:val="left"/>
            </w:pPr>
            <w:r>
              <w:rPr>
                <w:rFonts w:ascii="Times New Roman" w:hAnsi="Times New Roman"/>
                <w:b w:val="0"/>
                <w:i w:val="0"/>
                <w:sz w:val="20"/>
                <w:u w:val="none"/>
              </w:rPr>
              <w:t>Aceptación previa de los administradores designados</w:t>
            </w:r>
          </w:p>
        </w:tc>
      </w:tr>
      <w:tr>
        <w:tc>
          <w:tcPr>
            <w:tcW w:type="dxa" w:w="2737"/>
          </w:tcPr>
          <w:p>
            <w:pPr>
              <w:spacing w:after="40" w:before="40" w:line="240" w:lineRule="auto"/>
              <w:jc w:val="left"/>
            </w:pPr>
            <w:r>
              <w:rPr>
                <w:rFonts w:ascii="Times New Roman" w:hAnsi="Times New Roman"/>
                <w:b w:val="0"/>
                <w:i w:val="0"/>
                <w:sz w:val="20"/>
                <w:u w:val="none"/>
              </w:rPr>
              <w:t>Decreto Ley 019 de 2012, artículo 175</w:t>
            </w:r>
          </w:p>
        </w:tc>
        <w:tc>
          <w:tcPr>
            <w:tcW w:type="dxa" w:w="6385"/>
          </w:tcPr>
          <w:p>
            <w:pPr>
              <w:spacing w:after="40" w:before="40" w:line="240" w:lineRule="auto"/>
              <w:jc w:val="left"/>
            </w:pPr>
            <w:r>
              <w:rPr>
                <w:rFonts w:ascii="Times New Roman" w:hAnsi="Times New Roman"/>
                <w:b w:val="0"/>
                <w:i w:val="0"/>
                <w:sz w:val="20"/>
                <w:u w:val="none"/>
              </w:rPr>
              <w:t>Libros sujetos a inscripción en el registro mercantil</w:t>
            </w:r>
          </w:p>
        </w:tc>
      </w:tr>
      <w:tr>
        <w:tc>
          <w:tcPr>
            <w:tcW w:type="dxa" w:w="2737"/>
          </w:tcPr>
          <w:p>
            <w:pPr>
              <w:spacing w:after="40" w:before="40" w:line="240" w:lineRule="auto"/>
              <w:jc w:val="left"/>
            </w:pPr>
            <w:r>
              <w:rPr>
                <w:rFonts w:ascii="Times New Roman" w:hAnsi="Times New Roman"/>
                <w:b w:val="0"/>
                <w:i w:val="0"/>
                <w:sz w:val="20"/>
                <w:u w:val="none"/>
              </w:rPr>
              <w:t>Ley 1780 de 2016 y Decreto 639 de 2017</w:t>
            </w:r>
          </w:p>
        </w:tc>
        <w:tc>
          <w:tcPr>
            <w:tcW w:type="dxa" w:w="6385"/>
          </w:tcPr>
          <w:p>
            <w:pPr>
              <w:spacing w:after="40" w:before="40" w:line="240" w:lineRule="auto"/>
              <w:jc w:val="left"/>
            </w:pPr>
            <w:r>
              <w:rPr>
                <w:rFonts w:ascii="Times New Roman" w:hAnsi="Times New Roman"/>
                <w:b w:val="0"/>
                <w:i w:val="0"/>
                <w:sz w:val="20"/>
                <w:u w:val="none"/>
              </w:rPr>
              <w:t>Exención del pago de la matrícula mercantil para pequeñas empresas jóvenes</w:t>
            </w:r>
          </w:p>
        </w:tc>
      </w:tr>
      <w:tr>
        <w:tc>
          <w:tcPr>
            <w:tcW w:type="dxa" w:w="2737"/>
          </w:tcPr>
          <w:p>
            <w:pPr>
              <w:spacing w:after="40" w:before="40" w:line="240" w:lineRule="auto"/>
              <w:jc w:val="left"/>
            </w:pPr>
            <w:r>
              <w:rPr>
                <w:rFonts w:ascii="Times New Roman" w:hAnsi="Times New Roman"/>
                <w:b w:val="0"/>
                <w:i w:val="0"/>
                <w:sz w:val="20"/>
                <w:u w:val="none"/>
              </w:rPr>
              <w:t>Ley 2069 de 2020</w:t>
            </w:r>
          </w:p>
        </w:tc>
        <w:tc>
          <w:tcPr>
            <w:tcW w:type="dxa" w:w="6385"/>
          </w:tcPr>
          <w:p>
            <w:pPr>
              <w:spacing w:after="40" w:before="40" w:line="240" w:lineRule="auto"/>
              <w:jc w:val="left"/>
            </w:pPr>
            <w:r>
              <w:rPr>
                <w:rFonts w:ascii="Times New Roman" w:hAnsi="Times New Roman"/>
                <w:b w:val="0"/>
                <w:i w:val="0"/>
                <w:sz w:val="20"/>
                <w:u w:val="none"/>
              </w:rPr>
              <w:t>Causal de disolución por no cumplimiento de la hipótesis de negocio en marcha; medidas de emprendimiento</w:t>
            </w:r>
          </w:p>
        </w:tc>
      </w:tr>
      <w:tr>
        <w:tc>
          <w:tcPr>
            <w:tcW w:type="dxa" w:w="2737"/>
          </w:tcPr>
          <w:p>
            <w:pPr>
              <w:spacing w:after="40" w:before="40" w:line="240" w:lineRule="auto"/>
              <w:jc w:val="left"/>
            </w:pPr>
            <w:r>
              <w:rPr>
                <w:rFonts w:ascii="Times New Roman" w:hAnsi="Times New Roman"/>
                <w:b w:val="0"/>
                <w:i w:val="0"/>
                <w:sz w:val="20"/>
                <w:u w:val="none"/>
              </w:rPr>
              <w:t>Ley 223 de 1995 y Decreto 650 de 1996</w:t>
            </w:r>
          </w:p>
        </w:tc>
        <w:tc>
          <w:tcPr>
            <w:tcW w:type="dxa" w:w="6385"/>
          </w:tcPr>
          <w:p>
            <w:pPr>
              <w:spacing w:after="40" w:before="40" w:line="240" w:lineRule="auto"/>
              <w:jc w:val="left"/>
            </w:pPr>
            <w:r>
              <w:rPr>
                <w:rFonts w:ascii="Times New Roman" w:hAnsi="Times New Roman"/>
                <w:b w:val="0"/>
                <w:i w:val="0"/>
                <w:sz w:val="20"/>
                <w:u w:val="none"/>
              </w:rPr>
              <w:t>Impuesto de registro y su base gravable</w:t>
            </w:r>
          </w:p>
        </w:tc>
      </w:tr>
      <w:tr>
        <w:tc>
          <w:tcPr>
            <w:tcW w:type="dxa" w:w="2737"/>
          </w:tcPr>
          <w:p>
            <w:pPr>
              <w:spacing w:after="40" w:before="40" w:line="240" w:lineRule="auto"/>
              <w:jc w:val="left"/>
            </w:pPr>
            <w:r>
              <w:rPr>
                <w:rFonts w:ascii="Times New Roman" w:hAnsi="Times New Roman"/>
                <w:b w:val="0"/>
                <w:i w:val="0"/>
                <w:sz w:val="20"/>
                <w:u w:val="none"/>
              </w:rPr>
              <w:t>Decreto 1074 de 2015, modificado por el Decreto 045 de 2024</w:t>
            </w:r>
          </w:p>
        </w:tc>
        <w:tc>
          <w:tcPr>
            <w:tcW w:type="dxa" w:w="6385"/>
          </w:tcPr>
          <w:p>
            <w:pPr>
              <w:spacing w:after="40" w:before="40" w:line="240" w:lineRule="auto"/>
              <w:jc w:val="left"/>
            </w:pPr>
            <w:r>
              <w:rPr>
                <w:rFonts w:ascii="Times New Roman" w:hAnsi="Times New Roman"/>
                <w:b w:val="0"/>
                <w:i w:val="0"/>
                <w:sz w:val="20"/>
                <w:u w:val="none"/>
              </w:rPr>
              <w:t>Tarifas de los registros públicos</w:t>
            </w:r>
          </w:p>
        </w:tc>
      </w:tr>
      <w:tr>
        <w:tc>
          <w:tcPr>
            <w:tcW w:type="dxa" w:w="2737"/>
          </w:tcPr>
          <w:p>
            <w:pPr>
              <w:spacing w:after="40" w:before="40" w:line="240" w:lineRule="auto"/>
              <w:jc w:val="left"/>
            </w:pPr>
            <w:r>
              <w:rPr>
                <w:rFonts w:ascii="Times New Roman" w:hAnsi="Times New Roman"/>
                <w:b w:val="0"/>
                <w:i w:val="0"/>
                <w:sz w:val="20"/>
                <w:u w:val="none"/>
              </w:rPr>
              <w:t>Ley 43 de 1990, artículo 13, parágrafo 2.º</w:t>
            </w:r>
          </w:p>
        </w:tc>
        <w:tc>
          <w:tcPr>
            <w:tcW w:type="dxa" w:w="6385"/>
          </w:tcPr>
          <w:p>
            <w:pPr>
              <w:spacing w:after="40" w:before="40" w:line="240" w:lineRule="auto"/>
              <w:jc w:val="left"/>
            </w:pPr>
            <w:r>
              <w:rPr>
                <w:rFonts w:ascii="Times New Roman" w:hAnsi="Times New Roman"/>
                <w:b w:val="0"/>
                <w:i w:val="0"/>
                <w:sz w:val="20"/>
                <w:u w:val="none"/>
              </w:rPr>
              <w:t>Umbrales de obligatoriedad de la revisoría fiscal</w:t>
            </w:r>
          </w:p>
        </w:tc>
      </w:tr>
      <w:tr>
        <w:tc>
          <w:tcPr>
            <w:tcW w:type="dxa" w:w="2737"/>
          </w:tcPr>
          <w:p>
            <w:pPr>
              <w:spacing w:after="40" w:before="40" w:line="240" w:lineRule="auto"/>
              <w:jc w:val="left"/>
            </w:pPr>
            <w:r>
              <w:rPr>
                <w:rFonts w:ascii="Times New Roman" w:hAnsi="Times New Roman"/>
                <w:b w:val="0"/>
                <w:i w:val="0"/>
                <w:sz w:val="20"/>
                <w:u w:val="none"/>
              </w:rPr>
              <w:t>Ley 1563 de 2012</w:t>
            </w:r>
          </w:p>
        </w:tc>
        <w:tc>
          <w:tcPr>
            <w:tcW w:type="dxa" w:w="6385"/>
          </w:tcPr>
          <w:p>
            <w:pPr>
              <w:spacing w:after="40" w:before="40" w:line="240" w:lineRule="auto"/>
              <w:jc w:val="left"/>
            </w:pPr>
            <w:r>
              <w:rPr>
                <w:rFonts w:ascii="Times New Roman" w:hAnsi="Times New Roman"/>
                <w:b w:val="0"/>
                <w:i w:val="0"/>
                <w:sz w:val="20"/>
                <w:u w:val="none"/>
              </w:rPr>
              <w:t>Estatuto de arbitraje nacional e internacional</w:t>
            </w:r>
          </w:p>
        </w:tc>
      </w:tr>
      <w:tr>
        <w:tc>
          <w:tcPr>
            <w:tcW w:type="dxa" w:w="2737"/>
          </w:tcPr>
          <w:p>
            <w:pPr>
              <w:spacing w:after="40" w:before="40" w:line="240" w:lineRule="auto"/>
              <w:jc w:val="left"/>
            </w:pPr>
            <w:r>
              <w:rPr>
                <w:rFonts w:ascii="Times New Roman" w:hAnsi="Times New Roman"/>
                <w:b w:val="0"/>
                <w:i w:val="0"/>
                <w:sz w:val="20"/>
                <w:u w:val="none"/>
              </w:rPr>
              <w:t>Resolución 3100 de 2019 del Ministerio de Salud</w:t>
            </w:r>
          </w:p>
        </w:tc>
        <w:tc>
          <w:tcPr>
            <w:tcW w:type="dxa" w:w="6385"/>
          </w:tcPr>
          <w:p>
            <w:pPr>
              <w:spacing w:after="40" w:before="40" w:line="240" w:lineRule="auto"/>
              <w:jc w:val="left"/>
            </w:pPr>
            <w:r>
              <w:rPr>
                <w:rFonts w:ascii="Times New Roman" w:hAnsi="Times New Roman"/>
                <w:b w:val="0"/>
                <w:i w:val="0"/>
                <w:sz w:val="20"/>
                <w:u w:val="none"/>
              </w:rPr>
              <w:t>Habilitación de servicios de salud e inscripción en el REPS</w:t>
            </w:r>
          </w:p>
        </w:tc>
      </w:tr>
      <w:tr>
        <w:tc>
          <w:tcPr>
            <w:tcW w:type="dxa" w:w="2737"/>
          </w:tcPr>
          <w:p>
            <w:pPr>
              <w:spacing w:after="40" w:before="40" w:line="240" w:lineRule="auto"/>
              <w:jc w:val="left"/>
            </w:pPr>
            <w:r>
              <w:rPr>
                <w:rFonts w:ascii="Times New Roman" w:hAnsi="Times New Roman"/>
                <w:b w:val="0"/>
                <w:i w:val="0"/>
                <w:sz w:val="20"/>
                <w:u w:val="none"/>
              </w:rPr>
              <w:t>Ley 1581 de 2012</w:t>
            </w:r>
          </w:p>
        </w:tc>
        <w:tc>
          <w:tcPr>
            <w:tcW w:type="dxa" w:w="6385"/>
          </w:tcPr>
          <w:p>
            <w:pPr>
              <w:spacing w:after="40" w:before="40" w:line="240" w:lineRule="auto"/>
              <w:jc w:val="left"/>
            </w:pPr>
            <w:r>
              <w:rPr>
                <w:rFonts w:ascii="Times New Roman" w:hAnsi="Times New Roman"/>
                <w:b w:val="0"/>
                <w:i w:val="0"/>
                <w:sz w:val="20"/>
                <w:u w:val="none"/>
              </w:rPr>
              <w:t>Protección de datos personales, incluidos los datos sensibles de salud</w:t>
            </w:r>
          </w:p>
        </w:tc>
      </w:tr>
    </w:tbl>
    <w:p>
      <w:pPr>
        <w:spacing w:after="80"/>
      </w:pPr>
    </w:p>
    <w:p>
      <w:pPr>
        <w:keepNext/>
        <w:spacing w:before="320" w:after="160"/>
        <w:jc w:val="center"/>
      </w:pPr>
      <w:r>
        <w:rPr>
          <w:rFonts w:ascii="Times New Roman" w:hAnsi="Times New Roman"/>
          <w:b/>
          <w:i w:val="0"/>
          <w:sz w:val="24"/>
          <w:u w:val="none"/>
        </w:rPr>
        <w:t>III. POR QUÉ UNA SOCIEDAD POR ACCIONES SIMPLIFICADA</w:t>
      </w:r>
    </w:p>
    <w:p>
      <w:r>
        <w:rPr>
          <w:rFonts w:ascii="Times New Roman" w:hAnsi="Times New Roman"/>
          <w:b w:val="0"/>
          <w:i w:val="0"/>
          <w:u w:val="none"/>
        </w:rPr>
        <w:t>Aunque el levantamiento impone el tipo societario, la elección admite justificación técnica, y esa justificación condiciona la redacción de los estatutos. Cuatro razones sostienen la idoneidad de la S.A.S. para este proyecto:</w:t>
      </w:r>
    </w:p>
    <w:p>
      <w:r>
        <w:rPr>
          <w:rFonts w:ascii="Times New Roman" w:hAnsi="Times New Roman"/>
          <w:b/>
          <w:i w:val="0"/>
          <w:u w:val="none"/>
        </w:rPr>
        <w:t>Primera — la forma del acto constitutivo.</w:t>
      </w:r>
      <w:r>
        <w:rPr>
          <w:rFonts w:ascii="Times New Roman" w:hAnsi="Times New Roman"/>
          <w:b w:val="0"/>
          <w:i w:val="0"/>
          <w:u w:val="none"/>
        </w:rPr>
        <w:t xml:space="preserve"> La S.A.S. es el único tipo societario colombiano que puede constituirse por </w:t>
      </w:r>
      <w:r>
        <w:rPr>
          <w:rFonts w:ascii="Times New Roman" w:hAnsi="Times New Roman"/>
          <w:b/>
          <w:i w:val="0"/>
          <w:u w:val="none"/>
        </w:rPr>
        <w:t>documento privado</w:t>
      </w:r>
      <w:r>
        <w:rPr>
          <w:rFonts w:ascii="Times New Roman" w:hAnsi="Times New Roman"/>
          <w:b w:val="0"/>
          <w:i w:val="0"/>
          <w:u w:val="none"/>
        </w:rPr>
        <w:t xml:space="preserve"> (artículo 5.º de la Ley 1258 de 2008), sin necesidad de escritura pública. Para un proyecto con capital pagado de $600.000.000 y aportes exclusivamente dinerarios, esto elimina el costo notarial de la escritura y acelera el trámite. La excepción está en el parágrafo 2.º del artículo 5.º: si se aportaran bienes cuya transferencia exija escritura pública —un inmueble, por ejemplo—, la constitución tendría que hacerse por escritura. No es el caso.</w:t>
      </w:r>
    </w:p>
    <w:p>
      <w:r>
        <w:rPr>
          <w:rFonts w:ascii="Times New Roman" w:hAnsi="Times New Roman"/>
          <w:b/>
          <w:i w:val="0"/>
          <w:u w:val="none"/>
        </w:rPr>
        <w:t>Segunda — la limitación de responsabilidad.</w:t>
      </w:r>
      <w:r>
        <w:rPr>
          <w:rFonts w:ascii="Times New Roman" w:hAnsi="Times New Roman"/>
          <w:b w:val="0"/>
          <w:i w:val="0"/>
          <w:u w:val="none"/>
        </w:rPr>
        <w:t xml:space="preserve"> El artículo 1.º de la Ley 1258 establece que el accionista responde hasta el monto de sus aportes y </w:t>
      </w:r>
      <w:r>
        <w:rPr>
          <w:rFonts w:ascii="Times New Roman" w:hAnsi="Times New Roman"/>
          <w:b/>
          <w:i w:val="0"/>
          <w:u w:val="none"/>
        </w:rPr>
        <w:t>no responde por las obligaciones laborales o tributarias</w:t>
      </w:r>
      <w:r>
        <w:rPr>
          <w:rFonts w:ascii="Times New Roman" w:hAnsi="Times New Roman"/>
          <w:b w:val="0"/>
          <w:i w:val="0"/>
          <w:u w:val="none"/>
        </w:rPr>
        <w:t xml:space="preserve"> de la sociedad. Esta última precisión es determinante en un negocio que iniciará con nueve trabajadores y que presta servicios susceptibles de generar responsabilidad civil por daños al usuario. En una sociedad colectiva o en comandita simple, los socios gestores responderían solidariamente.</w:t>
      </w:r>
    </w:p>
    <w:p>
      <w:r>
        <w:rPr>
          <w:rFonts w:ascii="Times New Roman" w:hAnsi="Times New Roman"/>
          <w:b/>
          <w:i w:val="0"/>
          <w:u w:val="none"/>
        </w:rPr>
        <w:t>Tercera — la libertad de configuración del gobierno corporativo.</w:t>
      </w:r>
      <w:r>
        <w:rPr>
          <w:rFonts w:ascii="Times New Roman" w:hAnsi="Times New Roman"/>
          <w:b w:val="0"/>
          <w:i w:val="0"/>
          <w:u w:val="none"/>
        </w:rPr>
        <w:t xml:space="preserve"> El artículo 25 permite prescindir de junta directiva; el artículo 17 permite pactar libremente la estructura orgánica; el artículo 22 fija un quórum flexible; el artículo 13 admite restricciones a la negociación de acciones que en la anónima serían discutibles. Para una sociedad de dos accionistas con participaciones desiguales, esta flexibilidad es precisamente lo que permite construir un equilibrio de poder que la ley no ofrece por defecto.</w:t>
      </w:r>
    </w:p>
    <w:p>
      <w:r>
        <w:rPr>
          <w:rFonts w:ascii="Times New Roman" w:hAnsi="Times New Roman"/>
          <w:b/>
          <w:i w:val="0"/>
          <w:u w:val="none"/>
        </w:rPr>
        <w:t>Cuarta — el régimen de capital.</w:t>
      </w:r>
      <w:r>
        <w:rPr>
          <w:rFonts w:ascii="Times New Roman" w:hAnsi="Times New Roman"/>
          <w:b w:val="0"/>
          <w:i w:val="0"/>
          <w:u w:val="none"/>
        </w:rPr>
        <w:t xml:space="preserve"> El artículo 9.º libera a la S.A.S. de las proporciones del artículo 376 del Código de Comercio, que exige a la anónima suscribir no menos del cincuenta por ciento del capital autorizado y pagar no menos de la tercera parte del suscrito. En la S.A.S. la única restricción es temporal: el pago no puede diferirse más de dos años.</w:t>
      </w:r>
    </w:p>
    <w:p>
      <w:r>
        <w:rPr>
          <w:rFonts w:ascii="Times New Roman" w:hAnsi="Times New Roman"/>
          <w:b w:val="0"/>
          <w:i w:val="0"/>
          <w:u w:val="none"/>
        </w:rPr>
        <w:t xml:space="preserve">Frente a las alternativas: la </w:t>
      </w:r>
      <w:r>
        <w:rPr>
          <w:rFonts w:ascii="Times New Roman" w:hAnsi="Times New Roman"/>
          <w:b/>
          <w:i w:val="0"/>
          <w:u w:val="none"/>
        </w:rPr>
        <w:t>sociedad de responsabilidad limitada</w:t>
      </w:r>
      <w:r>
        <w:rPr>
          <w:rFonts w:ascii="Times New Roman" w:hAnsi="Times New Roman"/>
          <w:b w:val="0"/>
          <w:i w:val="0"/>
          <w:u w:val="none"/>
        </w:rPr>
        <w:t xml:space="preserve"> habría exigido escritura pública, sujetaría la cesión de cuotas a reforma estatutaria y mantiene la responsabilidad solidaria de los socios por obligaciones laborales y fiscales; la </w:t>
      </w:r>
      <w:r>
        <w:rPr>
          <w:rFonts w:ascii="Times New Roman" w:hAnsi="Times New Roman"/>
          <w:b/>
          <w:i w:val="0"/>
          <w:u w:val="none"/>
        </w:rPr>
        <w:t>sociedad anónima</w:t>
      </w:r>
      <w:r>
        <w:rPr>
          <w:rFonts w:ascii="Times New Roman" w:hAnsi="Times New Roman"/>
          <w:b w:val="0"/>
          <w:i w:val="0"/>
          <w:u w:val="none"/>
        </w:rPr>
        <w:t xml:space="preserve"> habría impuesto junta directiva, revisor fiscal obligatorio y un mínimo de cinco accionistas. Ninguna se ajusta al caso.</w:t>
      </w:r>
    </w:p>
    <w:p>
      <w:pPr>
        <w:keepNext/>
        <w:spacing w:before="320" w:after="160"/>
        <w:jc w:val="center"/>
      </w:pPr>
      <w:r>
        <w:rPr>
          <w:rFonts w:ascii="Times New Roman" w:hAnsi="Times New Roman"/>
          <w:b/>
          <w:i w:val="0"/>
          <w:sz w:val="24"/>
          <w:u w:val="none"/>
        </w:rPr>
        <w:t>IV. LOS DOCUMENTOS DEL EXPEDIENTE Y LA RAZÓN DE CADA UNO</w:t>
      </w:r>
    </w:p>
    <w:p>
      <w:r>
        <w:rPr>
          <w:rFonts w:ascii="Times New Roman" w:hAnsi="Times New Roman"/>
          <w:b w:val="0"/>
          <w:i w:val="0"/>
          <w:u w:val="none"/>
        </w:rPr>
        <w:t xml:space="preserve">Esta sección responde a la pregunta que la profesora formula con mayor frecuencia: </w:t>
      </w:r>
      <w:r>
        <w:rPr>
          <w:rFonts w:ascii="Times New Roman" w:hAnsi="Times New Roman"/>
          <w:b/>
          <w:i w:val="0"/>
          <w:u w:val="none"/>
        </w:rPr>
        <w:t>por qué cada documento existe y qué ocurre si falta</w:t>
      </w:r>
      <w:r>
        <w:rPr>
          <w:rFonts w:ascii="Times New Roman" w:hAnsi="Times New Roman"/>
          <w:b w:val="0"/>
          <w:i w:val="0"/>
          <w:u w:val="none"/>
        </w:rPr>
        <w:t>.</w:t>
      </w:r>
    </w:p>
    <w:p>
      <w:pPr>
        <w:keepNext/>
        <w:spacing w:before="240" w:after="80"/>
        <w:jc w:val="left"/>
      </w:pPr>
      <w:r>
        <w:rPr>
          <w:rFonts w:ascii="Times New Roman" w:hAnsi="Times New Roman"/>
          <w:b/>
          <w:i w:val="0"/>
          <w:sz w:val="24"/>
          <w:u w:val="none"/>
        </w:rPr>
        <w:t>1. Documento privado de constitución (estatutos)</w:t>
      </w:r>
    </w:p>
    <w:p>
      <w:r>
        <w:rPr>
          <w:rFonts w:ascii="Times New Roman" w:hAnsi="Times New Roman"/>
          <w:b/>
          <w:i w:val="0"/>
          <w:u w:val="none"/>
        </w:rPr>
        <w:t>Qué es.</w:t>
      </w:r>
      <w:r>
        <w:rPr>
          <w:rFonts w:ascii="Times New Roman" w:hAnsi="Times New Roman"/>
          <w:b w:val="0"/>
          <w:i w:val="0"/>
          <w:u w:val="none"/>
        </w:rPr>
        <w:t xml:space="preserve"> Es el acto jurídico que da origen a la sociedad. Contiene simultáneamente el contrato de sociedad —acuerdo de voluntades entre dos personas— y los estatutos que regirán su funcionamiento.</w:t>
      </w:r>
    </w:p>
    <w:p>
      <w:r>
        <w:rPr>
          <w:rFonts w:ascii="Times New Roman" w:hAnsi="Times New Roman"/>
          <w:b/>
          <w:i w:val="0"/>
          <w:u w:val="none"/>
        </w:rPr>
        <w:t>Fundamento.</w:t>
      </w:r>
      <w:r>
        <w:rPr>
          <w:rFonts w:ascii="Times New Roman" w:hAnsi="Times New Roman"/>
          <w:b w:val="0"/>
          <w:i w:val="0"/>
          <w:u w:val="none"/>
        </w:rPr>
        <w:t xml:space="preserve"> Artículo 5.º de la Ley 1258 de 2008. La norma exige siete menciones obligatorias, cuya ausencia habilita a la Cámara de Comercio para abstenerse de inscribir el documento, conforme al </w:t>
      </w:r>
      <w:r>
        <w:rPr>
          <w:rFonts w:ascii="Times New Roman" w:hAnsi="Times New Roman"/>
          <w:b/>
          <w:i w:val="0"/>
          <w:u w:val="none"/>
        </w:rPr>
        <w:t>artículo 6.º</w:t>
      </w:r>
      <w:r>
        <w:rPr>
          <w:rFonts w:ascii="Times New Roman" w:hAnsi="Times New Roman"/>
          <w:b w:val="0"/>
          <w:i w:val="0"/>
          <w:u w:val="none"/>
        </w:rPr>
        <w:t xml:space="preserve"> de la misma ley, que le impone verificar la conformidad de las estipulaciones con la ley.</w:t>
      </w:r>
    </w:p>
    <w:p>
      <w:r>
        <w:rPr>
          <w:rFonts w:ascii="Times New Roman" w:hAnsi="Times New Roman"/>
          <w:b/>
          <w:i w:val="0"/>
          <w:u w:val="none"/>
        </w:rPr>
        <w:t>Consecuencia de su ausencia o defecto.</w:t>
      </w:r>
      <w:r>
        <w:rPr>
          <w:rFonts w:ascii="Times New Roman" w:hAnsi="Times New Roman"/>
          <w:b w:val="0"/>
          <w:i w:val="0"/>
          <w:u w:val="none"/>
        </w:rPr>
        <w:t xml:space="preserve"> Sin inscripción no hay personalidad jurídica: el artículo 2.º condiciona el nacimiento del ente a la inscripción registral. Y mientras esta no se produzca, quienes actúen por cuenta de la sociedad responden </w:t>
      </w:r>
      <w:r>
        <w:rPr>
          <w:rFonts w:ascii="Times New Roman" w:hAnsi="Times New Roman"/>
          <w:b/>
          <w:i w:val="0"/>
          <w:u w:val="none"/>
        </w:rPr>
        <w:t>solidaria e ilimitadamente</w:t>
      </w:r>
      <w:r>
        <w:rPr>
          <w:rFonts w:ascii="Times New Roman" w:hAnsi="Times New Roman"/>
          <w:b w:val="0"/>
          <w:i w:val="0"/>
          <w:u w:val="none"/>
        </w:rPr>
        <w:t xml:space="preserve"> frente a terceros, según el </w:t>
      </w:r>
      <w:r>
        <w:rPr>
          <w:rFonts w:ascii="Times New Roman" w:hAnsi="Times New Roman"/>
          <w:b/>
          <w:i w:val="0"/>
          <w:u w:val="none"/>
        </w:rPr>
        <w:t>artículo 7.º</w:t>
      </w:r>
      <w:r>
        <w:rPr>
          <w:rFonts w:ascii="Times New Roman" w:hAnsi="Times New Roman"/>
          <w:b w:val="0"/>
          <w:i w:val="0"/>
          <w:u w:val="none"/>
        </w:rPr>
        <w:t>. Este es el riesgo concreto que corren los accionistas si empiezan a operar antes de matricularse.</w:t>
      </w:r>
    </w:p>
    <w:p>
      <w:pPr>
        <w:keepNext/>
        <w:spacing w:before="240" w:after="80"/>
        <w:jc w:val="left"/>
      </w:pPr>
      <w:r>
        <w:rPr>
          <w:rFonts w:ascii="Times New Roman" w:hAnsi="Times New Roman"/>
          <w:b/>
          <w:i w:val="0"/>
          <w:sz w:val="24"/>
          <w:u w:val="none"/>
        </w:rPr>
        <w:t>2. Cartas de aceptación de los cargos</w:t>
      </w:r>
    </w:p>
    <w:p>
      <w:r>
        <w:rPr>
          <w:rFonts w:ascii="Times New Roman" w:hAnsi="Times New Roman"/>
          <w:b/>
          <w:i w:val="0"/>
          <w:u w:val="none"/>
        </w:rPr>
        <w:t>Qué son.</w:t>
      </w:r>
      <w:r>
        <w:rPr>
          <w:rFonts w:ascii="Times New Roman" w:hAnsi="Times New Roman"/>
          <w:b w:val="0"/>
          <w:i w:val="0"/>
          <w:u w:val="none"/>
        </w:rPr>
        <w:t xml:space="preserve"> Manifestaciones unilaterales, escritas y expresas, mediante las cuales las personas designadas como administradores aceptan el cargo.</w:t>
      </w:r>
    </w:p>
    <w:p>
      <w:r>
        <w:rPr>
          <w:rFonts w:ascii="Times New Roman" w:hAnsi="Times New Roman"/>
          <w:b/>
          <w:i w:val="0"/>
          <w:u w:val="none"/>
        </w:rPr>
        <w:t>Fundamento.</w:t>
      </w:r>
      <w:r>
        <w:rPr>
          <w:rFonts w:ascii="Times New Roman" w:hAnsi="Times New Roman"/>
          <w:b w:val="0"/>
          <w:i w:val="0"/>
          <w:u w:val="none"/>
        </w:rPr>
        <w:t xml:space="preserve"> Artículo 42 del Decreto Ley 2150 de 1995: "para la inscripción de nombramientos de administradores y revisores fiscales se requerirá la aceptación previa de las personas designadas". La exigencia protege dos intereses: el del designado, que no puede ser investido de un cargo con responsabilidad personal sin su consentimiento; y el de los terceros, que necesitan certeza sobre quién los representa.</w:t>
      </w:r>
    </w:p>
    <w:p>
      <w:r>
        <w:rPr>
          <w:rFonts w:ascii="Times New Roman" w:hAnsi="Times New Roman"/>
          <w:b/>
          <w:i w:val="0"/>
          <w:u w:val="none"/>
        </w:rPr>
        <w:t>Por qué se elaboran dos y no una.</w:t>
      </w:r>
      <w:r>
        <w:rPr>
          <w:rFonts w:ascii="Times New Roman" w:hAnsi="Times New Roman"/>
          <w:b w:val="0"/>
          <w:i w:val="0"/>
          <w:u w:val="none"/>
        </w:rPr>
        <w:t xml:space="preserve"> Porque son dos los administradores designados —principal y suplente— y la aceptación es un acto personalísimo. Un solo documento firmado por ambos sería igualmente válido, pero se separan para facilitar su tramitación independiente en caso de cambio de uno de ellos.</w:t>
      </w:r>
    </w:p>
    <w:p>
      <w:r>
        <w:rPr>
          <w:rFonts w:ascii="Times New Roman" w:hAnsi="Times New Roman"/>
          <w:b/>
          <w:i w:val="0"/>
          <w:u w:val="none"/>
        </w:rPr>
        <w:t>Consecuencia de su ausencia.</w:t>
      </w:r>
      <w:r>
        <w:rPr>
          <w:rFonts w:ascii="Times New Roman" w:hAnsi="Times New Roman"/>
          <w:b w:val="0"/>
          <w:i w:val="0"/>
          <w:u w:val="none"/>
        </w:rPr>
        <w:t xml:space="preserve"> La Cámara devuelve el trámite y no inscribe el nombramiento. La sociedad quedaría inscrita sin representante legal registrado, con la consiguiente imposibilidad práctica de contratar, abrir cuentas bancarias u obtener el RUT.</w:t>
      </w:r>
    </w:p>
    <w:p>
      <w:pPr>
        <w:keepNext/>
        <w:spacing w:before="240" w:after="80"/>
        <w:jc w:val="left"/>
      </w:pPr>
      <w:r>
        <w:rPr>
          <w:rFonts w:ascii="Times New Roman" w:hAnsi="Times New Roman"/>
          <w:b/>
          <w:i w:val="0"/>
          <w:sz w:val="24"/>
          <w:u w:val="none"/>
        </w:rPr>
        <w:t>3. Certificación de pago del capital suscrito</w:t>
      </w:r>
    </w:p>
    <w:p>
      <w:r>
        <w:rPr>
          <w:rFonts w:ascii="Times New Roman" w:hAnsi="Times New Roman"/>
          <w:b/>
          <w:i w:val="0"/>
          <w:u w:val="none"/>
        </w:rPr>
        <w:t>Qué es.</w:t>
      </w:r>
      <w:r>
        <w:rPr>
          <w:rFonts w:ascii="Times New Roman" w:hAnsi="Times New Roman"/>
          <w:b w:val="0"/>
          <w:i w:val="0"/>
          <w:u w:val="none"/>
        </w:rPr>
        <w:t xml:space="preserve"> Documento suscrito por el representante legal y por un contador público que acredita la efectiva integración del capital declarado.</w:t>
      </w:r>
    </w:p>
    <w:p>
      <w:r>
        <w:rPr>
          <w:rFonts w:ascii="Times New Roman" w:hAnsi="Times New Roman"/>
          <w:b/>
          <w:i w:val="0"/>
          <w:u w:val="none"/>
        </w:rPr>
        <w:t>Por qué se incorpora.</w:t>
      </w:r>
      <w:r>
        <w:rPr>
          <w:rFonts w:ascii="Times New Roman" w:hAnsi="Times New Roman"/>
          <w:b w:val="0"/>
          <w:i w:val="0"/>
          <w:u w:val="none"/>
        </w:rPr>
        <w:t xml:space="preserve"> El levantamiento declara un capital "suscrito y pagado" de $600.000.000. Los formularios del RUES exigen reportar por separado los tres capitales y el total de activos. La certificación es el soporte contable de esa declaración y, además, el documento que permite acreditar ante la Cámara que los activos totales de la sociedad no superan los cinco mil salarios mínimos, requisito del beneficio de la Ley 1780. Como la sociedad no tiene revisor fiscal, la certificación la expide un </w:t>
      </w:r>
      <w:r>
        <w:rPr>
          <w:rFonts w:ascii="Times New Roman" w:hAnsi="Times New Roman"/>
          <w:b/>
          <w:i w:val="0"/>
          <w:u w:val="none"/>
        </w:rPr>
        <w:t>contador público independiente</w:t>
      </w:r>
      <w:r>
        <w:rPr>
          <w:rFonts w:ascii="Times New Roman" w:hAnsi="Times New Roman"/>
          <w:b w:val="0"/>
          <w:i w:val="0"/>
          <w:u w:val="none"/>
        </w:rPr>
        <w:t>, según lo autoriza el parágrafo del artículo 28 de la Ley 1258 de 2008.</w:t>
      </w:r>
    </w:p>
    <w:p>
      <w:pPr>
        <w:keepNext/>
        <w:spacing w:before="240" w:after="80"/>
        <w:jc w:val="left"/>
      </w:pPr>
      <w:r>
        <w:rPr>
          <w:rFonts w:ascii="Times New Roman" w:hAnsi="Times New Roman"/>
          <w:b/>
          <w:i w:val="0"/>
          <w:sz w:val="24"/>
          <w:u w:val="none"/>
        </w:rPr>
        <w:t>4. Declaración juramentada de la Ley 1780 de 2016</w:t>
      </w:r>
    </w:p>
    <w:p>
      <w:r>
        <w:rPr>
          <w:rFonts w:ascii="Times New Roman" w:hAnsi="Times New Roman"/>
          <w:b/>
          <w:i w:val="0"/>
          <w:u w:val="none"/>
        </w:rPr>
        <w:t>Qué es.</w:t>
      </w:r>
      <w:r>
        <w:rPr>
          <w:rFonts w:ascii="Times New Roman" w:hAnsi="Times New Roman"/>
          <w:b w:val="0"/>
          <w:i w:val="0"/>
          <w:u w:val="none"/>
        </w:rPr>
        <w:t xml:space="preserve"> Manifestación bajo juramento de que la sociedad reúne los tres requisitos de la "pequeña empresa joven".</w:t>
      </w:r>
    </w:p>
    <w:p>
      <w:r>
        <w:rPr>
          <w:rFonts w:ascii="Times New Roman" w:hAnsi="Times New Roman"/>
          <w:b/>
          <w:i w:val="0"/>
          <w:u w:val="none"/>
        </w:rPr>
        <w:t>Por qué se incorpora.</w:t>
      </w:r>
      <w:r>
        <w:rPr>
          <w:rFonts w:ascii="Times New Roman" w:hAnsi="Times New Roman"/>
          <w:b w:val="0"/>
          <w:i w:val="0"/>
          <w:u w:val="none"/>
        </w:rPr>
        <w:t xml:space="preserve"> El levantamiento afirma expresamente que la sociedad cumple la condición del rango etario. El beneficio del artículo 3.º de la Ley 1780 no opera de oficio: debe solicitarse y acreditarse. Omitir esta declaración implicaría pagar unos derechos de matrícula de los que la sociedad está exenta.</w:t>
      </w:r>
    </w:p>
    <w:p>
      <w:pPr>
        <w:keepNext/>
        <w:spacing w:before="240" w:after="80"/>
        <w:jc w:val="left"/>
      </w:pPr>
      <w:r>
        <w:rPr>
          <w:rFonts w:ascii="Times New Roman" w:hAnsi="Times New Roman"/>
          <w:b/>
          <w:i w:val="0"/>
          <w:sz w:val="24"/>
          <w:u w:val="none"/>
        </w:rPr>
        <w:t>5. Guía de diligenciamiento de formularios y liquidación de derechos</w:t>
      </w:r>
    </w:p>
    <w:p>
      <w:r>
        <w:rPr>
          <w:rFonts w:ascii="Times New Roman" w:hAnsi="Times New Roman"/>
          <w:b/>
          <w:i w:val="0"/>
          <w:u w:val="none"/>
        </w:rPr>
        <w:t>Qué es.</w:t>
      </w:r>
      <w:r>
        <w:rPr>
          <w:rFonts w:ascii="Times New Roman" w:hAnsi="Times New Roman"/>
          <w:b w:val="0"/>
          <w:i w:val="0"/>
          <w:u w:val="none"/>
        </w:rPr>
        <w:t xml:space="preserve"> Instrumento de trabajo que traduce el levantamiento a los campos concretos de cada formulario y liquida el costo del trámite.</w:t>
      </w:r>
    </w:p>
    <w:p>
      <w:r>
        <w:rPr>
          <w:rFonts w:ascii="Times New Roman" w:hAnsi="Times New Roman"/>
          <w:b/>
          <w:i w:val="0"/>
          <w:u w:val="none"/>
        </w:rPr>
        <w:t>Por qué se incorpora.</w:t>
      </w:r>
      <w:r>
        <w:rPr>
          <w:rFonts w:ascii="Times New Roman" w:hAnsi="Times New Roman"/>
          <w:b w:val="0"/>
          <w:i w:val="0"/>
          <w:u w:val="none"/>
        </w:rPr>
        <w:t xml:space="preserve"> Porque los formularios del RUES no son documentos que el abogado redacte: son formatos preimpresos que se diligencian en la sede virtual de la Cámara o en taquilla. Lo que sí corresponde al abogado es </w:t>
      </w:r>
      <w:r>
        <w:rPr>
          <w:rFonts w:ascii="Times New Roman" w:hAnsi="Times New Roman"/>
          <w:b/>
          <w:i w:val="0"/>
          <w:u w:val="none"/>
        </w:rPr>
        <w:t>determinar qué valor va en cada campo</w:t>
      </w:r>
      <w:r>
        <w:rPr>
          <w:rFonts w:ascii="Times New Roman" w:hAnsi="Times New Roman"/>
          <w:b w:val="0"/>
          <w:i w:val="0"/>
          <w:u w:val="none"/>
        </w:rPr>
        <w:t xml:space="preserve"> y anticipar los puntos de devolución. La guía cumple esa función y evita el error más frecuente del trámite: la discrepancia entre la razón social o el teléfono registrados en el RUT y los registrados en el RUES.</w:t>
      </w:r>
    </w:p>
    <w:p>
      <w:pPr>
        <w:keepNext/>
        <w:spacing w:before="240" w:after="80"/>
        <w:jc w:val="left"/>
      </w:pPr>
      <w:r>
        <w:rPr>
          <w:rFonts w:ascii="Times New Roman" w:hAnsi="Times New Roman"/>
          <w:b/>
          <w:i w:val="0"/>
          <w:sz w:val="24"/>
          <w:u w:val="none"/>
        </w:rPr>
        <w:t>6. Solicitud de inscripción de libros de comercio y libro de registro de accionistas</w:t>
      </w:r>
    </w:p>
    <w:p>
      <w:r>
        <w:rPr>
          <w:rFonts w:ascii="Times New Roman" w:hAnsi="Times New Roman"/>
          <w:b/>
          <w:i w:val="0"/>
          <w:u w:val="none"/>
        </w:rPr>
        <w:t>Qué son.</w:t>
      </w:r>
      <w:r>
        <w:rPr>
          <w:rFonts w:ascii="Times New Roman" w:hAnsi="Times New Roman"/>
          <w:b w:val="0"/>
          <w:i w:val="0"/>
          <w:u w:val="none"/>
        </w:rPr>
        <w:t xml:space="preserve"> La solicitud es la petición escrita mediante la cual el representante legal pide a la Cámara la inscripción de los libros sujetos a registro. El folio del libro de registro de accionistas es la primera anotación de ese libro, que documenta la titularidad inicial de las acciones.</w:t>
      </w:r>
    </w:p>
    <w:p>
      <w:r>
        <w:rPr>
          <w:rFonts w:ascii="Times New Roman" w:hAnsi="Times New Roman"/>
          <w:b/>
          <w:i w:val="0"/>
          <w:u w:val="none"/>
        </w:rPr>
        <w:t>Fundamento.</w:t>
      </w:r>
      <w:r>
        <w:rPr>
          <w:rFonts w:ascii="Times New Roman" w:hAnsi="Times New Roman"/>
          <w:b w:val="0"/>
          <w:i w:val="0"/>
          <w:u w:val="none"/>
        </w:rPr>
        <w:t xml:space="preserve"> El artículo 175 del Decreto Ley 019 de 2012 redujo los libros sujetos a inscripción a solo dos: el </w:t>
      </w:r>
      <w:r>
        <w:rPr>
          <w:rFonts w:ascii="Times New Roman" w:hAnsi="Times New Roman"/>
          <w:b/>
          <w:i w:val="0"/>
          <w:u w:val="none"/>
        </w:rPr>
        <w:t>libro de registro de accionistas</w:t>
      </w:r>
      <w:r>
        <w:rPr>
          <w:rFonts w:ascii="Times New Roman" w:hAnsi="Times New Roman"/>
          <w:b w:val="0"/>
          <w:i w:val="0"/>
          <w:u w:val="none"/>
        </w:rPr>
        <w:t xml:space="preserve"> y el </w:t>
      </w:r>
      <w:r>
        <w:rPr>
          <w:rFonts w:ascii="Times New Roman" w:hAnsi="Times New Roman"/>
          <w:b/>
          <w:i w:val="0"/>
          <w:u w:val="none"/>
        </w:rPr>
        <w:t>libro de actas de asamblea</w:t>
      </w:r>
      <w:r>
        <w:rPr>
          <w:rFonts w:ascii="Times New Roman" w:hAnsi="Times New Roman"/>
          <w:b w:val="0"/>
          <w:i w:val="0"/>
          <w:u w:val="none"/>
        </w:rPr>
        <w:t>. Los libros de contabilidad dejaron de registrarse.</w:t>
      </w:r>
    </w:p>
    <w:p>
      <w:r>
        <w:rPr>
          <w:rFonts w:ascii="Times New Roman" w:hAnsi="Times New Roman"/>
          <w:b/>
          <w:i w:val="0"/>
          <w:u w:val="none"/>
        </w:rPr>
        <w:t>Por qué importa.</w:t>
      </w:r>
      <w:r>
        <w:rPr>
          <w:rFonts w:ascii="Times New Roman" w:hAnsi="Times New Roman"/>
          <w:b w:val="0"/>
          <w:i w:val="0"/>
          <w:u w:val="none"/>
        </w:rPr>
        <w:t xml:space="preserve"> Porque de la inscripción en el libro de accionistas depende la prueba de la calidad de socio: los artículos 195 y 406 del Código de Comercio disponen que esa calidad se acredita frente a la sociedad y frente a terceros mediante la anotación en el libro, no con el documento de constitución ni con el certificado de la Cámara. Una sociedad sin libro de accionistas registrado tiene accionistas cuya condición es difícil de probar en un litigio, en una sucesión o en una liquidación de sociedad conyugal —hipótesis esta última especialmente relevante en el caso, por el estado civil de uno de los accionistas—.</w:t>
      </w:r>
    </w:p>
    <w:p>
      <w:r>
        <w:rPr>
          <w:rFonts w:ascii="Times New Roman" w:hAnsi="Times New Roman"/>
          <w:b/>
          <w:i w:val="0"/>
          <w:u w:val="none"/>
        </w:rPr>
        <w:t>Contenido particular del folio elaborado.</w:t>
      </w:r>
      <w:r>
        <w:rPr>
          <w:rFonts w:ascii="Times New Roman" w:hAnsi="Times New Roman"/>
          <w:b w:val="0"/>
          <w:i w:val="0"/>
          <w:u w:val="none"/>
        </w:rPr>
        <w:t xml:space="preserve"> Además de la titularidad, el folio deja constancia expresa de las </w:t>
      </w:r>
      <w:r>
        <w:rPr>
          <w:rFonts w:ascii="Times New Roman" w:hAnsi="Times New Roman"/>
          <w:b/>
          <w:i w:val="0"/>
          <w:u w:val="none"/>
        </w:rPr>
        <w:t>restricciones a la negociación</w:t>
      </w:r>
      <w:r>
        <w:rPr>
          <w:rFonts w:ascii="Times New Roman" w:hAnsi="Times New Roman"/>
          <w:b w:val="0"/>
          <w:i w:val="0"/>
          <w:u w:val="none"/>
        </w:rPr>
        <w:t xml:space="preserve"> pactadas en los artículos 14 y 15 de los estatutos. Esta anotación no es decorativa: el inciso final del artículo 13 de la Ley 1258 de 2008 supedita la oponibilidad de tales restricciones a que consten en los títulos, y la práctica societaria extiende la exigencia al libro de registro.</w:t>
      </w:r>
    </w:p>
    <w:p>
      <w:pPr>
        <w:keepNext/>
        <w:spacing w:before="320" w:after="160"/>
        <w:jc w:val="center"/>
      </w:pPr>
      <w:r>
        <w:rPr>
          <w:rFonts w:ascii="Times New Roman" w:hAnsi="Times New Roman"/>
          <w:b/>
          <w:i w:val="0"/>
          <w:sz w:val="24"/>
          <w:u w:val="none"/>
        </w:rPr>
        <w:t>V. DEFENSA JURÍDICA DE CADA DECISIÓN ADOPTADA</w:t>
      </w:r>
    </w:p>
    <w:p>
      <w:r>
        <w:rPr>
          <w:rFonts w:ascii="Times New Roman" w:hAnsi="Times New Roman"/>
          <w:b w:val="0"/>
          <w:i w:val="0"/>
          <w:u w:val="none"/>
        </w:rPr>
        <w:t>Las decisiones se presentan bajo una estructura constante: el dato de origen, el problema jurídico, la decisión adoptada, su fundamento y la alternativa descartada.</w:t>
      </w:r>
    </w:p>
    <w:p>
      <w:pPr>
        <w:keepNext/>
        <w:spacing w:before="240" w:after="80"/>
        <w:jc w:val="left"/>
      </w:pPr>
      <w:r>
        <w:rPr>
          <w:rFonts w:ascii="Times New Roman" w:hAnsi="Times New Roman"/>
          <w:b/>
          <w:i w:val="0"/>
          <w:sz w:val="24"/>
          <w:u w:val="none"/>
        </w:rPr>
        <w:t>1. Denominación social y verificación de homonimia</w:t>
      </w:r>
    </w:p>
    <w:p>
      <w:r>
        <w:rPr>
          <w:rFonts w:ascii="Times New Roman" w:hAnsi="Times New Roman"/>
          <w:b w:val="0"/>
          <w:i w:val="0"/>
          <w:u w:val="none"/>
        </w:rPr>
        <w:t xml:space="preserve">El levantamiento fija la denominación "NOVA BIENESTAR INTEGRAL S.A.S.". La decisión adoptada fue </w:t>
      </w:r>
      <w:r>
        <w:rPr>
          <w:rFonts w:ascii="Times New Roman" w:hAnsi="Times New Roman"/>
          <w:b/>
          <w:i w:val="0"/>
          <w:u w:val="none"/>
        </w:rPr>
        <w:t>conservarla íntegramente</w:t>
      </w:r>
      <w:r>
        <w:rPr>
          <w:rFonts w:ascii="Times New Roman" w:hAnsi="Times New Roman"/>
          <w:b w:val="0"/>
          <w:i w:val="0"/>
          <w:u w:val="none"/>
        </w:rPr>
        <w:t xml:space="preserve">, incluida la sigla, y prever en el artículo 2.º de los estatutos la advertencia del inciso 2.º del numeral 2.º del artículo 5.º de la Ley 1258: la omisión de la expresión "S.A.S." hace responsables a los administradores por los perjuicios que causen. Se recomienda la consulta previa de homonimia en el RUES porque el </w:t>
      </w:r>
      <w:r>
        <w:rPr>
          <w:rFonts w:ascii="Times New Roman" w:hAnsi="Times New Roman"/>
          <w:b/>
          <w:i w:val="0"/>
          <w:u w:val="none"/>
        </w:rPr>
        <w:t>artículo 35 del Código de Comercio</w:t>
      </w:r>
      <w:r>
        <w:rPr>
          <w:rFonts w:ascii="Times New Roman" w:hAnsi="Times New Roman"/>
          <w:b w:val="0"/>
          <w:i w:val="0"/>
          <w:u w:val="none"/>
        </w:rPr>
        <w:t xml:space="preserve"> ordena a las cámaras abstenerse de matricular a un comerciante con el mismo nombre de otro ya inscrito. La homonimia se verifica a escala nacional, no local.</w:t>
      </w:r>
    </w:p>
    <w:p>
      <w:pPr>
        <w:keepNext/>
        <w:spacing w:before="240" w:after="80"/>
        <w:jc w:val="left"/>
      </w:pPr>
      <w:r>
        <w:rPr>
          <w:rFonts w:ascii="Times New Roman" w:hAnsi="Times New Roman"/>
          <w:b/>
          <w:i w:val="0"/>
          <w:sz w:val="24"/>
          <w:u w:val="none"/>
        </w:rPr>
        <w:t>2. Domicilio social y competencia registral</w:t>
      </w:r>
    </w:p>
    <w:p>
      <w:r>
        <w:rPr>
          <w:rFonts w:ascii="Times New Roman" w:hAnsi="Times New Roman"/>
          <w:b w:val="0"/>
          <w:i w:val="0"/>
          <w:u w:val="none"/>
        </w:rPr>
        <w:t xml:space="preserve">Aquí hay un problema que el levantamiento plantea sin resolver: </w:t>
      </w:r>
      <w:r>
        <w:rPr>
          <w:rFonts w:ascii="Times New Roman" w:hAnsi="Times New Roman"/>
          <w:b/>
          <w:i w:val="0"/>
          <w:u w:val="none"/>
        </w:rPr>
        <w:t>los accionistas están domiciliados en municipios distintos</w:t>
      </w:r>
      <w:r>
        <w:rPr>
          <w:rFonts w:ascii="Times New Roman" w:hAnsi="Times New Roman"/>
          <w:b w:val="0"/>
          <w:i w:val="0"/>
          <w:u w:val="none"/>
        </w:rPr>
        <w:t xml:space="preserve"> —Mariana en Medellín, Felipe en Envigado— y esos municipios pertenecen a </w:t>
      </w:r>
      <w:r>
        <w:rPr>
          <w:rFonts w:ascii="Times New Roman" w:hAnsi="Times New Roman"/>
          <w:b/>
          <w:i w:val="0"/>
          <w:u w:val="none"/>
        </w:rPr>
        <w:t>jurisdicciones camerales diferentes</w:t>
      </w:r>
      <w:r>
        <w:rPr>
          <w:rFonts w:ascii="Times New Roman" w:hAnsi="Times New Roman"/>
          <w:b w:val="0"/>
          <w:i w:val="0"/>
          <w:u w:val="none"/>
        </w:rPr>
        <w:t>: Medellín corresponde a la Cámara de Comercio de Medellín para Antioquia; Envigado, a la Cámara de Comercio Aburrá Sur.</w:t>
      </w:r>
    </w:p>
    <w:p>
      <w:r>
        <w:rPr>
          <w:rFonts w:ascii="Times New Roman" w:hAnsi="Times New Roman"/>
          <w:b w:val="0"/>
          <w:i w:val="0"/>
          <w:u w:val="none"/>
        </w:rPr>
        <w:t xml:space="preserve">La solución no depende del domicilio de los accionistas sino del </w:t>
      </w:r>
      <w:r>
        <w:rPr>
          <w:rFonts w:ascii="Times New Roman" w:hAnsi="Times New Roman"/>
          <w:b/>
          <w:i w:val="0"/>
          <w:u w:val="none"/>
        </w:rPr>
        <w:t>domicilio de la sociedad</w:t>
      </w:r>
      <w:r>
        <w:rPr>
          <w:rFonts w:ascii="Times New Roman" w:hAnsi="Times New Roman"/>
          <w:b w:val="0"/>
          <w:i w:val="0"/>
          <w:u w:val="none"/>
        </w:rPr>
        <w:t xml:space="preserve">. El artículo 5.º de la Ley 1258 exige indicar "el domicilio principal de la sociedad", y el artículo 111 del Código de Comercio ordena inscribir el acto constitutivo en la cámara con jurisdicción en ese domicilio. Como la dirección señalada en el levantamiento —carrera 37 n.º 10A-58, oficina 804— está en Medellín, el domicilio social es </w:t>
      </w:r>
      <w:r>
        <w:rPr>
          <w:rFonts w:ascii="Times New Roman" w:hAnsi="Times New Roman"/>
          <w:b/>
          <w:i w:val="0"/>
          <w:u w:val="none"/>
        </w:rPr>
        <w:t>Medellín</w:t>
      </w:r>
      <w:r>
        <w:rPr>
          <w:rFonts w:ascii="Times New Roman" w:hAnsi="Times New Roman"/>
          <w:b w:val="0"/>
          <w:i w:val="0"/>
          <w:u w:val="none"/>
        </w:rPr>
        <w:t xml:space="preserve"> y la cámara competente es la </w:t>
      </w:r>
      <w:r>
        <w:rPr>
          <w:rFonts w:ascii="Times New Roman" w:hAnsi="Times New Roman"/>
          <w:b/>
          <w:i w:val="0"/>
          <w:u w:val="none"/>
        </w:rPr>
        <w:t>Cámara de Comercio de Medellín para Antioquia</w:t>
      </w:r>
      <w:r>
        <w:rPr>
          <w:rFonts w:ascii="Times New Roman" w:hAnsi="Times New Roman"/>
          <w:b w:val="0"/>
          <w:i w:val="0"/>
          <w:u w:val="none"/>
        </w:rPr>
        <w:t>. El domicilio personal de Felipe Andrés Gómez Vélez es jurídicamente irrelevante para este efecto; solo se consigna en el documento como dato de identificación exigido por el numeral 1.º del artículo 5.º.</w:t>
      </w:r>
    </w:p>
    <w:p>
      <w:r>
        <w:rPr>
          <w:rFonts w:ascii="Times New Roman" w:hAnsi="Times New Roman"/>
          <w:b w:val="0"/>
          <w:i w:val="0"/>
          <w:u w:val="none"/>
        </w:rPr>
        <w:t>Se descartó fijar el domicilio en Envigado porque contradiría la dirección comercial suministrada y obligaría a registrar una sucursal en Medellín.</w:t>
      </w:r>
    </w:p>
    <w:p>
      <w:pPr>
        <w:keepNext/>
        <w:spacing w:before="240" w:after="80"/>
        <w:jc w:val="left"/>
      </w:pPr>
      <w:r>
        <w:rPr>
          <w:rFonts w:ascii="Times New Roman" w:hAnsi="Times New Roman"/>
          <w:b/>
          <w:i w:val="0"/>
          <w:sz w:val="24"/>
          <w:u w:val="none"/>
        </w:rPr>
        <w:t>3. Objeto social determinado y no indeterminado</w:t>
      </w:r>
    </w:p>
    <w:p>
      <w:r>
        <w:rPr>
          <w:rFonts w:ascii="Times New Roman" w:hAnsi="Times New Roman"/>
          <w:b w:val="0"/>
          <w:i w:val="0"/>
          <w:u w:val="none"/>
        </w:rPr>
        <w:t xml:space="preserve">El numeral 5.º del artículo 5.º de la Ley 1258 permite optar entre enunciar clara y completamente las actividades principales o expresar que la sociedad podrá realizar cualquier actividad lícita. Se optó por el </w:t>
      </w:r>
      <w:r>
        <w:rPr>
          <w:rFonts w:ascii="Times New Roman" w:hAnsi="Times New Roman"/>
          <w:b/>
          <w:i w:val="0"/>
          <w:u w:val="none"/>
        </w:rPr>
        <w:t>objeto determinado</w:t>
      </w:r>
      <w:r>
        <w:rPr>
          <w:rFonts w:ascii="Times New Roman" w:hAnsi="Times New Roman"/>
          <w:b w:val="0"/>
          <w:i w:val="0"/>
          <w:u w:val="none"/>
        </w:rPr>
        <w:t>, por tres razones.</w:t>
      </w:r>
    </w:p>
    <w:p>
      <w:r>
        <w:rPr>
          <w:rFonts w:ascii="Times New Roman" w:hAnsi="Times New Roman"/>
          <w:b/>
          <w:i w:val="0"/>
          <w:u w:val="none"/>
        </w:rPr>
        <w:t>Primera</w:t>
      </w:r>
      <w:r>
        <w:rPr>
          <w:rFonts w:ascii="Times New Roman" w:hAnsi="Times New Roman"/>
          <w:b w:val="0"/>
          <w:i w:val="0"/>
          <w:u w:val="none"/>
        </w:rPr>
        <w:t xml:space="preserve">, la contratación con el sector salud y con entidades públicas suele exigir que el objeto social guarde relación directa con el servicio contratado; un objeto indeterminado obliga a explicar en cada proceso que la actividad está comprendida. </w:t>
      </w:r>
      <w:r>
        <w:rPr>
          <w:rFonts w:ascii="Times New Roman" w:hAnsi="Times New Roman"/>
          <w:b/>
          <w:i w:val="0"/>
          <w:u w:val="none"/>
        </w:rPr>
        <w:t>Segunda</w:t>
      </w:r>
      <w:r>
        <w:rPr>
          <w:rFonts w:ascii="Times New Roman" w:hAnsi="Times New Roman"/>
          <w:b w:val="0"/>
          <w:i w:val="0"/>
          <w:u w:val="none"/>
        </w:rPr>
        <w:t xml:space="preserve">, la determinación del objeto delimita la capacidad de la sociedad y, con ella, el ámbito de las facultades de los administradores, lo que refuerza la limitación de cuantía pactada en el artículo 28 de los estatutos. </w:t>
      </w:r>
      <w:r>
        <w:rPr>
          <w:rFonts w:ascii="Times New Roman" w:hAnsi="Times New Roman"/>
          <w:b/>
          <w:i w:val="0"/>
          <w:u w:val="none"/>
        </w:rPr>
        <w:t>Tercera</w:t>
      </w:r>
      <w:r>
        <w:rPr>
          <w:rFonts w:ascii="Times New Roman" w:hAnsi="Times New Roman"/>
          <w:b w:val="0"/>
          <w:i w:val="0"/>
          <w:u w:val="none"/>
        </w:rPr>
        <w:t>, la actividad de rehabilitación física está sujeta a habilitación sanitaria; un objeto que la mencione expresamente facilita la inscripción en el REPS.</w:t>
      </w:r>
    </w:p>
    <w:p>
      <w:r>
        <w:rPr>
          <w:rFonts w:ascii="Times New Roman" w:hAnsi="Times New Roman"/>
          <w:b w:val="0"/>
          <w:i w:val="0"/>
          <w:u w:val="none"/>
        </w:rPr>
        <w:t>Se descartó el objeto indeterminado a pesar de su mayor flexibilidad, y se compensó su rigidez incorporando un catálogo amplio de actividades conexas y una cláusula de capacidad residual apoyada en el artículo 99 del Código de Comercio.</w:t>
      </w:r>
    </w:p>
    <w:p>
      <w:pPr>
        <w:keepNext/>
        <w:spacing w:before="240" w:after="80"/>
        <w:jc w:val="left"/>
      </w:pPr>
      <w:r>
        <w:rPr>
          <w:rFonts w:ascii="Times New Roman" w:hAnsi="Times New Roman"/>
          <w:b/>
          <w:i w:val="0"/>
          <w:sz w:val="24"/>
          <w:u w:val="none"/>
        </w:rPr>
        <w:t>4. Duración indefinida</w:t>
      </w:r>
    </w:p>
    <w:p>
      <w:r>
        <w:rPr>
          <w:rFonts w:ascii="Times New Roman" w:hAnsi="Times New Roman"/>
          <w:b w:val="0"/>
          <w:i w:val="0"/>
          <w:u w:val="none"/>
        </w:rPr>
        <w:t xml:space="preserve">El levantamiento no fija término. El numeral 4.º del artículo 5.º de la Ley 1258 y el artículo 3.º de la misma ley permiten que la duración sea indefinida, a diferencia de la anónima, donde el artículo 110, numeral 9.º, del Código de Comercio exige un término preciso. Se optó por la </w:t>
      </w:r>
      <w:r>
        <w:rPr>
          <w:rFonts w:ascii="Times New Roman" w:hAnsi="Times New Roman"/>
          <w:b/>
          <w:i w:val="0"/>
          <w:u w:val="none"/>
        </w:rPr>
        <w:t>duración indefinida</w:t>
      </w:r>
      <w:r>
        <w:rPr>
          <w:rFonts w:ascii="Times New Roman" w:hAnsi="Times New Roman"/>
          <w:b w:val="0"/>
          <w:i w:val="0"/>
          <w:u w:val="none"/>
        </w:rPr>
        <w:t xml:space="preserve"> para evitar el riesgo de disolución automática por vencimiento del plazo —causal que en la práctica se activa por olvido de la prórroga— y porque no existe ninguna razón de negocio para limitar la vida de la sociedad.</w:t>
      </w:r>
    </w:p>
    <w:p>
      <w:pPr>
        <w:keepNext/>
        <w:spacing w:before="240" w:after="80"/>
        <w:jc w:val="left"/>
      </w:pPr>
      <w:r>
        <w:rPr>
          <w:rFonts w:ascii="Times New Roman" w:hAnsi="Times New Roman"/>
          <w:b/>
          <w:i w:val="0"/>
          <w:sz w:val="24"/>
          <w:u w:val="none"/>
        </w:rPr>
        <w:t>5. La estructura del capital y la ambigüedad del levantamiento</w:t>
      </w:r>
    </w:p>
    <w:p>
      <w:r>
        <w:rPr>
          <w:rFonts w:ascii="Times New Roman" w:hAnsi="Times New Roman"/>
          <w:b w:val="0"/>
          <w:i w:val="0"/>
          <w:u w:val="none"/>
        </w:rPr>
        <w:t xml:space="preserve">Este es el punto que exige la argumentación más cuidadosa. El levantamiento consigna, en una misma fila, dos enunciados que no son idénticos: rotula el renglón como </w:t>
      </w:r>
      <w:r>
        <w:rPr>
          <w:rFonts w:ascii="Times New Roman" w:hAnsi="Times New Roman"/>
          <w:b/>
          <w:i w:val="0"/>
          <w:u w:val="none"/>
        </w:rPr>
        <w:t>"capital suscrito y pagado: $600.000.000"</w:t>
      </w:r>
      <w:r>
        <w:rPr>
          <w:rFonts w:ascii="Times New Roman" w:hAnsi="Times New Roman"/>
          <w:b w:val="0"/>
          <w:i w:val="0"/>
          <w:u w:val="none"/>
        </w:rPr>
        <w:t xml:space="preserve"> y, a renglón seguido, lo describe como </w:t>
      </w:r>
      <w:r>
        <w:rPr>
          <w:rFonts w:ascii="Times New Roman" w:hAnsi="Times New Roman"/>
          <w:b/>
          <w:i w:val="0"/>
          <w:u w:val="none"/>
        </w:rPr>
        <w:t>"capital que los accionistas se comprometen a aportar a la sociedad (2 años)"</w:t>
      </w:r>
      <w:r>
        <w:rPr>
          <w:rFonts w:ascii="Times New Roman" w:hAnsi="Times New Roman"/>
          <w:b w:val="0"/>
          <w:i w:val="0"/>
          <w:u w:val="none"/>
        </w:rPr>
        <w:t>.</w:t>
      </w:r>
    </w:p>
    <w:p>
      <w:r>
        <w:rPr>
          <w:rFonts w:ascii="Times New Roman" w:hAnsi="Times New Roman"/>
          <w:b/>
          <w:i w:val="0"/>
          <w:u w:val="none"/>
        </w:rPr>
        <w:t>El problema.</w:t>
      </w:r>
      <w:r>
        <w:rPr>
          <w:rFonts w:ascii="Times New Roman" w:hAnsi="Times New Roman"/>
          <w:b w:val="0"/>
          <w:i w:val="0"/>
          <w:u w:val="none"/>
        </w:rPr>
        <w:t xml:space="preserve"> Suscribir y pagar no son lo mismo. La suscripción es el compromiso de aportar; el pago es la ejecución de ese compromiso. Si el capital estuviera solo suscrito, quedaría un saldo pendiente y sería obligatorio fijar el plazo de pago; si estuviera pagado, no habría saldo alguno y la mención de los dos años carecería de objeto.</w:t>
      </w:r>
    </w:p>
    <w:p>
      <w:r>
        <w:rPr>
          <w:rFonts w:ascii="Times New Roman" w:hAnsi="Times New Roman"/>
          <w:b/>
          <w:i w:val="0"/>
          <w:u w:val="none"/>
        </w:rPr>
        <w:t>La decisión.</w:t>
      </w:r>
      <w:r>
        <w:rPr>
          <w:rFonts w:ascii="Times New Roman" w:hAnsi="Times New Roman"/>
          <w:b w:val="0"/>
          <w:i w:val="0"/>
          <w:u w:val="none"/>
        </w:rPr>
        <w:t xml:space="preserve"> Se interpretó que el rótulo del formato —"capital suscrito y pagado"— es el dato de fondo, y que la frase sobre los dos años es la </w:t>
      </w:r>
      <w:r>
        <w:rPr>
          <w:rFonts w:ascii="Times New Roman" w:hAnsi="Times New Roman"/>
          <w:b/>
          <w:i w:val="0"/>
          <w:u w:val="none"/>
        </w:rPr>
        <w:t>glosa explicativa del formato</w:t>
      </w:r>
      <w:r>
        <w:rPr>
          <w:rFonts w:ascii="Times New Roman" w:hAnsi="Times New Roman"/>
          <w:b w:val="0"/>
          <w:i w:val="0"/>
          <w:u w:val="none"/>
        </w:rPr>
        <w:t xml:space="preserve">, que reproduce la regla legal del artículo 9.º de la Ley 1258 según la cual el plazo para el pago de las acciones no puede exceder de dos años. En consecuencia, se declaró un capital suscrito de $600.000.000 </w:t>
      </w:r>
      <w:r>
        <w:rPr>
          <w:rFonts w:ascii="Times New Roman" w:hAnsi="Times New Roman"/>
          <w:b/>
          <w:i w:val="0"/>
          <w:u w:val="none"/>
        </w:rPr>
        <w:t>íntegramente pagado en dinero en el acto de constitución</w:t>
      </w:r>
      <w:r>
        <w:rPr>
          <w:rFonts w:ascii="Times New Roman" w:hAnsi="Times New Roman"/>
          <w:b w:val="0"/>
          <w:i w:val="0"/>
          <w:u w:val="none"/>
        </w:rPr>
        <w:t>.</w:t>
      </w:r>
    </w:p>
    <w:p>
      <w:r>
        <w:rPr>
          <w:rFonts w:ascii="Times New Roman" w:hAnsi="Times New Roman"/>
          <w:b/>
          <w:i w:val="0"/>
          <w:u w:val="none"/>
        </w:rPr>
        <w:t>Por qué esta lectura y no la contraria.</w:t>
      </w:r>
      <w:r>
        <w:rPr>
          <w:rFonts w:ascii="Times New Roman" w:hAnsi="Times New Roman"/>
          <w:b w:val="0"/>
          <w:i w:val="0"/>
          <w:u w:val="none"/>
        </w:rPr>
        <w:t xml:space="preserve"> Tres argumentos la sostienen. </w:t>
      </w:r>
      <w:r>
        <w:rPr>
          <w:rFonts w:ascii="Times New Roman" w:hAnsi="Times New Roman"/>
          <w:b/>
          <w:i w:val="0"/>
          <w:u w:val="none"/>
        </w:rPr>
        <w:t>Uno</w:t>
      </w:r>
      <w:r>
        <w:rPr>
          <w:rFonts w:ascii="Times New Roman" w:hAnsi="Times New Roman"/>
          <w:b w:val="0"/>
          <w:i w:val="0"/>
          <w:u w:val="none"/>
        </w:rPr>
        <w:t xml:space="preserve">, el criterio de especialidad: el rótulo del campo expresa la calificación jurídica; la glosa solo describe genéricamente qué es el capital suscrito. </w:t>
      </w:r>
      <w:r>
        <w:rPr>
          <w:rFonts w:ascii="Times New Roman" w:hAnsi="Times New Roman"/>
          <w:b/>
          <w:i w:val="0"/>
          <w:u w:val="none"/>
        </w:rPr>
        <w:t>Dos</w:t>
      </w:r>
      <w:r>
        <w:rPr>
          <w:rFonts w:ascii="Times New Roman" w:hAnsi="Times New Roman"/>
          <w:b w:val="0"/>
          <w:i w:val="0"/>
          <w:u w:val="none"/>
        </w:rPr>
        <w:t xml:space="preserve">, el criterio de utilidad: si se hubiera querido diferir el pago, el levantamiento habría discriminado un capital suscrito y otro pagado con cifras distintas, como lo exigen los formularios del RUES. </w:t>
      </w:r>
      <w:r>
        <w:rPr>
          <w:rFonts w:ascii="Times New Roman" w:hAnsi="Times New Roman"/>
          <w:b/>
          <w:i w:val="0"/>
          <w:u w:val="none"/>
        </w:rPr>
        <w:t>Tres</w:t>
      </w:r>
      <w:r>
        <w:rPr>
          <w:rFonts w:ascii="Times New Roman" w:hAnsi="Times New Roman"/>
          <w:b w:val="0"/>
          <w:i w:val="0"/>
          <w:u w:val="none"/>
        </w:rPr>
        <w:t>, el criterio de coherencia con los demás datos: el levantamiento reporta activos del establecimiento por $55.000.000 y una empresa en funcionamiento con nueve trabajadores, lo que supone recursos efectivamente disponibles.</w:t>
      </w:r>
    </w:p>
    <w:p>
      <w:r>
        <w:rPr>
          <w:rFonts w:ascii="Times New Roman" w:hAnsi="Times New Roman"/>
          <w:b/>
          <w:i w:val="0"/>
          <w:u w:val="none"/>
        </w:rPr>
        <w:t>Cómo se blindó la decisión.</w:t>
      </w:r>
      <w:r>
        <w:rPr>
          <w:rFonts w:ascii="Times New Roman" w:hAnsi="Times New Roman"/>
          <w:b w:val="0"/>
          <w:i w:val="0"/>
          <w:u w:val="none"/>
        </w:rPr>
        <w:t xml:space="preserve"> Para que la lectura contraria no genere un vicio, los estatutos incorporan de todos modos, en el parágrafo primero del artículo 8.º, la regla del artículo 9.º de la Ley 1258, haciéndola aplicable a toda emisión futura. Así, si el pago se hubiera querido diferir, la cláusula ya contiene el límite temporal legal. Adicionalmente, el parágrafo tercero regula la mora del accionista remitiendo al artículo 397 del Código de Comercio.</w:t>
      </w:r>
    </w:p>
    <w:p>
      <w:r>
        <w:rPr>
          <w:rFonts w:ascii="Times New Roman" w:hAnsi="Times New Roman"/>
          <w:b/>
          <w:i w:val="0"/>
          <w:u w:val="none"/>
        </w:rPr>
        <w:t>Cifras derivadas.</w:t>
      </w:r>
      <w:r>
        <w:rPr>
          <w:rFonts w:ascii="Times New Roman" w:hAnsi="Times New Roman"/>
          <w:b w:val="0"/>
          <w:i w:val="0"/>
          <w:u w:val="none"/>
        </w:rPr>
        <w:t xml:space="preserve"> De un capital autorizado de $1.200.000.000 y un valor nominal de $1.000 resultan </w:t>
      </w:r>
      <w:r>
        <w:rPr>
          <w:rFonts w:ascii="Times New Roman" w:hAnsi="Times New Roman"/>
          <w:b/>
          <w:i w:val="0"/>
          <w:u w:val="none"/>
        </w:rPr>
        <w:t>1.200.000 acciones autorizadas</w:t>
      </w:r>
      <w:r>
        <w:rPr>
          <w:rFonts w:ascii="Times New Roman" w:hAnsi="Times New Roman"/>
          <w:b w:val="0"/>
          <w:i w:val="0"/>
          <w:u w:val="none"/>
        </w:rPr>
        <w:t xml:space="preserve">; de un capital suscrito de $600.000.000, </w:t>
      </w:r>
      <w:r>
        <w:rPr>
          <w:rFonts w:ascii="Times New Roman" w:hAnsi="Times New Roman"/>
          <w:b/>
          <w:i w:val="0"/>
          <w:u w:val="none"/>
        </w:rPr>
        <w:t>600.000 acciones suscritas</w:t>
      </w:r>
      <w:r>
        <w:rPr>
          <w:rFonts w:ascii="Times New Roman" w:hAnsi="Times New Roman"/>
          <w:b w:val="0"/>
          <w:i w:val="0"/>
          <w:u w:val="none"/>
        </w:rPr>
        <w:t xml:space="preserve">, esto es, el </w:t>
      </w:r>
      <w:r>
        <w:rPr>
          <w:rFonts w:ascii="Times New Roman" w:hAnsi="Times New Roman"/>
          <w:b/>
          <w:i w:val="0"/>
          <w:u w:val="none"/>
        </w:rPr>
        <w:t>50 % del capital autorizado</w:t>
      </w:r>
      <w:r>
        <w:rPr>
          <w:rFonts w:ascii="Times New Roman" w:hAnsi="Times New Roman"/>
          <w:b w:val="0"/>
          <w:i w:val="0"/>
          <w:u w:val="none"/>
        </w:rPr>
        <w:t xml:space="preserve">, quedando 600.000 acciones en reserva. La distribución 65/35 arroja </w:t>
      </w:r>
      <w:r>
        <w:rPr>
          <w:rFonts w:ascii="Times New Roman" w:hAnsi="Times New Roman"/>
          <w:b/>
          <w:i w:val="0"/>
          <w:u w:val="none"/>
        </w:rPr>
        <w:t>390.000 acciones para Mariana</w:t>
      </w:r>
      <w:r>
        <w:rPr>
          <w:rFonts w:ascii="Times New Roman" w:hAnsi="Times New Roman"/>
          <w:b w:val="0"/>
          <w:i w:val="0"/>
          <w:u w:val="none"/>
        </w:rPr>
        <w:t xml:space="preserve"> ($390.000.000) y </w:t>
      </w:r>
      <w:r>
        <w:rPr>
          <w:rFonts w:ascii="Times New Roman" w:hAnsi="Times New Roman"/>
          <w:b/>
          <w:i w:val="0"/>
          <w:u w:val="none"/>
        </w:rPr>
        <w:t>210.000 para Felipe</w:t>
      </w:r>
      <w:r>
        <w:rPr>
          <w:rFonts w:ascii="Times New Roman" w:hAnsi="Times New Roman"/>
          <w:b w:val="0"/>
          <w:i w:val="0"/>
          <w:u w:val="none"/>
        </w:rPr>
        <w:t xml:space="preserve"> ($210.000.000). Estas cifras son exactas y no requieren aproximación, lo que confirma la coherencia interna del levantamiento.</w:t>
      </w:r>
    </w:p>
    <w:p>
      <w:pPr>
        <w:keepNext/>
        <w:spacing w:before="240" w:after="80"/>
        <w:jc w:val="left"/>
      </w:pPr>
      <w:r>
        <w:rPr>
          <w:rFonts w:ascii="Times New Roman" w:hAnsi="Times New Roman"/>
          <w:b/>
          <w:i w:val="0"/>
          <w:sz w:val="24"/>
          <w:u w:val="none"/>
        </w:rPr>
        <w:t>6. Valor nominal de mil pesos y emisión a la par</w:t>
      </w:r>
    </w:p>
    <w:p>
      <w:r>
        <w:rPr>
          <w:rFonts w:ascii="Times New Roman" w:hAnsi="Times New Roman"/>
          <w:b w:val="0"/>
          <w:i w:val="0"/>
          <w:u w:val="none"/>
        </w:rPr>
        <w:t xml:space="preserve">El valor nominal de $1.000 viene impuesto por el levantamiento. Se dejó constancia expresa de que las acciones se emiten </w:t>
      </w:r>
      <w:r>
        <w:rPr>
          <w:rFonts w:ascii="Times New Roman" w:hAnsi="Times New Roman"/>
          <w:b/>
          <w:i w:val="0"/>
          <w:u w:val="none"/>
        </w:rPr>
        <w:t>a la par</w:t>
      </w:r>
      <w:r>
        <w:rPr>
          <w:rFonts w:ascii="Times New Roman" w:hAnsi="Times New Roman"/>
          <w:b w:val="0"/>
          <w:i w:val="0"/>
          <w:u w:val="none"/>
        </w:rPr>
        <w:t xml:space="preserve">, es decir, sin prima en colocación. La precisión no es cosmética: tiene efecto tributario directo. El impuesto de registro se liquida sobre el capital suscrito a la tarifa ordinaria de los actos con cuantía (0,7 % en Antioquia); si hubiera prima en colocación, esa porción tributaría a la tarifa especial reducida prevista para tales actos. Como no hay prima, la base es limpia: $600.000.000 × 0,7 % = </w:t>
      </w:r>
      <w:r>
        <w:rPr>
          <w:rFonts w:ascii="Times New Roman" w:hAnsi="Times New Roman"/>
          <w:b/>
          <w:i w:val="0"/>
          <w:u w:val="none"/>
        </w:rPr>
        <w:t>$4.200.000</w:t>
      </w:r>
      <w:r>
        <w:rPr>
          <w:rFonts w:ascii="Times New Roman" w:hAnsi="Times New Roman"/>
          <w:b w:val="0"/>
          <w:i w:val="0"/>
          <w:u w:val="none"/>
        </w:rPr>
        <w:t>.</w:t>
      </w:r>
    </w:p>
    <w:p>
      <w:pPr>
        <w:keepNext/>
        <w:spacing w:before="240" w:after="80"/>
        <w:jc w:val="left"/>
      </w:pPr>
      <w:r>
        <w:rPr>
          <w:rFonts w:ascii="Times New Roman" w:hAnsi="Times New Roman"/>
          <w:b/>
          <w:i w:val="0"/>
          <w:sz w:val="24"/>
          <w:u w:val="none"/>
        </w:rPr>
        <w:t>7. La distribución 65/35 y el diseño de las mayorías</w:t>
      </w:r>
    </w:p>
    <w:p>
      <w:r>
        <w:rPr>
          <w:rFonts w:ascii="Times New Roman" w:hAnsi="Times New Roman"/>
          <w:b/>
          <w:i w:val="0"/>
          <w:u w:val="none"/>
        </w:rPr>
        <w:t>El dato.</w:t>
      </w:r>
      <w:r>
        <w:rPr>
          <w:rFonts w:ascii="Times New Roman" w:hAnsi="Times New Roman"/>
          <w:b w:val="0"/>
          <w:i w:val="0"/>
          <w:u w:val="none"/>
        </w:rPr>
        <w:t xml:space="preserve"> Mariana concentra el 65 % y Felipe el 35 %.</w:t>
      </w:r>
    </w:p>
    <w:p>
      <w:r>
        <w:rPr>
          <w:rFonts w:ascii="Times New Roman" w:hAnsi="Times New Roman"/>
          <w:b/>
          <w:i w:val="0"/>
          <w:u w:val="none"/>
        </w:rPr>
        <w:t>El problema.</w:t>
      </w:r>
      <w:r>
        <w:rPr>
          <w:rFonts w:ascii="Times New Roman" w:hAnsi="Times New Roman"/>
          <w:b w:val="0"/>
          <w:i w:val="0"/>
          <w:u w:val="none"/>
        </w:rPr>
        <w:t xml:space="preserve"> El artículo 22 de la Ley 1258 fija, como regla supletiva, un quórum deliberatorio de la mitad más una de las acciones suscritas y una mayoría decisoria de la mitad más una de las acciones </w:t>
      </w:r>
      <w:r>
        <w:rPr>
          <w:rFonts w:ascii="Times New Roman" w:hAnsi="Times New Roman"/>
          <w:b/>
          <w:i w:val="0"/>
          <w:u w:val="none"/>
        </w:rPr>
        <w:t>presentes</w:t>
      </w:r>
      <w:r>
        <w:rPr>
          <w:rFonts w:ascii="Times New Roman" w:hAnsi="Times New Roman"/>
          <w:b w:val="0"/>
          <w:i w:val="0"/>
          <w:u w:val="none"/>
        </w:rPr>
        <w:t>. Aplicada sin más, esa regla produce un resultado extremo: Mariana, con el 65 %, reúne por sí sola el quórum, delibera sola y decide sola. Felipe quedaría reducido a un accionista sin ninguna capacidad de influencia, ni siquiera para impedir que se disponga de los activos de la sociedad o se enajene su participación relativa mediante emisiones sucesivas.</w:t>
      </w:r>
    </w:p>
    <w:p>
      <w:r>
        <w:rPr>
          <w:rFonts w:ascii="Times New Roman" w:hAnsi="Times New Roman"/>
          <w:b/>
          <w:i w:val="0"/>
          <w:u w:val="none"/>
        </w:rPr>
        <w:t>La decisión.</w:t>
      </w:r>
      <w:r>
        <w:rPr>
          <w:rFonts w:ascii="Times New Roman" w:hAnsi="Times New Roman"/>
          <w:b w:val="0"/>
          <w:i w:val="0"/>
          <w:u w:val="none"/>
        </w:rPr>
        <w:t xml:space="preserve"> Se conservó la regla general del artículo 22 para la administración ordinaria —lo que preserva la agilidad que justifica la mayoría de Mariana— pero se elevó a </w:t>
      </w:r>
      <w:r>
        <w:rPr>
          <w:rFonts w:ascii="Times New Roman" w:hAnsi="Times New Roman"/>
          <w:b/>
          <w:i w:val="0"/>
          <w:u w:val="none"/>
        </w:rPr>
        <w:t>70 % de las acciones suscritas</w:t>
      </w:r>
      <w:r>
        <w:rPr>
          <w:rFonts w:ascii="Times New Roman" w:hAnsi="Times New Roman"/>
          <w:b w:val="0"/>
          <w:i w:val="0"/>
          <w:u w:val="none"/>
        </w:rPr>
        <w:t xml:space="preserve"> la mayoría exigida para seis decisiones estructurales: aumento o disminución del capital autorizado; transformación, fusión o escisión; enajenación de la totalidad o de una parte sustancial de los activos; constitución de gravámenes sobre inmuebles; autorización para transferir acciones a terceros; y disolución anticipada.</w:t>
      </w:r>
    </w:p>
    <w:p>
      <w:r>
        <w:rPr>
          <w:rFonts w:ascii="Times New Roman" w:hAnsi="Times New Roman"/>
          <w:b/>
          <w:i w:val="0"/>
          <w:u w:val="none"/>
        </w:rPr>
        <w:t>Por qué el 70 % y no otro porcentaje.</w:t>
      </w:r>
      <w:r>
        <w:rPr>
          <w:rFonts w:ascii="Times New Roman" w:hAnsi="Times New Roman"/>
          <w:b w:val="0"/>
          <w:i w:val="0"/>
          <w:u w:val="none"/>
        </w:rPr>
        <w:t xml:space="preserve"> Porque es el umbral mínimo que otorga a Felipe un </w:t>
      </w:r>
      <w:r>
        <w:rPr>
          <w:rFonts w:ascii="Times New Roman" w:hAnsi="Times New Roman"/>
          <w:b/>
          <w:i w:val="0"/>
          <w:u w:val="none"/>
        </w:rPr>
        <w:t>derecho de veto efectivo</w:t>
      </w:r>
      <w:r>
        <w:rPr>
          <w:rFonts w:ascii="Times New Roman" w:hAnsi="Times New Roman"/>
          <w:b w:val="0"/>
          <w:i w:val="0"/>
          <w:u w:val="none"/>
        </w:rPr>
        <w:t>: con el 35 % le basta negarse para bloquear la decisión, ya que Mariana solo alcanza el 65 %. Un umbral del 66 % también lo lograría, pero el 70 % deja margen frente a futuras emisiones que diluyan levemente la participación. Un umbral del 80 % o la unanimidad habrían sido excesivos: convertirían cualquier decisión estructural en rehén de la minoría y contradirían la lógica de una participación mayoritaria del 65 %.</w:t>
      </w:r>
    </w:p>
    <w:p>
      <w:r>
        <w:rPr>
          <w:rFonts w:ascii="Times New Roman" w:hAnsi="Times New Roman"/>
          <w:b/>
          <w:i w:val="0"/>
          <w:u w:val="none"/>
        </w:rPr>
        <w:t>Fundamento normativo.</w:t>
      </w:r>
      <w:r>
        <w:rPr>
          <w:rFonts w:ascii="Times New Roman" w:hAnsi="Times New Roman"/>
          <w:b w:val="0"/>
          <w:i w:val="0"/>
          <w:u w:val="none"/>
        </w:rPr>
        <w:t xml:space="preserve"> El artículo 22 de la Ley 1258 admite expresamente el pacto en contrario ("salvo estipulación en contrario"). El artículo 41 impone, además, unanimidad para introducir o modificar las cláusulas de los artículos 13, 14, 39 y 40 —restricciones a la negociación, autorización para la transferencia, exclusión de accionistas y resolución de conflictos—, exigencia que se recogió en el parágrafo segundo del artículo 23 de los estatutos.</w:t>
      </w:r>
    </w:p>
    <w:p>
      <w:r>
        <w:rPr>
          <w:rFonts w:ascii="Times New Roman" w:hAnsi="Times New Roman"/>
          <w:b/>
          <w:i w:val="0"/>
          <w:u w:val="none"/>
        </w:rPr>
        <w:t>Garantía adicional.</w:t>
      </w:r>
      <w:r>
        <w:rPr>
          <w:rFonts w:ascii="Times New Roman" w:hAnsi="Times New Roman"/>
          <w:b w:val="0"/>
          <w:i w:val="0"/>
          <w:u w:val="none"/>
        </w:rPr>
        <w:t xml:space="preserve"> Se incorporó el </w:t>
      </w:r>
      <w:r>
        <w:rPr>
          <w:rFonts w:ascii="Times New Roman" w:hAnsi="Times New Roman"/>
          <w:b/>
          <w:i w:val="0"/>
          <w:u w:val="none"/>
        </w:rPr>
        <w:t>artículo 43 de la Ley 1258</w:t>
      </w:r>
      <w:r>
        <w:rPr>
          <w:rFonts w:ascii="Times New Roman" w:hAnsi="Times New Roman"/>
          <w:b w:val="0"/>
          <w:i w:val="0"/>
          <w:u w:val="none"/>
        </w:rPr>
        <w:t xml:space="preserve"> sobre abuso del derecho de voto. La norma sanciona con ineficacia las decisiones adoptadas con abuso de mayoría, de minoría o de paridad, y otorga acción indemnizatoria. Su inclusión expresa cumple una función pedagógica frente a los accionistas y refuerza la posición de Felipe sin restar poder legítimo a Mariana.</w:t>
      </w:r>
    </w:p>
    <w:p>
      <w:pPr>
        <w:keepNext/>
        <w:spacing w:before="240" w:after="80"/>
        <w:jc w:val="left"/>
      </w:pPr>
      <w:r>
        <w:rPr>
          <w:rFonts w:ascii="Times New Roman" w:hAnsi="Times New Roman"/>
          <w:b/>
          <w:i w:val="0"/>
          <w:sz w:val="24"/>
          <w:u w:val="none"/>
        </w:rPr>
        <w:t>8. Aportes en dinero y el estado civil del accionista Felipe</w:t>
      </w:r>
    </w:p>
    <w:p>
      <w:r>
        <w:rPr>
          <w:rFonts w:ascii="Times New Roman" w:hAnsi="Times New Roman"/>
          <w:b/>
          <w:i w:val="0"/>
          <w:u w:val="none"/>
        </w:rPr>
        <w:t>El dato.</w:t>
      </w:r>
      <w:r>
        <w:rPr>
          <w:rFonts w:ascii="Times New Roman" w:hAnsi="Times New Roman"/>
          <w:b w:val="0"/>
          <w:i w:val="0"/>
          <w:u w:val="none"/>
        </w:rPr>
        <w:t xml:space="preserve"> Felipe Andrés Gómez Vélez es </w:t>
      </w:r>
      <w:r>
        <w:rPr>
          <w:rFonts w:ascii="Times New Roman" w:hAnsi="Times New Roman"/>
          <w:b/>
          <w:i w:val="0"/>
          <w:u w:val="none"/>
        </w:rPr>
        <w:t>casado</w:t>
      </w:r>
      <w:r>
        <w:rPr>
          <w:rFonts w:ascii="Times New Roman" w:hAnsi="Times New Roman"/>
          <w:b w:val="0"/>
          <w:i w:val="0"/>
          <w:u w:val="none"/>
        </w:rPr>
        <w:t xml:space="preserve">; Mariana López Castaño es </w:t>
      </w:r>
      <w:r>
        <w:rPr>
          <w:rFonts w:ascii="Times New Roman" w:hAnsi="Times New Roman"/>
          <w:b/>
          <w:i w:val="0"/>
          <w:u w:val="none"/>
        </w:rPr>
        <w:t>soltera</w:t>
      </w:r>
      <w:r>
        <w:rPr>
          <w:rFonts w:ascii="Times New Roman" w:hAnsi="Times New Roman"/>
          <w:b w:val="0"/>
          <w:i w:val="0"/>
          <w:u w:val="none"/>
        </w:rPr>
        <w:t>.</w:t>
      </w:r>
    </w:p>
    <w:p>
      <w:r>
        <w:rPr>
          <w:rFonts w:ascii="Times New Roman" w:hAnsi="Times New Roman"/>
          <w:b/>
          <w:i w:val="0"/>
          <w:u w:val="none"/>
        </w:rPr>
        <w:t>El problema.</w:t>
      </w:r>
      <w:r>
        <w:rPr>
          <w:rFonts w:ascii="Times New Roman" w:hAnsi="Times New Roman"/>
          <w:b w:val="0"/>
          <w:i w:val="0"/>
          <w:u w:val="none"/>
        </w:rPr>
        <w:t xml:space="preserve"> El estado civil aparece en el levantamiento y no es un dato decorativo. De él dependen dos cuestiones: si el aporte requiere el consentimiento del cónyuge, y a qué patrimonio pertenecen las acciones adquiridas.</w:t>
      </w:r>
    </w:p>
    <w:p>
      <w:r>
        <w:rPr>
          <w:rFonts w:ascii="Times New Roman" w:hAnsi="Times New Roman"/>
          <w:b/>
          <w:i w:val="0"/>
          <w:u w:val="none"/>
        </w:rPr>
        <w:t>La decisión y su fundamento.</w:t>
      </w:r>
      <w:r>
        <w:rPr>
          <w:rFonts w:ascii="Times New Roman" w:hAnsi="Times New Roman"/>
          <w:b w:val="0"/>
          <w:i w:val="0"/>
          <w:u w:val="none"/>
        </w:rPr>
        <w:t xml:space="preserve"> Como los aportes se hacen </w:t>
      </w:r>
      <w:r>
        <w:rPr>
          <w:rFonts w:ascii="Times New Roman" w:hAnsi="Times New Roman"/>
          <w:b/>
          <w:i w:val="0"/>
          <w:u w:val="none"/>
        </w:rPr>
        <w:t>exclusivamente en dinero</w:t>
      </w:r>
      <w:r>
        <w:rPr>
          <w:rFonts w:ascii="Times New Roman" w:hAnsi="Times New Roman"/>
          <w:b w:val="0"/>
          <w:i w:val="0"/>
          <w:u w:val="none"/>
        </w:rPr>
        <w:t>, no se requiere consentimiento del cónyuge: el artículo 1.º de la Ley 28 de 1932 otorga a cada cónyuge la libre administración y disposición de los bienes que adquiera durante el matrimonio. La exigencia de consentimiento conyugal opera respecto de la enajenación de inmuebles sociales, no del aporte de dinero.</w:t>
      </w:r>
    </w:p>
    <w:p>
      <w:r>
        <w:rPr>
          <w:rFonts w:ascii="Times New Roman" w:hAnsi="Times New Roman"/>
          <w:b/>
          <w:i w:val="0"/>
          <w:u w:val="none"/>
        </w:rPr>
        <w:t>La advertencia que sí debe hacerse.</w:t>
      </w:r>
      <w:r>
        <w:rPr>
          <w:rFonts w:ascii="Times New Roman" w:hAnsi="Times New Roman"/>
          <w:b w:val="0"/>
          <w:i w:val="0"/>
          <w:u w:val="none"/>
        </w:rPr>
        <w:t xml:space="preserve"> Salvo capitulaciones matrimoniales o régimen de separación de bienes, las </w:t>
      </w:r>
      <w:r>
        <w:rPr>
          <w:rFonts w:ascii="Times New Roman" w:hAnsi="Times New Roman"/>
          <w:b/>
          <w:i w:val="0"/>
          <w:u w:val="none"/>
        </w:rPr>
        <w:t>acciones adquiridas por Felipe durante el matrimonio ingresan al haber de la sociedad conyugal</w:t>
      </w:r>
      <w:r>
        <w:rPr>
          <w:rFonts w:ascii="Times New Roman" w:hAnsi="Times New Roman"/>
          <w:b w:val="0"/>
          <w:i w:val="0"/>
          <w:u w:val="none"/>
        </w:rPr>
        <w:t xml:space="preserve"> (artículo 1781 del Código Civil). En caso de disolución de la sociedad conyugal —por divorcio, separación de bienes o muerte—, el cónyuge tendría derecho a gananciales sobre esas acciones. Esto podría hacer ingresar a la sociedad, por vía de adjudicación, a una persona ajena al proyecto empresarial.</w:t>
      </w:r>
    </w:p>
    <w:p>
      <w:r>
        <w:rPr>
          <w:rFonts w:ascii="Times New Roman" w:hAnsi="Times New Roman"/>
          <w:b/>
          <w:i w:val="0"/>
          <w:u w:val="none"/>
        </w:rPr>
        <w:t>Cómo se mitigó.</w:t>
      </w:r>
      <w:r>
        <w:rPr>
          <w:rFonts w:ascii="Times New Roman" w:hAnsi="Times New Roman"/>
          <w:b w:val="0"/>
          <w:i w:val="0"/>
          <w:u w:val="none"/>
        </w:rPr>
        <w:t xml:space="preserve"> Mediante tres cláusulas: el </w:t>
      </w:r>
      <w:r>
        <w:rPr>
          <w:rFonts w:ascii="Times New Roman" w:hAnsi="Times New Roman"/>
          <w:b/>
          <w:i w:val="0"/>
          <w:u w:val="none"/>
        </w:rPr>
        <w:t>derecho de preferencia en la negociación</w:t>
      </w:r>
      <w:r>
        <w:rPr>
          <w:rFonts w:ascii="Times New Roman" w:hAnsi="Times New Roman"/>
          <w:b w:val="0"/>
          <w:i w:val="0"/>
          <w:u w:val="none"/>
        </w:rPr>
        <w:t xml:space="preserve"> (artículo 14 de los estatutos, con apoyo en el artículo 13 de la Ley 1258), la </w:t>
      </w:r>
      <w:r>
        <w:rPr>
          <w:rFonts w:ascii="Times New Roman" w:hAnsi="Times New Roman"/>
          <w:b/>
          <w:i w:val="0"/>
          <w:u w:val="none"/>
        </w:rPr>
        <w:t>autorización previa de la asamblea para transferir acciones a terceros</w:t>
      </w:r>
      <w:r>
        <w:rPr>
          <w:rFonts w:ascii="Times New Roman" w:hAnsi="Times New Roman"/>
          <w:b w:val="0"/>
          <w:i w:val="0"/>
          <w:u w:val="none"/>
        </w:rPr>
        <w:t xml:space="preserve"> por diez años (artículo 15, con apoyo en el artículo 14 de la Ley 1258) y la mención expresa del artículo 40 de la Ley 1258 sobre </w:t>
      </w:r>
      <w:r>
        <w:rPr>
          <w:rFonts w:ascii="Times New Roman" w:hAnsi="Times New Roman"/>
          <w:b/>
          <w:i w:val="0"/>
          <w:u w:val="none"/>
        </w:rPr>
        <w:t>acuerdos de accionistas</w:t>
      </w:r>
      <w:r>
        <w:rPr>
          <w:rFonts w:ascii="Times New Roman" w:hAnsi="Times New Roman"/>
          <w:b w:val="0"/>
          <w:i w:val="0"/>
          <w:u w:val="none"/>
        </w:rPr>
        <w:t>, que permitiría pactar reglas adicionales de sucesión en la participación. Se recomienda a Felipe, adicionalmente, evaluar la conveniencia de capitulaciones matrimoniales; esa es, sin embargo, una decisión de su fuero personal.</w:t>
      </w:r>
    </w:p>
    <w:p>
      <w:r>
        <w:rPr>
          <w:rFonts w:ascii="Times New Roman" w:hAnsi="Times New Roman"/>
          <w:b/>
          <w:i w:val="0"/>
          <w:u w:val="none"/>
        </w:rPr>
        <w:t>Por qué se aporta en dinero y no en especie.</w:t>
      </w:r>
      <w:r>
        <w:rPr>
          <w:rFonts w:ascii="Times New Roman" w:hAnsi="Times New Roman"/>
          <w:b w:val="0"/>
          <w:i w:val="0"/>
          <w:u w:val="none"/>
        </w:rPr>
        <w:t xml:space="preserve"> Se descartó el aporte en especie porque habría exigido el avalúo unánime de los accionistas con la responsabilidad solidaria del artículo 398 del Código de Comercio y, tratándose de bienes sujetos a registro, la constitución por </w:t>
      </w:r>
      <w:r>
        <w:rPr>
          <w:rFonts w:ascii="Times New Roman" w:hAnsi="Times New Roman"/>
          <w:b/>
          <w:i w:val="0"/>
          <w:u w:val="none"/>
        </w:rPr>
        <w:t>escritura pública</w:t>
      </w:r>
      <w:r>
        <w:rPr>
          <w:rFonts w:ascii="Times New Roman" w:hAnsi="Times New Roman"/>
          <w:b w:val="0"/>
          <w:i w:val="0"/>
          <w:u w:val="none"/>
        </w:rPr>
        <w:t xml:space="preserve"> en lugar de documento privado (parágrafo 2.º del artículo 5.º de la Ley 1258), encareciendo y demorando el trámite sin beneficio alguno.</w:t>
      </w:r>
    </w:p>
    <w:p>
      <w:pPr>
        <w:keepNext/>
        <w:spacing w:before="240" w:after="80"/>
        <w:jc w:val="left"/>
      </w:pPr>
      <w:r>
        <w:rPr>
          <w:rFonts w:ascii="Times New Roman" w:hAnsi="Times New Roman"/>
          <w:b/>
          <w:i w:val="0"/>
          <w:sz w:val="24"/>
          <w:u w:val="none"/>
        </w:rPr>
        <w:t>9. Administración sin junta directiva</w:t>
      </w:r>
    </w:p>
    <w:p>
      <w:r>
        <w:rPr>
          <w:rFonts w:ascii="Times New Roman" w:hAnsi="Times New Roman"/>
          <w:b w:val="0"/>
          <w:i w:val="0"/>
          <w:u w:val="none"/>
        </w:rPr>
        <w:t xml:space="preserve">El artículo 25 de la Ley 1258 dispone que la S.A.S. </w:t>
      </w:r>
      <w:r>
        <w:rPr>
          <w:rFonts w:ascii="Times New Roman" w:hAnsi="Times New Roman"/>
          <w:b/>
          <w:i w:val="0"/>
          <w:u w:val="none"/>
        </w:rPr>
        <w:t>no está obligada a tener junta directiva</w:t>
      </w:r>
      <w:r>
        <w:rPr>
          <w:rFonts w:ascii="Times New Roman" w:hAnsi="Times New Roman"/>
          <w:b w:val="0"/>
          <w:i w:val="0"/>
          <w:u w:val="none"/>
        </w:rPr>
        <w:t xml:space="preserve">, salvo previsión estatutaria en contrario; si no se pacta, la totalidad de las funciones de administración corresponde al representante legal. Se optó por </w:t>
      </w:r>
      <w:r>
        <w:rPr>
          <w:rFonts w:ascii="Times New Roman" w:hAnsi="Times New Roman"/>
          <w:b/>
          <w:i w:val="0"/>
          <w:u w:val="none"/>
        </w:rPr>
        <w:t>no crearla</w:t>
      </w:r>
      <w:r>
        <w:rPr>
          <w:rFonts w:ascii="Times New Roman" w:hAnsi="Times New Roman"/>
          <w:b w:val="0"/>
          <w:i w:val="0"/>
          <w:u w:val="none"/>
        </w:rPr>
        <w:t>. Para una sociedad de dos accionistas que además son los dos administradores, una junta directiva sería un órgano redundante: sus miembros serían las mismas personas que integran la asamblea, y su funcionamiento añadiría costos de convocatoria, actas y registro sin aportar control efectivo. Se previó, no obstante, la posibilidad de crearla en el futuro mediante reforma estatutaria, dejando constancia de que en tal caso no sería obligatorio el sistema de cuociente electoral, según el mismo artículo 25.</w:t>
      </w:r>
    </w:p>
    <w:p>
      <w:pPr>
        <w:keepNext/>
        <w:spacing w:before="240" w:after="80"/>
        <w:jc w:val="left"/>
      </w:pPr>
      <w:r>
        <w:rPr>
          <w:rFonts w:ascii="Times New Roman" w:hAnsi="Times New Roman"/>
          <w:b/>
          <w:i w:val="0"/>
          <w:sz w:val="24"/>
          <w:u w:val="none"/>
        </w:rPr>
        <w:t>10. Representante legal principal y suplente</w:t>
      </w:r>
    </w:p>
    <w:p>
      <w:r>
        <w:rPr>
          <w:rFonts w:ascii="Times New Roman" w:hAnsi="Times New Roman"/>
          <w:b/>
          <w:i w:val="0"/>
          <w:u w:val="none"/>
        </w:rPr>
        <w:t>La decisión.</w:t>
      </w:r>
      <w:r>
        <w:rPr>
          <w:rFonts w:ascii="Times New Roman" w:hAnsi="Times New Roman"/>
          <w:b w:val="0"/>
          <w:i w:val="0"/>
          <w:u w:val="none"/>
        </w:rPr>
        <w:t xml:space="preserve"> Mariana como principal y Felipe como suplente, tal como lo indica el levantamiento.</w:t>
      </w:r>
    </w:p>
    <w:p>
      <w:r>
        <w:rPr>
          <w:rFonts w:ascii="Times New Roman" w:hAnsi="Times New Roman"/>
          <w:b/>
          <w:i w:val="0"/>
          <w:u w:val="none"/>
        </w:rPr>
        <w:t>Su coherencia interna.</w:t>
      </w:r>
      <w:r>
        <w:rPr>
          <w:rFonts w:ascii="Times New Roman" w:hAnsi="Times New Roman"/>
          <w:b w:val="0"/>
          <w:i w:val="0"/>
          <w:u w:val="none"/>
        </w:rPr>
        <w:t xml:space="preserve"> La designación de Mariana como principal es consistente con dos datos del caso: es la accionista mayoritaria (65 %) y es la persona en cuya condición etaria se funda el beneficio de la Ley 1780. Que el suplente sea el accionista minoritario cumple una función de equilibrio: garantiza que la administración no quede paralizada en ausencia de Mariana y otorga a Felipe una posición institucional dentro de la sociedad que compensa su menor participación.</w:t>
      </w:r>
    </w:p>
    <w:p>
      <w:r>
        <w:rPr>
          <w:rFonts w:ascii="Times New Roman" w:hAnsi="Times New Roman"/>
          <w:b/>
          <w:i w:val="0"/>
          <w:u w:val="none"/>
        </w:rPr>
        <w:t>Cláusulas técnicas incorporadas.</w:t>
      </w:r>
      <w:r>
        <w:rPr>
          <w:rFonts w:ascii="Times New Roman" w:hAnsi="Times New Roman"/>
          <w:b w:val="0"/>
          <w:i w:val="0"/>
          <w:u w:val="none"/>
        </w:rPr>
        <w:t xml:space="preserve"> Se precisó que el suplente reemplaza al principal en sus faltas </w:t>
      </w:r>
      <w:r>
        <w:rPr>
          <w:rFonts w:ascii="Times New Roman" w:hAnsi="Times New Roman"/>
          <w:b/>
          <w:i w:val="0"/>
          <w:u w:val="none"/>
        </w:rPr>
        <w:t>absolutas, temporales o accidentales</w:t>
      </w:r>
      <w:r>
        <w:rPr>
          <w:rFonts w:ascii="Times New Roman" w:hAnsi="Times New Roman"/>
          <w:b w:val="0"/>
          <w:i w:val="0"/>
          <w:u w:val="none"/>
        </w:rPr>
        <w:t xml:space="preserve">, y —cláusula de importancia práctica— que </w:t>
      </w:r>
      <w:r>
        <w:rPr>
          <w:rFonts w:ascii="Times New Roman" w:hAnsi="Times New Roman"/>
          <w:b/>
          <w:i w:val="0"/>
          <w:u w:val="none"/>
        </w:rPr>
        <w:t>no debe acreditar la falta del principal frente a terceros</w:t>
      </w:r>
      <w:r>
        <w:rPr>
          <w:rFonts w:ascii="Times New Roman" w:hAnsi="Times New Roman"/>
          <w:b w:val="0"/>
          <w:i w:val="0"/>
          <w:u w:val="none"/>
        </w:rPr>
        <w:t xml:space="preserve">. Sin esta previsión, cada contraparte podría exigir prueba de la ausencia del representante principal, lo que en la práctica anula la utilidad de la suplencia. Se estableció período </w:t>
      </w:r>
      <w:r>
        <w:rPr>
          <w:rFonts w:ascii="Times New Roman" w:hAnsi="Times New Roman"/>
          <w:b/>
          <w:i w:val="0"/>
          <w:u w:val="none"/>
        </w:rPr>
        <w:t>indefinido</w:t>
      </w:r>
      <w:r>
        <w:rPr>
          <w:rFonts w:ascii="Times New Roman" w:hAnsi="Times New Roman"/>
          <w:b w:val="0"/>
          <w:i w:val="0"/>
          <w:u w:val="none"/>
        </w:rPr>
        <w:t xml:space="preserve"> y remoción </w:t>
      </w:r>
      <w:r>
        <w:rPr>
          <w:rFonts w:ascii="Times New Roman" w:hAnsi="Times New Roman"/>
          <w:b/>
          <w:i w:val="0"/>
          <w:u w:val="none"/>
        </w:rPr>
        <w:t>ad nutum</w:t>
      </w:r>
      <w:r>
        <w:rPr>
          <w:rFonts w:ascii="Times New Roman" w:hAnsi="Times New Roman"/>
          <w:b w:val="0"/>
          <w:i w:val="0"/>
          <w:u w:val="none"/>
        </w:rPr>
        <w:t xml:space="preserve"> por la asamblea, conforme al artículo 26 de la Ley 1258, y se recordó que el nombramiento solo es oponible a terceros desde su </w:t>
      </w:r>
      <w:r>
        <w:rPr>
          <w:rFonts w:ascii="Times New Roman" w:hAnsi="Times New Roman"/>
          <w:b/>
          <w:i w:val="0"/>
          <w:u w:val="none"/>
        </w:rPr>
        <w:t>inscripción</w:t>
      </w:r>
      <w:r>
        <w:rPr>
          <w:rFonts w:ascii="Times New Roman" w:hAnsi="Times New Roman"/>
          <w:b w:val="0"/>
          <w:i w:val="0"/>
          <w:u w:val="none"/>
        </w:rPr>
        <w:t xml:space="preserve"> en el registro mercantil (artículo 164 del Código de Comercio).</w:t>
      </w:r>
    </w:p>
    <w:p>
      <w:pPr>
        <w:keepNext/>
        <w:spacing w:before="240" w:after="80"/>
        <w:jc w:val="left"/>
      </w:pPr>
      <w:r>
        <w:rPr>
          <w:rFonts w:ascii="Times New Roman" w:hAnsi="Times New Roman"/>
          <w:b/>
          <w:i w:val="0"/>
          <w:sz w:val="24"/>
          <w:u w:val="none"/>
        </w:rPr>
        <w:t>11. Limitación de las facultades del representante legal</w:t>
      </w:r>
    </w:p>
    <w:p>
      <w:r>
        <w:rPr>
          <w:rFonts w:ascii="Times New Roman" w:hAnsi="Times New Roman"/>
          <w:b w:val="0"/>
          <w:i w:val="0"/>
          <w:u w:val="none"/>
        </w:rPr>
        <w:t xml:space="preserve">Se pactó que el representante legal requiere autorización previa de la asamblea para actos cuya cuantía individual exceda </w:t>
      </w:r>
      <w:r>
        <w:rPr>
          <w:rFonts w:ascii="Times New Roman" w:hAnsi="Times New Roman"/>
          <w:b/>
          <w:i w:val="0"/>
          <w:u w:val="none"/>
        </w:rPr>
        <w:t>cien (100) salarios mínimos legales mensuales vigentes</w:t>
      </w:r>
      <w:r>
        <w:rPr>
          <w:rFonts w:ascii="Times New Roman" w:hAnsi="Times New Roman"/>
          <w:b w:val="0"/>
          <w:i w:val="0"/>
          <w:u w:val="none"/>
        </w:rPr>
        <w:t>, para gravar o enajenar inmuebles cualquiera que sea la cuantía, para garantizar obligaciones de terceros, para adquirir participaciones en otras sociedades y para operar en conflicto de interés.</w:t>
      </w:r>
    </w:p>
    <w:p>
      <w:r>
        <w:rPr>
          <w:rFonts w:ascii="Times New Roman" w:hAnsi="Times New Roman"/>
          <w:b/>
          <w:i w:val="0"/>
          <w:u w:val="none"/>
        </w:rPr>
        <w:t>Por qué se incluye.</w:t>
      </w:r>
      <w:r>
        <w:rPr>
          <w:rFonts w:ascii="Times New Roman" w:hAnsi="Times New Roman"/>
          <w:b w:val="0"/>
          <w:i w:val="0"/>
          <w:u w:val="none"/>
        </w:rPr>
        <w:t xml:space="preserve"> Porque en esta sociedad el representante legal principal es también el accionista mayoritario. Sin límite de cuantía, Mariana podría comprometer el patrimonio social sin contrapeso alguno, y Felipe carecería de mecanismo preventivo: solo le quedaría la acción de responsabilidad posterior, que repara pero no evita el daño.</w:t>
      </w:r>
    </w:p>
    <w:p>
      <w:r>
        <w:rPr>
          <w:rFonts w:ascii="Times New Roman" w:hAnsi="Times New Roman"/>
          <w:b/>
          <w:i w:val="0"/>
          <w:u w:val="none"/>
        </w:rPr>
        <w:t>Por qué 100 SMLMV.</w:t>
      </w:r>
      <w:r>
        <w:rPr>
          <w:rFonts w:ascii="Times New Roman" w:hAnsi="Times New Roman"/>
          <w:b w:val="0"/>
          <w:i w:val="0"/>
          <w:u w:val="none"/>
        </w:rPr>
        <w:t xml:space="preserve"> El umbral debe ser lo bastante alto para no entorpecer la operación ordinaria —nómina, arrendamiento del local, insumos— y lo bastante bajo para captar las decisiones patrimonialmente significativas frente a un capital pagado de $600.000.000. Con un salario mínimo del orden de $1.400.000, cien salarios equivalen aproximadamente a </w:t>
      </w:r>
      <w:r>
        <w:rPr>
          <w:rFonts w:ascii="Times New Roman" w:hAnsi="Times New Roman"/>
          <w:b/>
          <w:i w:val="0"/>
          <w:u w:val="none"/>
        </w:rPr>
        <w:t>$140.000.000</w:t>
      </w:r>
      <w:r>
        <w:rPr>
          <w:rFonts w:ascii="Times New Roman" w:hAnsi="Times New Roman"/>
          <w:b w:val="0"/>
          <w:i w:val="0"/>
          <w:u w:val="none"/>
        </w:rPr>
        <w:t xml:space="preserve">, esto es, cerca del </w:t>
      </w:r>
      <w:r>
        <w:rPr>
          <w:rFonts w:ascii="Times New Roman" w:hAnsi="Times New Roman"/>
          <w:b/>
          <w:i w:val="0"/>
          <w:u w:val="none"/>
        </w:rPr>
        <w:t>23 % del capital pagado</w:t>
      </w:r>
      <w:r>
        <w:rPr>
          <w:rFonts w:ascii="Times New Roman" w:hAnsi="Times New Roman"/>
          <w:b w:val="0"/>
          <w:i w:val="0"/>
          <w:u w:val="none"/>
        </w:rPr>
        <w:t>: un acto de esa magnitud compromete casi una cuarta parte del patrimonio social y merece pasar por la asamblea, mientras que la operación corriente —una nómina mensual de nueve trabajadores o el canon de una oficina— queda holgadamente por debajo.</w:t>
      </w:r>
    </w:p>
    <w:p>
      <w:r>
        <w:rPr>
          <w:rFonts w:ascii="Times New Roman" w:hAnsi="Times New Roman"/>
          <w:b/>
          <w:i w:val="0"/>
          <w:u w:val="none"/>
        </w:rPr>
        <w:t>Un umbral descartado por inoperante.</w:t>
      </w:r>
      <w:r>
        <w:rPr>
          <w:rFonts w:ascii="Times New Roman" w:hAnsi="Times New Roman"/>
          <w:b w:val="0"/>
          <w:i w:val="0"/>
          <w:u w:val="none"/>
        </w:rPr>
        <w:t xml:space="preserve"> La primera versión de esta cláusula fijaba el límite en 500 SMLMV. La cifra no resiste la verificación aritmética: quinientos salarios mínimos equivalen aproximadamente a </w:t>
      </w:r>
      <w:r>
        <w:rPr>
          <w:rFonts w:ascii="Times New Roman" w:hAnsi="Times New Roman"/>
          <w:b/>
          <w:i w:val="0"/>
          <w:u w:val="none"/>
        </w:rPr>
        <w:t>$700.000.000</w:t>
      </w:r>
      <w:r>
        <w:rPr>
          <w:rFonts w:ascii="Times New Roman" w:hAnsi="Times New Roman"/>
          <w:b w:val="0"/>
          <w:i w:val="0"/>
          <w:u w:val="none"/>
        </w:rPr>
        <w:t xml:space="preserve">, suma </w:t>
      </w:r>
      <w:r>
        <w:rPr>
          <w:rFonts w:ascii="Times New Roman" w:hAnsi="Times New Roman"/>
          <w:b/>
          <w:i w:val="0"/>
          <w:u w:val="none"/>
        </w:rPr>
        <w:t>superior a la totalidad del capital pagado</w:t>
      </w:r>
      <w:r>
        <w:rPr>
          <w:rFonts w:ascii="Times New Roman" w:hAnsi="Times New Roman"/>
          <w:b w:val="0"/>
          <w:i w:val="0"/>
          <w:u w:val="none"/>
        </w:rPr>
        <w:t xml:space="preserve"> de la sociedad. Una limitación así redactada jamás se activaría, porque ningún acto que la sociedad pueda celebrar con su propio patrimonio alcanzaría el umbral. Habría sido una cláusula de apariencia protectora y efecto nulo. El punto ilustra una regla de redacción societaria: </w:t>
      </w:r>
      <w:r>
        <w:rPr>
          <w:rFonts w:ascii="Times New Roman" w:hAnsi="Times New Roman"/>
          <w:b/>
          <w:i w:val="0"/>
          <w:u w:val="none"/>
        </w:rPr>
        <w:t>todo umbral de cuantía debe contrastarse contra el capital de la sociedad concreta</w:t>
      </w:r>
      <w:r>
        <w:rPr>
          <w:rFonts w:ascii="Times New Roman" w:hAnsi="Times New Roman"/>
          <w:b w:val="0"/>
          <w:i w:val="0"/>
          <w:u w:val="none"/>
        </w:rPr>
        <w:t>, no copiarse de un modelo.</w:t>
      </w:r>
    </w:p>
    <w:p>
      <w:r>
        <w:rPr>
          <w:rFonts w:ascii="Times New Roman" w:hAnsi="Times New Roman"/>
          <w:b/>
          <w:i w:val="0"/>
          <w:u w:val="none"/>
        </w:rPr>
        <w:t>Su eficacia frente a terceros.</w:t>
      </w:r>
      <w:r>
        <w:rPr>
          <w:rFonts w:ascii="Times New Roman" w:hAnsi="Times New Roman"/>
          <w:b w:val="0"/>
          <w:i w:val="0"/>
          <w:u w:val="none"/>
        </w:rPr>
        <w:t xml:space="preserve"> La limitación es oponible desde la inscripción de los estatutos en el registro mercantil, porque el certificado de existencia y representación legal la incorpora y el registro es público. Este es el fundamento de su valor real: no se trata de una instrucción interna, sino de una restricción de la capacidad de representación.</w:t>
      </w:r>
    </w:p>
    <w:p>
      <w:pPr>
        <w:keepNext/>
        <w:spacing w:before="240" w:after="80"/>
        <w:jc w:val="left"/>
      </w:pPr>
      <w:r>
        <w:rPr>
          <w:rFonts w:ascii="Times New Roman" w:hAnsi="Times New Roman"/>
          <w:b/>
          <w:i w:val="0"/>
          <w:sz w:val="24"/>
          <w:u w:val="none"/>
        </w:rPr>
        <w:t>12. No designación de revisor fiscal</w:t>
      </w:r>
    </w:p>
    <w:p>
      <w:r>
        <w:rPr>
          <w:rFonts w:ascii="Times New Roman" w:hAnsi="Times New Roman"/>
          <w:b/>
          <w:i w:val="0"/>
          <w:u w:val="none"/>
        </w:rPr>
        <w:t>La decisión.</w:t>
      </w:r>
      <w:r>
        <w:rPr>
          <w:rFonts w:ascii="Times New Roman" w:hAnsi="Times New Roman"/>
          <w:b w:val="0"/>
          <w:i w:val="0"/>
          <w:u w:val="none"/>
        </w:rPr>
        <w:t xml:space="preserve"> No se designa revisor fiscal.</w:t>
      </w:r>
    </w:p>
    <w:p>
      <w:r>
        <w:rPr>
          <w:rFonts w:ascii="Times New Roman" w:hAnsi="Times New Roman"/>
          <w:b/>
          <w:i w:val="0"/>
          <w:u w:val="none"/>
        </w:rPr>
        <w:t>Fundamento.</w:t>
      </w:r>
      <w:r>
        <w:rPr>
          <w:rFonts w:ascii="Times New Roman" w:hAnsi="Times New Roman"/>
          <w:b w:val="0"/>
          <w:i w:val="0"/>
          <w:u w:val="none"/>
        </w:rPr>
        <w:t xml:space="preserve"> El artículo 28 de la Ley 1258 dispone que la S.A.S. solo está obligada a tenerlo cuando lo ordene la ley. El parágrafo 2.º del artículo 13 de la Ley 43 de 1990 impone la revisoría a las sociedades cuyos </w:t>
      </w:r>
      <w:r>
        <w:rPr>
          <w:rFonts w:ascii="Times New Roman" w:hAnsi="Times New Roman"/>
          <w:b/>
          <w:i w:val="0"/>
          <w:u w:val="none"/>
        </w:rPr>
        <w:t>activos brutos</w:t>
      </w:r>
      <w:r>
        <w:rPr>
          <w:rFonts w:ascii="Times New Roman" w:hAnsi="Times New Roman"/>
          <w:b w:val="0"/>
          <w:i w:val="0"/>
          <w:u w:val="none"/>
        </w:rPr>
        <w:t xml:space="preserve"> a 31 de diciembre del año anterior sean o excedan </w:t>
      </w:r>
      <w:r>
        <w:rPr>
          <w:rFonts w:ascii="Times New Roman" w:hAnsi="Times New Roman"/>
          <w:b/>
          <w:i w:val="0"/>
          <w:u w:val="none"/>
        </w:rPr>
        <w:t>5.000 SMLMV</w:t>
      </w:r>
      <w:r>
        <w:rPr>
          <w:rFonts w:ascii="Times New Roman" w:hAnsi="Times New Roman"/>
          <w:b w:val="0"/>
          <w:i w:val="0"/>
          <w:u w:val="none"/>
        </w:rPr>
        <w:t xml:space="preserve">, o cuyos </w:t>
      </w:r>
      <w:r>
        <w:rPr>
          <w:rFonts w:ascii="Times New Roman" w:hAnsi="Times New Roman"/>
          <w:b/>
          <w:i w:val="0"/>
          <w:u w:val="none"/>
        </w:rPr>
        <w:t>ingresos brutos</w:t>
      </w:r>
      <w:r>
        <w:rPr>
          <w:rFonts w:ascii="Times New Roman" w:hAnsi="Times New Roman"/>
          <w:b w:val="0"/>
          <w:i w:val="0"/>
          <w:u w:val="none"/>
        </w:rPr>
        <w:t xml:space="preserve"> de ese año sean o excedan </w:t>
      </w:r>
      <w:r>
        <w:rPr>
          <w:rFonts w:ascii="Times New Roman" w:hAnsi="Times New Roman"/>
          <w:b/>
          <w:i w:val="0"/>
          <w:u w:val="none"/>
        </w:rPr>
        <w:t>3.000 SMLMV</w:t>
      </w:r>
      <w:r>
        <w:rPr>
          <w:rFonts w:ascii="Times New Roman" w:hAnsi="Times New Roman"/>
          <w:b w:val="0"/>
          <w:i w:val="0"/>
          <w:u w:val="none"/>
        </w:rPr>
        <w:t>.</w:t>
      </w:r>
    </w:p>
    <w:p>
      <w:r>
        <w:rPr>
          <w:rFonts w:ascii="Times New Roman" w:hAnsi="Times New Roman"/>
          <w:b/>
          <w:i w:val="0"/>
          <w:u w:val="none"/>
        </w:rPr>
        <w:t>La verificación.</w:t>
      </w:r>
      <w:r>
        <w:rPr>
          <w:rFonts w:ascii="Times New Roman" w:hAnsi="Times New Roman"/>
          <w:b w:val="0"/>
          <w:i w:val="0"/>
          <w:u w:val="none"/>
        </w:rPr>
        <w:t xml:space="preserve"> Con un salario mínimo del orden de $1.400.000, los umbrales equivalen aproximadamente a $7.000.000.000 en activos y $4.200.000.000 en ingresos. Los activos de NOVA BIENESTAR INTEGRAL S.A.S. ascienden a $600.000.000, muy por debajo del primer umbral; y al momento de la constitución no existe ejercicio anterior que permita medir ingresos. La sociedad, por tanto, </w:t>
      </w:r>
      <w:r>
        <w:rPr>
          <w:rFonts w:ascii="Times New Roman" w:hAnsi="Times New Roman"/>
          <w:b/>
          <w:i w:val="0"/>
          <w:u w:val="none"/>
        </w:rPr>
        <w:t>no está obligada</w:t>
      </w:r>
      <w:r>
        <w:rPr>
          <w:rFonts w:ascii="Times New Roman" w:hAnsi="Times New Roman"/>
          <w:b w:val="0"/>
          <w:i w:val="0"/>
          <w:u w:val="none"/>
        </w:rPr>
        <w:t>.</w:t>
      </w:r>
    </w:p>
    <w:p>
      <w:r>
        <w:rPr>
          <w:rFonts w:ascii="Times New Roman" w:hAnsi="Times New Roman"/>
          <w:b/>
          <w:i w:val="0"/>
          <w:u w:val="none"/>
        </w:rPr>
        <w:t>Cautela incorporada.</w:t>
      </w:r>
      <w:r>
        <w:rPr>
          <w:rFonts w:ascii="Times New Roman" w:hAnsi="Times New Roman"/>
          <w:b w:val="0"/>
          <w:i w:val="0"/>
          <w:u w:val="none"/>
        </w:rPr>
        <w:t xml:space="preserve"> El parágrafo primero del artículo 30 de los estatutos ordena designar revisor fiscal cuando se supere cualquiera de los umbrales, a más tardar en la reunión ordinaria del año siguiente. Y el parágrafo segundo prevé que, entretanto, las certificaciones legalmente exigidas las expida un </w:t>
      </w:r>
      <w:r>
        <w:rPr>
          <w:rFonts w:ascii="Times New Roman" w:hAnsi="Times New Roman"/>
          <w:b/>
          <w:i w:val="0"/>
          <w:u w:val="none"/>
        </w:rPr>
        <w:t>contador público independiente</w:t>
      </w:r>
      <w:r>
        <w:rPr>
          <w:rFonts w:ascii="Times New Roman" w:hAnsi="Times New Roman"/>
          <w:b w:val="0"/>
          <w:i w:val="0"/>
          <w:u w:val="none"/>
        </w:rPr>
        <w:t>, tal como lo autoriza el parágrafo del artículo 28 de la Ley 1258. Esta cláusula evita que la sociedad quede sin mecanismo de certificación contable, que es el problema práctico habitual de las S.A.S. sin revisoría.</w:t>
      </w:r>
    </w:p>
    <w:p>
      <w:pPr>
        <w:keepNext/>
        <w:spacing w:before="240" w:after="80"/>
        <w:jc w:val="left"/>
      </w:pPr>
      <w:r>
        <w:rPr>
          <w:rFonts w:ascii="Times New Roman" w:hAnsi="Times New Roman"/>
          <w:b/>
          <w:i w:val="0"/>
          <w:sz w:val="24"/>
          <w:u w:val="none"/>
        </w:rPr>
        <w:t>13. Reserva legal: una obligación que no es obligación</w:t>
      </w:r>
    </w:p>
    <w:p>
      <w:r>
        <w:rPr>
          <w:rFonts w:ascii="Times New Roman" w:hAnsi="Times New Roman"/>
          <w:b/>
          <w:i w:val="0"/>
          <w:u w:val="none"/>
        </w:rPr>
        <w:t>El problema.</w:t>
      </w:r>
      <w:r>
        <w:rPr>
          <w:rFonts w:ascii="Times New Roman" w:hAnsi="Times New Roman"/>
          <w:b w:val="0"/>
          <w:i w:val="0"/>
          <w:u w:val="none"/>
        </w:rPr>
        <w:t xml:space="preserve"> ¿Debe una S.A.S. constituir reserva legal? El artículo 452 del Código de Comercio la impone a la sociedad anónima; el artículo 45 de la Ley 1258 remite a las normas de la anónima en lo no previsto. De ahí podría concluirse que la reserva es obligatoria.</w:t>
      </w:r>
    </w:p>
    <w:p>
      <w:r>
        <w:rPr>
          <w:rFonts w:ascii="Times New Roman" w:hAnsi="Times New Roman"/>
          <w:b/>
          <w:i w:val="0"/>
          <w:u w:val="none"/>
        </w:rPr>
        <w:t>La doctrina aplicable.</w:t>
      </w:r>
      <w:r>
        <w:rPr>
          <w:rFonts w:ascii="Times New Roman" w:hAnsi="Times New Roman"/>
          <w:b w:val="0"/>
          <w:i w:val="0"/>
          <w:u w:val="none"/>
        </w:rPr>
        <w:t xml:space="preserve"> La Superintendencia de Sociedades sostiene lo contrario. En el </w:t>
      </w:r>
      <w:r>
        <w:rPr>
          <w:rFonts w:ascii="Times New Roman" w:hAnsi="Times New Roman"/>
          <w:b/>
          <w:i w:val="0"/>
          <w:u w:val="none"/>
        </w:rPr>
        <w:t>Oficio 220-069664 del 27 de marzo de 2017</w:t>
      </w:r>
      <w:r>
        <w:rPr>
          <w:rFonts w:ascii="Times New Roman" w:hAnsi="Times New Roman"/>
          <w:b w:val="0"/>
          <w:i w:val="0"/>
          <w:u w:val="none"/>
        </w:rPr>
        <w:t xml:space="preserve"> precisó que la remisión del artículo 45 opera respecto de normas </w:t>
      </w:r>
      <w:r>
        <w:rPr>
          <w:rFonts w:ascii="Times New Roman" w:hAnsi="Times New Roman"/>
          <w:b/>
          <w:i w:val="0"/>
          <w:u w:val="none"/>
        </w:rPr>
        <w:t>dispositivas</w:t>
      </w:r>
      <w:r>
        <w:rPr>
          <w:rFonts w:ascii="Times New Roman" w:hAnsi="Times New Roman"/>
          <w:b w:val="0"/>
          <w:i w:val="0"/>
          <w:u w:val="none"/>
        </w:rPr>
        <w:t xml:space="preserve"> y no de normas </w:t>
      </w:r>
      <w:r>
        <w:rPr>
          <w:rFonts w:ascii="Times New Roman" w:hAnsi="Times New Roman"/>
          <w:b/>
          <w:i w:val="0"/>
          <w:u w:val="none"/>
        </w:rPr>
        <w:t>imperativas</w:t>
      </w:r>
      <w:r>
        <w:rPr>
          <w:rFonts w:ascii="Times New Roman" w:hAnsi="Times New Roman"/>
          <w:b w:val="0"/>
          <w:i w:val="0"/>
          <w:u w:val="none"/>
        </w:rPr>
        <w:t xml:space="preserve"> propias del tipo anónimo, como lo es la reserva legal; y que, en consecuencia, la S.A.S. no está obligada a constituirla, salvo que los estatutos así lo dispongan.</w:t>
      </w:r>
    </w:p>
    <w:p>
      <w:r>
        <w:rPr>
          <w:rFonts w:ascii="Times New Roman" w:hAnsi="Times New Roman"/>
          <w:b/>
          <w:i w:val="0"/>
          <w:u w:val="none"/>
        </w:rPr>
        <w:t>La decisión.</w:t>
      </w:r>
      <w:r>
        <w:rPr>
          <w:rFonts w:ascii="Times New Roman" w:hAnsi="Times New Roman"/>
          <w:b w:val="0"/>
          <w:i w:val="0"/>
          <w:u w:val="none"/>
        </w:rPr>
        <w:t xml:space="preserve"> Se pactó </w:t>
      </w:r>
      <w:r>
        <w:rPr>
          <w:rFonts w:ascii="Times New Roman" w:hAnsi="Times New Roman"/>
          <w:b/>
          <w:i w:val="0"/>
          <w:u w:val="none"/>
        </w:rPr>
        <w:t>estatutariamente</w:t>
      </w:r>
      <w:r>
        <w:rPr>
          <w:rFonts w:ascii="Times New Roman" w:hAnsi="Times New Roman"/>
          <w:b w:val="0"/>
          <w:i w:val="0"/>
          <w:u w:val="none"/>
        </w:rPr>
        <w:t xml:space="preserve"> la reserva legal —10 % de las utilidades líquidas hasta alcanzar el 50 % del capital suscrito—, con plena conciencia de que no era obligatoria.</w:t>
      </w:r>
    </w:p>
    <w:p>
      <w:r>
        <w:rPr>
          <w:rFonts w:ascii="Times New Roman" w:hAnsi="Times New Roman"/>
          <w:b/>
          <w:i w:val="0"/>
          <w:u w:val="none"/>
        </w:rPr>
        <w:t>Por qué se pactó pudiendo no hacerlo.</w:t>
      </w:r>
      <w:r>
        <w:rPr>
          <w:rFonts w:ascii="Times New Roman" w:hAnsi="Times New Roman"/>
          <w:b w:val="0"/>
          <w:i w:val="0"/>
          <w:u w:val="none"/>
        </w:rPr>
        <w:t xml:space="preserve"> Por tres razones. </w:t>
      </w:r>
      <w:r>
        <w:rPr>
          <w:rFonts w:ascii="Times New Roman" w:hAnsi="Times New Roman"/>
          <w:b/>
          <w:i w:val="0"/>
          <w:u w:val="none"/>
        </w:rPr>
        <w:t>Una</w:t>
      </w:r>
      <w:r>
        <w:rPr>
          <w:rFonts w:ascii="Times New Roman" w:hAnsi="Times New Roman"/>
          <w:b w:val="0"/>
          <w:i w:val="0"/>
          <w:u w:val="none"/>
        </w:rPr>
        <w:t xml:space="preserve">, prudencia financiera: una sociedad prestadora de servicios de salud está expuesta a contingencias de responsabilidad civil, y una reserva patrimonial actúa como colchón frente a ellas. </w:t>
      </w:r>
      <w:r>
        <w:rPr>
          <w:rFonts w:ascii="Times New Roman" w:hAnsi="Times New Roman"/>
          <w:b/>
          <w:i w:val="0"/>
          <w:u w:val="none"/>
        </w:rPr>
        <w:t>Dos</w:t>
      </w:r>
      <w:r>
        <w:rPr>
          <w:rFonts w:ascii="Times New Roman" w:hAnsi="Times New Roman"/>
          <w:b w:val="0"/>
          <w:i w:val="0"/>
          <w:u w:val="none"/>
        </w:rPr>
        <w:t xml:space="preserve">, señal frente a terceros: bancos, aseguradoras y entidades contratantes valoran la existencia de reservas al evaluar solvencia. </w:t>
      </w:r>
      <w:r>
        <w:rPr>
          <w:rFonts w:ascii="Times New Roman" w:hAnsi="Times New Roman"/>
          <w:b/>
          <w:i w:val="0"/>
          <w:u w:val="none"/>
        </w:rPr>
        <w:t>Tres</w:t>
      </w:r>
      <w:r>
        <w:rPr>
          <w:rFonts w:ascii="Times New Roman" w:hAnsi="Times New Roman"/>
          <w:b w:val="0"/>
          <w:i w:val="0"/>
          <w:u w:val="none"/>
        </w:rPr>
        <w:t>, previsión frente a la causal de disolución por incumplimiento de la hipótesis de negocio en marcha: un patrimonio reforzado reduce la probabilidad de configurarla.</w:t>
      </w:r>
    </w:p>
    <w:p>
      <w:r>
        <w:rPr>
          <w:rFonts w:ascii="Times New Roman" w:hAnsi="Times New Roman"/>
          <w:b w:val="0"/>
          <w:i w:val="0"/>
          <w:u w:val="none"/>
        </w:rPr>
        <w:t xml:space="preserve">Se dejó constancia expresa en el artículo 33 de los estatutos de que la reserva se constituye por </w:t>
      </w:r>
      <w:r>
        <w:rPr>
          <w:rFonts w:ascii="Times New Roman" w:hAnsi="Times New Roman"/>
          <w:b/>
          <w:i w:val="0"/>
          <w:u w:val="none"/>
        </w:rPr>
        <w:t>decisión estatutaria y no por mandato legal</w:t>
      </w:r>
      <w:r>
        <w:rPr>
          <w:rFonts w:ascii="Times New Roman" w:hAnsi="Times New Roman"/>
          <w:b w:val="0"/>
          <w:i w:val="0"/>
          <w:u w:val="none"/>
        </w:rPr>
        <w:t>, precisión que permite a la asamblea suprimirla en el futuro mediante reforma, sin que ello contraríe norma imperativa alguna.</w:t>
      </w:r>
    </w:p>
    <w:p>
      <w:pPr>
        <w:keepNext/>
        <w:spacing w:before="240" w:after="80"/>
        <w:jc w:val="left"/>
      </w:pPr>
      <w:r>
        <w:rPr>
          <w:rFonts w:ascii="Times New Roman" w:hAnsi="Times New Roman"/>
          <w:b/>
          <w:i w:val="0"/>
          <w:sz w:val="24"/>
          <w:u w:val="none"/>
        </w:rPr>
        <w:t>14. Distribución de utilidades</w:t>
      </w:r>
    </w:p>
    <w:p>
      <w:r>
        <w:rPr>
          <w:rFonts w:ascii="Times New Roman" w:hAnsi="Times New Roman"/>
          <w:b w:val="0"/>
          <w:i w:val="0"/>
          <w:u w:val="none"/>
        </w:rPr>
        <w:t xml:space="preserve">Se incorporó la regla del artículo 155 del Código de Comercio: distribución mínima del </w:t>
      </w:r>
      <w:r>
        <w:rPr>
          <w:rFonts w:ascii="Times New Roman" w:hAnsi="Times New Roman"/>
          <w:b/>
          <w:i w:val="0"/>
          <w:u w:val="none"/>
        </w:rPr>
        <w:t>50 %</w:t>
      </w:r>
      <w:r>
        <w:rPr>
          <w:rFonts w:ascii="Times New Roman" w:hAnsi="Times New Roman"/>
          <w:b w:val="0"/>
          <w:i w:val="0"/>
          <w:u w:val="none"/>
        </w:rPr>
        <w:t xml:space="preserve"> de las utilidades líquidas, salvo decisión adoptada con el voto favorable del </w:t>
      </w:r>
      <w:r>
        <w:rPr>
          <w:rFonts w:ascii="Times New Roman" w:hAnsi="Times New Roman"/>
          <w:b/>
          <w:i w:val="0"/>
          <w:u w:val="none"/>
        </w:rPr>
        <w:t>78 %</w:t>
      </w:r>
      <w:r>
        <w:rPr>
          <w:rFonts w:ascii="Times New Roman" w:hAnsi="Times New Roman"/>
          <w:b w:val="0"/>
          <w:i w:val="0"/>
          <w:u w:val="none"/>
        </w:rPr>
        <w:t xml:space="preserve"> de las acciones representadas. La cifra del 78 % merece explicación en este caso concreto: como Mariana tiene el 65 % y Felipe el 35 %, </w:t>
      </w:r>
      <w:r>
        <w:rPr>
          <w:rFonts w:ascii="Times New Roman" w:hAnsi="Times New Roman"/>
          <w:b/>
          <w:i w:val="0"/>
          <w:u w:val="none"/>
        </w:rPr>
        <w:t>ninguno de los dos alcanza el 78 % por sí solo</w:t>
      </w:r>
      <w:r>
        <w:rPr>
          <w:rFonts w:ascii="Times New Roman" w:hAnsi="Times New Roman"/>
          <w:b w:val="0"/>
          <w:i w:val="0"/>
          <w:u w:val="none"/>
        </w:rPr>
        <w:t>. La retención de utilidades por encima del 50 % exige, por tanto, acuerdo de ambos. Es una protección adicional para el minoritario, cuyo interés típico es recibir dividendos, frente al mayoritario, cuyo interés típico es reinvertir.</w:t>
      </w:r>
    </w:p>
    <w:p>
      <w:pPr>
        <w:keepNext/>
        <w:spacing w:before="240" w:after="80"/>
        <w:jc w:val="left"/>
      </w:pPr>
      <w:r>
        <w:rPr>
          <w:rFonts w:ascii="Times New Roman" w:hAnsi="Times New Roman"/>
          <w:b/>
          <w:i w:val="0"/>
          <w:sz w:val="24"/>
          <w:u w:val="none"/>
        </w:rPr>
        <w:t>15. Cláusula compromisoria</w:t>
      </w:r>
    </w:p>
    <w:p>
      <w:r>
        <w:rPr>
          <w:rFonts w:ascii="Times New Roman" w:hAnsi="Times New Roman"/>
          <w:b/>
          <w:i w:val="0"/>
          <w:u w:val="none"/>
        </w:rPr>
        <w:t>La decisión.</w:t>
      </w:r>
      <w:r>
        <w:rPr>
          <w:rFonts w:ascii="Times New Roman" w:hAnsi="Times New Roman"/>
          <w:b w:val="0"/>
          <w:i w:val="0"/>
          <w:u w:val="none"/>
        </w:rPr>
        <w:t xml:space="preserve"> Someter las controversias societarias a </w:t>
      </w:r>
      <w:r>
        <w:rPr>
          <w:rFonts w:ascii="Times New Roman" w:hAnsi="Times New Roman"/>
          <w:b/>
          <w:i w:val="0"/>
          <w:u w:val="none"/>
        </w:rPr>
        <w:t>arbitraje en derecho</w:t>
      </w:r>
      <w:r>
        <w:rPr>
          <w:rFonts w:ascii="Times New Roman" w:hAnsi="Times New Roman"/>
          <w:b w:val="0"/>
          <w:i w:val="0"/>
          <w:u w:val="none"/>
        </w:rPr>
        <w:t>, con árbitro único, ante el Centro de Conciliación y Arbitraje de la Cámara de Comercio de Medellín para Antioquia.</w:t>
      </w:r>
    </w:p>
    <w:p>
      <w:r>
        <w:rPr>
          <w:rFonts w:ascii="Times New Roman" w:hAnsi="Times New Roman"/>
          <w:b/>
          <w:i w:val="0"/>
          <w:u w:val="none"/>
        </w:rPr>
        <w:t>Fundamento.</w:t>
      </w:r>
      <w:r>
        <w:rPr>
          <w:rFonts w:ascii="Times New Roman" w:hAnsi="Times New Roman"/>
          <w:b w:val="0"/>
          <w:i w:val="0"/>
          <w:u w:val="none"/>
        </w:rPr>
        <w:t xml:space="preserve"> El artículo 40 de la Ley 1258 permite someter a arbitraje o a amigable composición las diferencias que ocurran entre los accionistas, la sociedad y sus administradores. La Ley 1563 de 2012 regula el trámite.</w:t>
      </w:r>
    </w:p>
    <w:p>
      <w:r>
        <w:rPr>
          <w:rFonts w:ascii="Times New Roman" w:hAnsi="Times New Roman"/>
          <w:b/>
          <w:i w:val="0"/>
          <w:u w:val="none"/>
        </w:rPr>
        <w:t>Por qué arbitraje.</w:t>
      </w:r>
      <w:r>
        <w:rPr>
          <w:rFonts w:ascii="Times New Roman" w:hAnsi="Times New Roman"/>
          <w:b w:val="0"/>
          <w:i w:val="0"/>
          <w:u w:val="none"/>
        </w:rPr>
        <w:t xml:space="preserve"> Por especialidad y por celeridad: las controversias societarias exigen conocimiento técnico y suelen requerir decisión rápida —la impugnación de una decisión de asamblea pierde utilidad si se resuelve años después—. Se optó por </w:t>
      </w:r>
      <w:r>
        <w:rPr>
          <w:rFonts w:ascii="Times New Roman" w:hAnsi="Times New Roman"/>
          <w:b/>
          <w:i w:val="0"/>
          <w:u w:val="none"/>
        </w:rPr>
        <w:t>árbitro único</w:t>
      </w:r>
      <w:r>
        <w:rPr>
          <w:rFonts w:ascii="Times New Roman" w:hAnsi="Times New Roman"/>
          <w:b w:val="0"/>
          <w:i w:val="0"/>
          <w:u w:val="none"/>
        </w:rPr>
        <w:t xml:space="preserve"> y no por tribunal de tres porque el costo de un tribunal colegiado resulta desproporcionado frente al tamaño de esta sociedad.</w:t>
      </w:r>
    </w:p>
    <w:p>
      <w:r>
        <w:rPr>
          <w:rFonts w:ascii="Times New Roman" w:hAnsi="Times New Roman"/>
          <w:b/>
          <w:i w:val="0"/>
          <w:u w:val="none"/>
        </w:rPr>
        <w:t>Alcance y límite.</w:t>
      </w:r>
      <w:r>
        <w:rPr>
          <w:rFonts w:ascii="Times New Roman" w:hAnsi="Times New Roman"/>
          <w:b w:val="0"/>
          <w:i w:val="0"/>
          <w:u w:val="none"/>
        </w:rPr>
        <w:t xml:space="preserve"> Se dejó a salvo expresamente la competencia </w:t>
      </w:r>
      <w:r>
        <w:rPr>
          <w:rFonts w:ascii="Times New Roman" w:hAnsi="Times New Roman"/>
          <w:b/>
          <w:i w:val="0"/>
          <w:u w:val="none"/>
        </w:rPr>
        <w:t>jurisdiccional de la Superintendencia de Sociedades</w:t>
      </w:r>
      <w:r>
        <w:rPr>
          <w:rFonts w:ascii="Times New Roman" w:hAnsi="Times New Roman"/>
          <w:b w:val="0"/>
          <w:i w:val="0"/>
          <w:u w:val="none"/>
        </w:rPr>
        <w:t>, atribuida por los artículos 24 del Código General del Proceso, 40, 42 y 43 de la Ley 1258 y 252 de la Ley 1450 de 2011. La precisión evita un error frecuente: pretender que la cláusula compromisoria desplaza materias que la ley reserva a esa superintendencia, como la declaratoria de desestimación de la personalidad jurídica.</w:t>
      </w:r>
    </w:p>
    <w:p>
      <w:r>
        <w:rPr>
          <w:rFonts w:ascii="Times New Roman" w:hAnsi="Times New Roman"/>
          <w:b/>
          <w:i w:val="0"/>
          <w:u w:val="none"/>
        </w:rPr>
        <w:t>Mayoría para modificarla.</w:t>
      </w:r>
      <w:r>
        <w:rPr>
          <w:rFonts w:ascii="Times New Roman" w:hAnsi="Times New Roman"/>
          <w:b w:val="0"/>
          <w:i w:val="0"/>
          <w:u w:val="none"/>
        </w:rPr>
        <w:t xml:space="preserve"> Unanimidad, por mandato del artículo 41 de la Ley 1258, que incluye al artículo 40 entre las cláusulas de modificación unánime. Y se advirtió el derecho de retiro del artículo 39 para el accionista que no consienta.</w:t>
      </w:r>
    </w:p>
    <w:p>
      <w:pPr>
        <w:keepNext/>
        <w:spacing w:before="240" w:after="80"/>
        <w:jc w:val="left"/>
      </w:pPr>
      <w:r>
        <w:rPr>
          <w:rFonts w:ascii="Times New Roman" w:hAnsi="Times New Roman"/>
          <w:b/>
          <w:i w:val="0"/>
          <w:sz w:val="24"/>
          <w:u w:val="none"/>
        </w:rPr>
        <w:t>16. Causales de disolución y la reforma de la Ley 2069 de 2020</w:t>
      </w:r>
    </w:p>
    <w:p>
      <w:r>
        <w:rPr>
          <w:rFonts w:ascii="Times New Roman" w:hAnsi="Times New Roman"/>
          <w:b/>
          <w:i w:val="0"/>
          <w:u w:val="none"/>
        </w:rPr>
        <w:t>El error que se evitó.</w:t>
      </w:r>
      <w:r>
        <w:rPr>
          <w:rFonts w:ascii="Times New Roman" w:hAnsi="Times New Roman"/>
          <w:b w:val="0"/>
          <w:i w:val="0"/>
          <w:u w:val="none"/>
        </w:rPr>
        <w:t xml:space="preserve"> La mayoría de los modelos de estatutos que circulan reproducen todavía, como causal de disolución, "las pérdidas que reduzcan el patrimonio neto por debajo del cincuenta por ciento del capital suscrito". Esa causal </w:t>
      </w:r>
      <w:r>
        <w:rPr>
          <w:rFonts w:ascii="Times New Roman" w:hAnsi="Times New Roman"/>
          <w:b/>
          <w:i w:val="0"/>
          <w:u w:val="none"/>
        </w:rPr>
        <w:t>ya no existe</w:t>
      </w:r>
      <w:r>
        <w:rPr>
          <w:rFonts w:ascii="Times New Roman" w:hAnsi="Times New Roman"/>
          <w:b w:val="0"/>
          <w:i w:val="0"/>
          <w:u w:val="none"/>
        </w:rPr>
        <w:t>.</w:t>
      </w:r>
    </w:p>
    <w:p>
      <w:r>
        <w:rPr>
          <w:rFonts w:ascii="Times New Roman" w:hAnsi="Times New Roman"/>
          <w:b/>
          <w:i w:val="0"/>
          <w:u w:val="none"/>
        </w:rPr>
        <w:t>La norma vigente.</w:t>
      </w:r>
      <w:r>
        <w:rPr>
          <w:rFonts w:ascii="Times New Roman" w:hAnsi="Times New Roman"/>
          <w:b w:val="0"/>
          <w:i w:val="0"/>
          <w:u w:val="none"/>
        </w:rPr>
        <w:t xml:space="preserve"> El artículo 4.º de la Ley 2069 de 2020 creó la causal de disolución por </w:t>
      </w:r>
      <w:r>
        <w:rPr>
          <w:rFonts w:ascii="Times New Roman" w:hAnsi="Times New Roman"/>
          <w:b/>
          <w:i w:val="0"/>
          <w:u w:val="none"/>
        </w:rPr>
        <w:t>no cumplimiento de la hipótesis de negocio en marcha</w:t>
      </w:r>
      <w:r>
        <w:rPr>
          <w:rFonts w:ascii="Times New Roman" w:hAnsi="Times New Roman"/>
          <w:b w:val="0"/>
          <w:i w:val="0"/>
          <w:u w:val="none"/>
        </w:rPr>
        <w:t xml:space="preserve"> al cierre del ejercicio y, en su parágrafo segundo, </w:t>
      </w:r>
      <w:r>
        <w:rPr>
          <w:rFonts w:ascii="Times New Roman" w:hAnsi="Times New Roman"/>
          <w:b/>
          <w:i w:val="0"/>
          <w:u w:val="none"/>
        </w:rPr>
        <w:t>derogó expresamente el numeral 7.º del artículo 34 de la Ley 1258 de 2008</w:t>
      </w:r>
      <w:r>
        <w:rPr>
          <w:rFonts w:ascii="Times New Roman" w:hAnsi="Times New Roman"/>
          <w:b w:val="0"/>
          <w:i w:val="0"/>
          <w:u w:val="none"/>
        </w:rPr>
        <w:t xml:space="preserve"> y el numeral 2.º del artículo 457 del Código de Comercio, entre otras normas. El parágrafo primero dispuso que toda mención legal a la causal de disolución por pérdidas se entiende referida a la nueva causal.</w:t>
      </w:r>
    </w:p>
    <w:p>
      <w:r>
        <w:rPr>
          <w:rFonts w:ascii="Times New Roman" w:hAnsi="Times New Roman"/>
          <w:b/>
          <w:i w:val="0"/>
          <w:u w:val="none"/>
        </w:rPr>
        <w:t>Cómo se recogió.</w:t>
      </w:r>
      <w:r>
        <w:rPr>
          <w:rFonts w:ascii="Times New Roman" w:hAnsi="Times New Roman"/>
          <w:b w:val="0"/>
          <w:i w:val="0"/>
          <w:u w:val="none"/>
        </w:rPr>
        <w:t xml:space="preserve"> El artículo 36 de los estatutos enuncia las causales del artículo 34 de la Ley 1258 sustituyendo la derogada por la de la Ley 2069, y su parágrafo impone a los administradores el deber de abstenerse de iniciar nuevas operaciones y de convocar de inmediato a la asamblea, con responsabilidad solidaria por los perjuicios. El artículo 37 recoge los plazos de enervamiento del artículo 35 de la Ley 1258: </w:t>
      </w:r>
      <w:r>
        <w:rPr>
          <w:rFonts w:ascii="Times New Roman" w:hAnsi="Times New Roman"/>
          <w:b/>
          <w:i w:val="0"/>
          <w:u w:val="none"/>
        </w:rPr>
        <w:t>seis meses</w:t>
      </w:r>
      <w:r>
        <w:rPr>
          <w:rFonts w:ascii="Times New Roman" w:hAnsi="Times New Roman"/>
          <w:b w:val="0"/>
          <w:i w:val="0"/>
          <w:u w:val="none"/>
        </w:rPr>
        <w:t xml:space="preserve"> como regla general y </w:t>
      </w:r>
      <w:r>
        <w:rPr>
          <w:rFonts w:ascii="Times New Roman" w:hAnsi="Times New Roman"/>
          <w:b/>
          <w:i w:val="0"/>
          <w:u w:val="none"/>
        </w:rPr>
        <w:t>dieciocho meses</w:t>
      </w:r>
      <w:r>
        <w:rPr>
          <w:rFonts w:ascii="Times New Roman" w:hAnsi="Times New Roman"/>
          <w:b w:val="0"/>
          <w:i w:val="0"/>
          <w:u w:val="none"/>
        </w:rPr>
        <w:t xml:space="preserve"> para esta causal en particular, por remisión del parágrafo primero del artículo 4.º de la Ley 2069 de 2020, que ordena entender referida a ella toda mención legal a la derogada causal de pérdidas.</w:t>
      </w:r>
    </w:p>
    <w:p>
      <w:r>
        <w:rPr>
          <w:rFonts w:ascii="Times New Roman" w:hAnsi="Times New Roman"/>
          <w:b w:val="0"/>
          <w:i w:val="0"/>
          <w:u w:val="none"/>
        </w:rPr>
        <w:t>Este punto es probablemente el más útil para sustentar el trabajo: demuestra que los estatutos se redactaron sobre la normativa vigente y no sobre un modelo desactualizado.</w:t>
      </w:r>
    </w:p>
    <w:p>
      <w:pPr>
        <w:keepNext/>
        <w:spacing w:before="240" w:after="80"/>
        <w:jc w:val="left"/>
      </w:pPr>
      <w:r>
        <w:rPr>
          <w:rFonts w:ascii="Times New Roman" w:hAnsi="Times New Roman"/>
          <w:b/>
          <w:i w:val="0"/>
          <w:sz w:val="24"/>
          <w:u w:val="none"/>
        </w:rPr>
        <w:t>17. Restricciones a la negociación de acciones</w:t>
      </w:r>
    </w:p>
    <w:p>
      <w:r>
        <w:rPr>
          <w:rFonts w:ascii="Times New Roman" w:hAnsi="Times New Roman"/>
          <w:b w:val="0"/>
          <w:i w:val="0"/>
          <w:u w:val="none"/>
        </w:rPr>
        <w:t>Se incorporaron dos mecanismos complementarios, ambos autorizados por la Ley 1258 y ambos ajenos al régimen de la sociedad anónima.</w:t>
      </w:r>
    </w:p>
    <w:p>
      <w:r>
        <w:rPr>
          <w:rFonts w:ascii="Times New Roman" w:hAnsi="Times New Roman"/>
          <w:b/>
          <w:i w:val="0"/>
          <w:u w:val="none"/>
        </w:rPr>
        <w:t>El derecho de preferencia en la negociación</w:t>
      </w:r>
      <w:r>
        <w:rPr>
          <w:rFonts w:ascii="Times New Roman" w:hAnsi="Times New Roman"/>
          <w:b w:val="0"/>
          <w:i w:val="0"/>
          <w:u w:val="none"/>
        </w:rPr>
        <w:t xml:space="preserve"> (artículo 14 de los estatutos), fundado en el artículo 13 de la Ley 1258, obliga a ofrecer las acciones primero a la sociedad y luego a los demás accionistas. Su sanción es severa y conviene destacarla: la negociación hecha en contravención es </w:t>
      </w:r>
      <w:r>
        <w:rPr>
          <w:rFonts w:ascii="Times New Roman" w:hAnsi="Times New Roman"/>
          <w:b/>
          <w:i w:val="0"/>
          <w:u w:val="none"/>
        </w:rPr>
        <w:t>ineficaz de pleno derecho</w:t>
      </w:r>
      <w:r>
        <w:rPr>
          <w:rFonts w:ascii="Times New Roman" w:hAnsi="Times New Roman"/>
          <w:b w:val="0"/>
          <w:i w:val="0"/>
          <w:u w:val="none"/>
        </w:rPr>
        <w:t>, sin necesidad de declaración judicial. Para que la restricción sea oponible, el artículo 13 exige que conste en los títulos; por eso el artículo 11 de los estatutos lo ordena expresamente.</w:t>
      </w:r>
    </w:p>
    <w:p>
      <w:r>
        <w:rPr>
          <w:rFonts w:ascii="Times New Roman" w:hAnsi="Times New Roman"/>
          <w:b/>
          <w:i w:val="0"/>
          <w:u w:val="none"/>
        </w:rPr>
        <w:t>La autorización previa de la asamblea</w:t>
      </w:r>
      <w:r>
        <w:rPr>
          <w:rFonts w:ascii="Times New Roman" w:hAnsi="Times New Roman"/>
          <w:b w:val="0"/>
          <w:i w:val="0"/>
          <w:u w:val="none"/>
        </w:rPr>
        <w:t xml:space="preserve"> (artículo 15 de los estatutos), fundada en el artículo 14 de la Ley 1258, somete toda enajenación a favor de terceros a autorización adoptada con el 70 % de las acciones suscritas. La ley limita esta restricción a </w:t>
      </w:r>
      <w:r>
        <w:rPr>
          <w:rFonts w:ascii="Times New Roman" w:hAnsi="Times New Roman"/>
          <w:b/>
          <w:i w:val="0"/>
          <w:u w:val="none"/>
        </w:rPr>
        <w:t>diez años prorrogables</w:t>
      </w:r>
      <w:r>
        <w:rPr>
          <w:rFonts w:ascii="Times New Roman" w:hAnsi="Times New Roman"/>
          <w:b w:val="0"/>
          <w:i w:val="0"/>
          <w:u w:val="none"/>
        </w:rPr>
        <w:t>, límite que se respetó. Se excluyó el voto del enajenante para evitar que el accionista mayoritario se autorice a sí mismo la salida.</w:t>
      </w:r>
    </w:p>
    <w:p>
      <w:r>
        <w:rPr>
          <w:rFonts w:ascii="Times New Roman" w:hAnsi="Times New Roman"/>
          <w:b/>
          <w:i w:val="0"/>
          <w:u w:val="none"/>
        </w:rPr>
        <w:t>La base sobre la cual se computa esa mayoría.</w:t>
      </w:r>
      <w:r>
        <w:rPr>
          <w:rFonts w:ascii="Times New Roman" w:hAnsi="Times New Roman"/>
          <w:b w:val="0"/>
          <w:i w:val="0"/>
          <w:u w:val="none"/>
        </w:rPr>
        <w:t xml:space="preserve"> Es un detalle técnico que decide si la cláusula funciona o no, y conviene explicarlo porque es la clase de error que solo aparece al aplicar la norma a los números concretos del caso. Si el 70 % se calculara sobre la totalidad de las acciones suscritas —600.000— el umbral sería de 420.000 acciones. Excluido el voto del enajenante, ninguno de los dos accionistas podría alcanzarlo jamás: si vende Mariana, quedan las 210.000 de Felipe; si vende Felipe, quedan las 390.000 de Mariana. En ambos casos la autorización sería </w:t>
      </w:r>
      <w:r>
        <w:rPr>
          <w:rFonts w:ascii="Times New Roman" w:hAnsi="Times New Roman"/>
          <w:b/>
          <w:i w:val="0"/>
          <w:u w:val="none"/>
        </w:rPr>
        <w:t>imposible de obtener</w:t>
      </w:r>
      <w:r>
        <w:rPr>
          <w:rFonts w:ascii="Times New Roman" w:hAnsi="Times New Roman"/>
          <w:b w:val="0"/>
          <w:i w:val="0"/>
          <w:u w:val="none"/>
        </w:rPr>
        <w:t>, y la cláusula, en lugar de regular la transferencia, la prohibiría de forma absoluta y encubierta.</w:t>
      </w:r>
    </w:p>
    <w:p>
      <w:r>
        <w:rPr>
          <w:rFonts w:ascii="Times New Roman" w:hAnsi="Times New Roman"/>
          <w:b w:val="0"/>
          <w:i w:val="0"/>
          <w:u w:val="none"/>
        </w:rPr>
        <w:t xml:space="preserve">Por eso el artículo 15 computa el 70 % sobre las </w:t>
      </w:r>
      <w:r>
        <w:rPr>
          <w:rFonts w:ascii="Times New Roman" w:hAnsi="Times New Roman"/>
          <w:b/>
          <w:i w:val="0"/>
          <w:u w:val="none"/>
        </w:rPr>
        <w:t>acciones suscritas restantes</w:t>
      </w:r>
      <w:r>
        <w:rPr>
          <w:rFonts w:ascii="Times New Roman" w:hAnsi="Times New Roman"/>
          <w:b w:val="0"/>
          <w:i w:val="0"/>
          <w:u w:val="none"/>
        </w:rPr>
        <w:t xml:space="preserve">, excluidas del cómputo tanto el voto como las acciones del enajenante. Con esa base: si vende Mariana, se requieren 147.000 acciones de las 210.000 de Felipe, que él tiene; si vende Felipe, se requieren 273.000 de las 390.000 de Mariana, que ella tiene. La cláusula opera como lo que debe ser —un </w:t>
      </w:r>
      <w:r>
        <w:rPr>
          <w:rFonts w:ascii="Times New Roman" w:hAnsi="Times New Roman"/>
          <w:b/>
          <w:i w:val="0"/>
          <w:u w:val="none"/>
        </w:rPr>
        <w:t>consentimiento recíproco</w:t>
      </w:r>
      <w:r>
        <w:rPr>
          <w:rFonts w:ascii="Times New Roman" w:hAnsi="Times New Roman"/>
          <w:b w:val="0"/>
          <w:i w:val="0"/>
          <w:u w:val="none"/>
        </w:rPr>
        <w:t xml:space="preserve"> para el ingreso de terceros al grupo cerrado— y no como una prohibición disfrazada.</w:t>
      </w:r>
    </w:p>
    <w:p>
      <w:r>
        <w:rPr>
          <w:rFonts w:ascii="Times New Roman" w:hAnsi="Times New Roman"/>
          <w:b/>
          <w:i w:val="0"/>
          <w:u w:val="none"/>
        </w:rPr>
        <w:t>Por qué ambos y no uno solo.</w:t>
      </w:r>
      <w:r>
        <w:rPr>
          <w:rFonts w:ascii="Times New Roman" w:hAnsi="Times New Roman"/>
          <w:b w:val="0"/>
          <w:i w:val="0"/>
          <w:u w:val="none"/>
        </w:rPr>
        <w:t xml:space="preserve"> Cumplen funciones distintas: la preferencia protege el interés </w:t>
      </w:r>
      <w:r>
        <w:rPr>
          <w:rFonts w:ascii="Times New Roman" w:hAnsi="Times New Roman"/>
          <w:b/>
          <w:i w:val="0"/>
          <w:u w:val="none"/>
        </w:rPr>
        <w:t>individual</w:t>
      </w:r>
      <w:r>
        <w:rPr>
          <w:rFonts w:ascii="Times New Roman" w:hAnsi="Times New Roman"/>
          <w:b w:val="0"/>
          <w:i w:val="0"/>
          <w:u w:val="none"/>
        </w:rPr>
        <w:t xml:space="preserve"> de los accionistas en mantener su proporción; la autorización protege el interés </w:t>
      </w:r>
      <w:r>
        <w:rPr>
          <w:rFonts w:ascii="Times New Roman" w:hAnsi="Times New Roman"/>
          <w:b/>
          <w:i w:val="0"/>
          <w:u w:val="none"/>
        </w:rPr>
        <w:t>colectivo</w:t>
      </w:r>
      <w:r>
        <w:rPr>
          <w:rFonts w:ascii="Times New Roman" w:hAnsi="Times New Roman"/>
          <w:b w:val="0"/>
          <w:i w:val="0"/>
          <w:u w:val="none"/>
        </w:rPr>
        <w:t xml:space="preserve"> de la sociedad en el carácter cerrado del grupo. En una sociedad de dos personas, donde la entrada de un tercero altera por completo el equilibrio, ambas protecciones se justifican.</w:t>
      </w:r>
    </w:p>
    <w:p>
      <w:pPr>
        <w:keepNext/>
        <w:spacing w:before="240" w:after="80"/>
        <w:jc w:val="left"/>
      </w:pPr>
      <w:r>
        <w:rPr>
          <w:rFonts w:ascii="Times New Roman" w:hAnsi="Times New Roman"/>
          <w:b/>
          <w:i w:val="0"/>
          <w:sz w:val="24"/>
          <w:u w:val="none"/>
        </w:rPr>
        <w:t>18. Exclusión de accionistas</w:t>
      </w:r>
    </w:p>
    <w:p>
      <w:r>
        <w:rPr>
          <w:rFonts w:ascii="Times New Roman" w:hAnsi="Times New Roman"/>
          <w:b w:val="0"/>
          <w:i w:val="0"/>
          <w:u w:val="none"/>
        </w:rPr>
        <w:t xml:space="preserve">Se pactó la exclusión por cuatro causales taxativas, con el 70 % de las </w:t>
      </w:r>
      <w:r>
        <w:rPr>
          <w:rFonts w:ascii="Times New Roman" w:hAnsi="Times New Roman"/>
          <w:b/>
          <w:i w:val="0"/>
          <w:u w:val="none"/>
        </w:rPr>
        <w:t>acciones suscritas restantes</w:t>
      </w:r>
      <w:r>
        <w:rPr>
          <w:rFonts w:ascii="Times New Roman" w:hAnsi="Times New Roman"/>
          <w:b w:val="0"/>
          <w:i w:val="0"/>
          <w:u w:val="none"/>
        </w:rPr>
        <w:t xml:space="preserve"> —excluidas del cómputo el voto y las acciones del accionista destinatario de la medida—. El artículo 39 de la Ley 1258 permite pactarla y remite al procedimiento de reembolso; el artículo 41 exige unanimidad para introducirla o modificarla, requisito satisfecho porque la cláusula nace en el acto constitutivo suscrito por los dos accionistas.</w:t>
      </w:r>
    </w:p>
    <w:p>
      <w:r>
        <w:rPr>
          <w:rFonts w:ascii="Times New Roman" w:hAnsi="Times New Roman"/>
          <w:b/>
          <w:i w:val="0"/>
          <w:u w:val="none"/>
        </w:rPr>
        <w:t>Por qué la base de cómputo es la misma que en el artículo 15.</w:t>
      </w:r>
      <w:r>
        <w:rPr>
          <w:rFonts w:ascii="Times New Roman" w:hAnsi="Times New Roman"/>
          <w:b w:val="0"/>
          <w:i w:val="0"/>
          <w:u w:val="none"/>
        </w:rPr>
        <w:t xml:space="preserve"> Por idéntica razón aritmética: calculado sobre las 600.000 acciones suscritas, el umbral de 420.000 sería inalcanzable una vez excluido el afectado, y la cláusula de exclusión resultaría </w:t>
      </w:r>
      <w:r>
        <w:rPr>
          <w:rFonts w:ascii="Times New Roman" w:hAnsi="Times New Roman"/>
          <w:b/>
          <w:i w:val="0"/>
          <w:u w:val="none"/>
        </w:rPr>
        <w:t>letra muerta</w:t>
      </w:r>
      <w:r>
        <w:rPr>
          <w:rFonts w:ascii="Times New Roman" w:hAnsi="Times New Roman"/>
          <w:b w:val="0"/>
          <w:i w:val="0"/>
          <w:u w:val="none"/>
        </w:rPr>
        <w:t>. Calculado sobre las acciones restantes, cada accionista puede promover la exclusión del otro cuando se configure alguna de las causales.</w:t>
      </w:r>
    </w:p>
    <w:p>
      <w:r>
        <w:rPr>
          <w:rFonts w:ascii="Times New Roman" w:hAnsi="Times New Roman"/>
          <w:b/>
          <w:i w:val="0"/>
          <w:u w:val="none"/>
        </w:rPr>
        <w:t>La objeción previsible y su respuesta.</w:t>
      </w:r>
      <w:r>
        <w:rPr>
          <w:rFonts w:ascii="Times New Roman" w:hAnsi="Times New Roman"/>
          <w:b w:val="0"/>
          <w:i w:val="0"/>
          <w:u w:val="none"/>
        </w:rPr>
        <w:t xml:space="preserve"> Podría replicarse que, así construida, la cláusula permite que el minoritario del 35 % excluya al mayoritario del 65 %. Es cierto, y es una consecuencia inevitable en una sociedad de dos accionistas: cualquier fórmula que haga operativa la exclusión pone a cada uno en manos del otro. Tres contrapesos la hacen tolerable. </w:t>
      </w:r>
      <w:r>
        <w:rPr>
          <w:rFonts w:ascii="Times New Roman" w:hAnsi="Times New Roman"/>
          <w:b/>
          <w:i w:val="0"/>
          <w:u w:val="none"/>
        </w:rPr>
        <w:t>Uno</w:t>
      </w:r>
      <w:r>
        <w:rPr>
          <w:rFonts w:ascii="Times New Roman" w:hAnsi="Times New Roman"/>
          <w:b w:val="0"/>
          <w:i w:val="0"/>
          <w:u w:val="none"/>
        </w:rPr>
        <w:t xml:space="preserve">, las causales son </w:t>
      </w:r>
      <w:r>
        <w:rPr>
          <w:rFonts w:ascii="Times New Roman" w:hAnsi="Times New Roman"/>
          <w:b/>
          <w:i w:val="0"/>
          <w:u w:val="none"/>
        </w:rPr>
        <w:t>taxativas y objetivas</w:t>
      </w:r>
      <w:r>
        <w:rPr>
          <w:rFonts w:ascii="Times New Roman" w:hAnsi="Times New Roman"/>
          <w:b w:val="0"/>
          <w:i w:val="0"/>
          <w:u w:val="none"/>
        </w:rPr>
        <w:t xml:space="preserve"> —incumplimiento grave y reiterado, competencia desleal, omisión del deber de información sobre cambio de control y condena penal ejecutoriada—, no cláusulas abiertas de "pérdida de confianza". </w:t>
      </w:r>
      <w:r>
        <w:rPr>
          <w:rFonts w:ascii="Times New Roman" w:hAnsi="Times New Roman"/>
          <w:b/>
          <w:i w:val="0"/>
          <w:u w:val="none"/>
        </w:rPr>
        <w:t>Dos</w:t>
      </w:r>
      <w:r>
        <w:rPr>
          <w:rFonts w:ascii="Times New Roman" w:hAnsi="Times New Roman"/>
          <w:b w:val="0"/>
          <w:i w:val="0"/>
          <w:u w:val="none"/>
        </w:rPr>
        <w:t xml:space="preserve">, la exclusión abusiva activa la sanción de </w:t>
      </w:r>
      <w:r>
        <w:rPr>
          <w:rFonts w:ascii="Times New Roman" w:hAnsi="Times New Roman"/>
          <w:b/>
          <w:i w:val="0"/>
          <w:u w:val="none"/>
        </w:rPr>
        <w:t>ineficacia</w:t>
      </w:r>
      <w:r>
        <w:rPr>
          <w:rFonts w:ascii="Times New Roman" w:hAnsi="Times New Roman"/>
          <w:b w:val="0"/>
          <w:i w:val="0"/>
          <w:u w:val="none"/>
        </w:rPr>
        <w:t xml:space="preserve"> del artículo 43 de la Ley 1258, que castiga expresamente el abuso de minoría. </w:t>
      </w:r>
      <w:r>
        <w:rPr>
          <w:rFonts w:ascii="Times New Roman" w:hAnsi="Times New Roman"/>
          <w:b/>
          <w:i w:val="0"/>
          <w:u w:val="none"/>
        </w:rPr>
        <w:t>Tres</w:t>
      </w:r>
      <w:r>
        <w:rPr>
          <w:rFonts w:ascii="Times New Roman" w:hAnsi="Times New Roman"/>
          <w:b w:val="0"/>
          <w:i w:val="0"/>
          <w:u w:val="none"/>
        </w:rPr>
        <w:t>, el reembolso de la participación se rige por el artículo 39 de la Ley 1258 y por las reglas de valoración pericial del literal e) del artículo 14 de los estatutos, de modo que el excluido no pierde el valor económico de sus acciones.</w:t>
      </w:r>
    </w:p>
    <w:p>
      <w:r>
        <w:rPr>
          <w:rFonts w:ascii="Times New Roman" w:hAnsi="Times New Roman"/>
          <w:b w:val="0"/>
          <w:i w:val="0"/>
          <w:u w:val="none"/>
        </w:rPr>
        <w:t xml:space="preserve">Las causales se redactaron de manera </w:t>
      </w:r>
      <w:r>
        <w:rPr>
          <w:rFonts w:ascii="Times New Roman" w:hAnsi="Times New Roman"/>
          <w:b/>
          <w:i w:val="0"/>
          <w:u w:val="none"/>
        </w:rPr>
        <w:t>taxativa y objetiva</w:t>
      </w:r>
      <w:r>
        <w:rPr>
          <w:rFonts w:ascii="Times New Roman" w:hAnsi="Times New Roman"/>
          <w:b w:val="0"/>
          <w:i w:val="0"/>
          <w:u w:val="none"/>
        </w:rPr>
        <w:t xml:space="preserve"> —incumplimiento grave y reiterado, competencia desleal, omisión del deber de información sobre cambio de control y condena penal por delitos patrimoniales o económicos— precisamente para evitar que la cláusula se convierta en un instrumento de abuso de la mayoría, hipótesis que activaría la sanción de ineficacia del artículo 43 de la Ley 1258.</w:t>
      </w:r>
    </w:p>
    <w:p>
      <w:pPr>
        <w:keepNext/>
        <w:spacing w:before="240" w:after="80"/>
        <w:jc w:val="left"/>
      </w:pPr>
      <w:r>
        <w:rPr>
          <w:rFonts w:ascii="Times New Roman" w:hAnsi="Times New Roman"/>
          <w:b/>
          <w:i w:val="0"/>
          <w:sz w:val="24"/>
          <w:u w:val="none"/>
        </w:rPr>
        <w:t>19. El beneficio de la Ley 1780 de 2016</w:t>
      </w:r>
    </w:p>
    <w:p>
      <w:r>
        <w:rPr>
          <w:rFonts w:ascii="Times New Roman" w:hAnsi="Times New Roman"/>
          <w:b/>
          <w:i w:val="0"/>
          <w:u w:val="none"/>
        </w:rPr>
        <w:t>El dato.</w:t>
      </w:r>
      <w:r>
        <w:rPr>
          <w:rFonts w:ascii="Times New Roman" w:hAnsi="Times New Roman"/>
          <w:b w:val="0"/>
          <w:i w:val="0"/>
          <w:u w:val="none"/>
        </w:rPr>
        <w:t xml:space="preserve"> El levantamiento afirma que la sociedad cumple: Mariana tiene 30 años y el 65 % de las acciones.</w:t>
      </w:r>
    </w:p>
    <w:p>
      <w:r>
        <w:rPr>
          <w:rFonts w:ascii="Times New Roman" w:hAnsi="Times New Roman"/>
          <w:b/>
          <w:i w:val="0"/>
          <w:u w:val="none"/>
        </w:rPr>
        <w:t>La verificación de los tres requisitos.</w:t>
      </w:r>
      <w:r>
        <w:rPr>
          <w:rFonts w:ascii="Times New Roman" w:hAnsi="Times New Roman"/>
          <w:b w:val="0"/>
          <w:i w:val="0"/>
          <w:u w:val="none"/>
        </w:rPr>
        <w:t xml:space="preserve"> El artículo 2.º de la Ley 1780 define la pequeña empresa joven exigiendo, para las personas jurídicas: (i) participación de una o varias personas entre 18 y 35 años que represente como mínimo </w:t>
      </w:r>
      <w:r>
        <w:rPr>
          <w:rFonts w:ascii="Times New Roman" w:hAnsi="Times New Roman"/>
          <w:b/>
          <w:i w:val="0"/>
          <w:u w:val="none"/>
        </w:rPr>
        <w:t>la mitad más uno</w:t>
      </w:r>
      <w:r>
        <w:rPr>
          <w:rFonts w:ascii="Times New Roman" w:hAnsi="Times New Roman"/>
          <w:b w:val="0"/>
          <w:i w:val="0"/>
          <w:u w:val="none"/>
        </w:rPr>
        <w:t xml:space="preserve"> de las acciones; (ii) personal </w:t>
      </w:r>
      <w:r>
        <w:rPr>
          <w:rFonts w:ascii="Times New Roman" w:hAnsi="Times New Roman"/>
          <w:b/>
          <w:i w:val="0"/>
          <w:u w:val="none"/>
        </w:rPr>
        <w:t>no superior a 50 trabajadores</w:t>
      </w:r>
      <w:r>
        <w:rPr>
          <w:rFonts w:ascii="Times New Roman" w:hAnsi="Times New Roman"/>
          <w:b w:val="0"/>
          <w:i w:val="0"/>
          <w:u w:val="none"/>
        </w:rPr>
        <w:t xml:space="preserve">; y (iii) activos totales </w:t>
      </w:r>
      <w:r>
        <w:rPr>
          <w:rFonts w:ascii="Times New Roman" w:hAnsi="Times New Roman"/>
          <w:b/>
          <w:i w:val="0"/>
          <w:u w:val="none"/>
        </w:rPr>
        <w:t>no superiores a 5.000 SMLMV</w:t>
      </w:r>
      <w:r>
        <w:rPr>
          <w:rFonts w:ascii="Times New Roman" w:hAnsi="Times New Roman"/>
          <w:b w:val="0"/>
          <w:i w:val="0"/>
          <w:u w:val="none"/>
        </w:rPr>
        <w:t xml:space="preserve">. En este caso: Mariana, de 30 años, tiene el 65 % —superior a la mitad más uno—; la sociedad tendrá 9 trabajadores; y sus activos son de $600.000.000, muy por debajo de los aproximadamente $7.000.000.000 que representan 5.000 salarios mínimos. </w:t>
      </w:r>
      <w:r>
        <w:rPr>
          <w:rFonts w:ascii="Times New Roman" w:hAnsi="Times New Roman"/>
          <w:b/>
          <w:i w:val="0"/>
          <w:u w:val="none"/>
        </w:rPr>
        <w:t>Los tres requisitos se cumplen.</w:t>
      </w:r>
    </w:p>
    <w:p>
      <w:r>
        <w:rPr>
          <w:rFonts w:ascii="Times New Roman" w:hAnsi="Times New Roman"/>
          <w:b/>
          <w:i w:val="0"/>
          <w:u w:val="none"/>
        </w:rPr>
        <w:t>El beneficio y su límite.</w:t>
      </w:r>
      <w:r>
        <w:rPr>
          <w:rFonts w:ascii="Times New Roman" w:hAnsi="Times New Roman"/>
          <w:b w:val="0"/>
          <w:i w:val="0"/>
          <w:u w:val="none"/>
        </w:rPr>
        <w:t xml:space="preserve"> El artículo 3.º concede exención del pago de la </w:t>
      </w:r>
      <w:r>
        <w:rPr>
          <w:rFonts w:ascii="Times New Roman" w:hAnsi="Times New Roman"/>
          <w:b/>
          <w:i w:val="0"/>
          <w:u w:val="none"/>
        </w:rPr>
        <w:t>matrícula mercantil</w:t>
      </w:r>
      <w:r>
        <w:rPr>
          <w:rFonts w:ascii="Times New Roman" w:hAnsi="Times New Roman"/>
          <w:b w:val="0"/>
          <w:i w:val="0"/>
          <w:u w:val="none"/>
        </w:rPr>
        <w:t xml:space="preserve"> y de su </w:t>
      </w:r>
      <w:r>
        <w:rPr>
          <w:rFonts w:ascii="Times New Roman" w:hAnsi="Times New Roman"/>
          <w:b/>
          <w:i w:val="0"/>
          <w:u w:val="none"/>
        </w:rPr>
        <w:t>primera renovación</w:t>
      </w:r>
      <w:r>
        <w:rPr>
          <w:rFonts w:ascii="Times New Roman" w:hAnsi="Times New Roman"/>
          <w:b w:val="0"/>
          <w:i w:val="0"/>
          <w:u w:val="none"/>
        </w:rPr>
        <w:t xml:space="preserve">. Es indispensable precisar qué no comprende: no exonera del </w:t>
      </w:r>
      <w:r>
        <w:rPr>
          <w:rFonts w:ascii="Times New Roman" w:hAnsi="Times New Roman"/>
          <w:b/>
          <w:i w:val="0"/>
          <w:u w:val="none"/>
        </w:rPr>
        <w:t>impuesto de registro</w:t>
      </w:r>
      <w:r>
        <w:rPr>
          <w:rFonts w:ascii="Times New Roman" w:hAnsi="Times New Roman"/>
          <w:b w:val="0"/>
          <w:i w:val="0"/>
          <w:u w:val="none"/>
        </w:rPr>
        <w:t xml:space="preserve">, que es renta departamental regulada por la Ley 223 de 1995; no exonera de los </w:t>
      </w:r>
      <w:r>
        <w:rPr>
          <w:rFonts w:ascii="Times New Roman" w:hAnsi="Times New Roman"/>
          <w:b/>
          <w:i w:val="0"/>
          <w:u w:val="none"/>
        </w:rPr>
        <w:t>derechos de inscripción</w:t>
      </w:r>
      <w:r>
        <w:rPr>
          <w:rFonts w:ascii="Times New Roman" w:hAnsi="Times New Roman"/>
          <w:b w:val="0"/>
          <w:i w:val="0"/>
          <w:u w:val="none"/>
        </w:rPr>
        <w:t xml:space="preserve"> de actos y documentos; y, conforme al propio parágrafo del artículo 3.º, no exceptúa a la sociedad del cumplimiento de sus obligaciones tributarias, laborales y mercantiles.</w:t>
      </w:r>
    </w:p>
    <w:p>
      <w:r>
        <w:rPr>
          <w:rFonts w:ascii="Times New Roman" w:hAnsi="Times New Roman"/>
          <w:b/>
          <w:i w:val="0"/>
          <w:u w:val="none"/>
        </w:rPr>
        <w:t>La condición de conservación.</w:t>
      </w:r>
      <w:r>
        <w:rPr>
          <w:rFonts w:ascii="Times New Roman" w:hAnsi="Times New Roman"/>
          <w:b w:val="0"/>
          <w:i w:val="0"/>
          <w:u w:val="none"/>
        </w:rPr>
        <w:t xml:space="preserve"> El beneficio de la primera renovación se pierde si la matrícula no se renueva </w:t>
      </w:r>
      <w:r>
        <w:rPr>
          <w:rFonts w:ascii="Times New Roman" w:hAnsi="Times New Roman"/>
          <w:b/>
          <w:i w:val="0"/>
          <w:u w:val="none"/>
        </w:rPr>
        <w:t>antes del 31 de marzo</w:t>
      </w:r>
      <w:r>
        <w:rPr>
          <w:rFonts w:ascii="Times New Roman" w:hAnsi="Times New Roman"/>
          <w:b w:val="0"/>
          <w:i w:val="0"/>
          <w:u w:val="none"/>
        </w:rPr>
        <w:t xml:space="preserve"> del año siguiente. Es una carga que debe advertirse al cliente por escrito, porque su incumplimiento es frecuente y el beneficio no se recupera.</w:t>
      </w:r>
    </w:p>
    <w:p>
      <w:r>
        <w:rPr>
          <w:rFonts w:ascii="Times New Roman" w:hAnsi="Times New Roman"/>
          <w:b/>
          <w:i w:val="0"/>
          <w:u w:val="none"/>
        </w:rPr>
        <w:t>El punto discutible.</w:t>
      </w:r>
      <w:r>
        <w:rPr>
          <w:rFonts w:ascii="Times New Roman" w:hAnsi="Times New Roman"/>
          <w:b w:val="0"/>
          <w:i w:val="0"/>
          <w:u w:val="none"/>
        </w:rPr>
        <w:t xml:space="preserve"> Si la exención cubre también la matrícula del </w:t>
      </w:r>
      <w:r>
        <w:rPr>
          <w:rFonts w:ascii="Times New Roman" w:hAnsi="Times New Roman"/>
          <w:b/>
          <w:i w:val="0"/>
          <w:u w:val="none"/>
        </w:rPr>
        <w:t>establecimiento de comercio</w:t>
      </w:r>
      <w:r>
        <w:rPr>
          <w:rFonts w:ascii="Times New Roman" w:hAnsi="Times New Roman"/>
          <w:b w:val="0"/>
          <w:i w:val="0"/>
          <w:u w:val="none"/>
        </w:rPr>
        <w:t>. La ley habla genéricamente de "matrícula mercantil" y la práctica de las cámaras no es uniforme. La posición asumida en la guía de formularios es prudencial: liquidar previendo el pago del establecimiento y solicitar pronunciamiento expreso de la Cámara. Asumir la interpretación más favorable sin verificarla expondría el trámite a una devolución.</w:t>
      </w:r>
    </w:p>
    <w:p>
      <w:pPr>
        <w:keepNext/>
        <w:spacing w:before="240" w:after="80"/>
        <w:jc w:val="left"/>
      </w:pPr>
      <w:r>
        <w:rPr>
          <w:rFonts w:ascii="Times New Roman" w:hAnsi="Times New Roman"/>
          <w:b/>
          <w:i w:val="0"/>
          <w:sz w:val="24"/>
          <w:u w:val="none"/>
        </w:rPr>
        <w:t>20. Matrícula del establecimiento de comercio</w:t>
      </w:r>
    </w:p>
    <w:p>
      <w:r>
        <w:rPr>
          <w:rFonts w:ascii="Times New Roman" w:hAnsi="Times New Roman"/>
          <w:b/>
          <w:i w:val="0"/>
          <w:u w:val="none"/>
        </w:rPr>
        <w:t>La decisión.</w:t>
      </w:r>
      <w:r>
        <w:rPr>
          <w:rFonts w:ascii="Times New Roman" w:hAnsi="Times New Roman"/>
          <w:b w:val="0"/>
          <w:i w:val="0"/>
          <w:u w:val="none"/>
        </w:rPr>
        <w:t xml:space="preserve"> Matricular el establecimiento "NOVA BIENESTAR" mediante anexo independiente, con activos vinculados de $55.000.000.</w:t>
      </w:r>
    </w:p>
    <w:p>
      <w:r>
        <w:rPr>
          <w:rFonts w:ascii="Times New Roman" w:hAnsi="Times New Roman"/>
          <w:b/>
          <w:i w:val="0"/>
          <w:u w:val="none"/>
        </w:rPr>
        <w:t>Por qué es un trámite distinto.</w:t>
      </w:r>
      <w:r>
        <w:rPr>
          <w:rFonts w:ascii="Times New Roman" w:hAnsi="Times New Roman"/>
          <w:b w:val="0"/>
          <w:i w:val="0"/>
          <w:u w:val="none"/>
        </w:rPr>
        <w:t xml:space="preserve"> Porque la sociedad y el establecimiento son realidades jurídicas separadas: la primera es un </w:t>
      </w:r>
      <w:r>
        <w:rPr>
          <w:rFonts w:ascii="Times New Roman" w:hAnsi="Times New Roman"/>
          <w:b/>
          <w:i w:val="0"/>
          <w:u w:val="none"/>
        </w:rPr>
        <w:t>sujeto</w:t>
      </w:r>
      <w:r>
        <w:rPr>
          <w:rFonts w:ascii="Times New Roman" w:hAnsi="Times New Roman"/>
          <w:b w:val="0"/>
          <w:i w:val="0"/>
          <w:u w:val="none"/>
        </w:rPr>
        <w:t xml:space="preserve"> de derecho; el segundo es un </w:t>
      </w:r>
      <w:r>
        <w:rPr>
          <w:rFonts w:ascii="Times New Roman" w:hAnsi="Times New Roman"/>
          <w:b/>
          <w:i w:val="0"/>
          <w:u w:val="none"/>
        </w:rPr>
        <w:t>conjunto de bienes</w:t>
      </w:r>
      <w:r>
        <w:rPr>
          <w:rFonts w:ascii="Times New Roman" w:hAnsi="Times New Roman"/>
          <w:b w:val="0"/>
          <w:i w:val="0"/>
          <w:u w:val="none"/>
        </w:rPr>
        <w:t xml:space="preserve"> organizado para realizar los fines de la empresa (artículo 515 del Código de Comercio) y, por tanto, un </w:t>
      </w:r>
      <w:r>
        <w:rPr>
          <w:rFonts w:ascii="Times New Roman" w:hAnsi="Times New Roman"/>
          <w:b/>
          <w:i w:val="0"/>
          <w:u w:val="none"/>
        </w:rPr>
        <w:t>objeto</w:t>
      </w:r>
      <w:r>
        <w:rPr>
          <w:rFonts w:ascii="Times New Roman" w:hAnsi="Times New Roman"/>
          <w:b w:val="0"/>
          <w:i w:val="0"/>
          <w:u w:val="none"/>
        </w:rPr>
        <w:t xml:space="preserve"> de derecho. Matricular la sociedad no matricula sus establecimientos: el numeral 6.º del artículo 28 del Código de Comercio ordena inscribir en el registro mercantil "la apertura de establecimientos de comercio y de sucursales".</w:t>
      </w:r>
    </w:p>
    <w:p>
      <w:r>
        <w:rPr>
          <w:rFonts w:ascii="Times New Roman" w:hAnsi="Times New Roman"/>
          <w:b/>
          <w:i w:val="0"/>
          <w:u w:val="none"/>
        </w:rPr>
        <w:t>Consecuencia práctica.</w:t>
      </w:r>
      <w:r>
        <w:rPr>
          <w:rFonts w:ascii="Times New Roman" w:hAnsi="Times New Roman"/>
          <w:b w:val="0"/>
          <w:i w:val="0"/>
          <w:u w:val="none"/>
        </w:rPr>
        <w:t xml:space="preserve"> Los activos del establecimiento ($55.000.000) no se suman a los de la sociedad ($600.000.000) para efectos de la matrícula: son la base de liquidación de la matrícula del establecimiento, mientras que los activos totales de la sociedad son la base de la suya. Confundirlos produce una liquidación incorrecta.</w:t>
      </w:r>
    </w:p>
    <w:p>
      <w:pPr>
        <w:keepNext/>
        <w:spacing w:before="240" w:after="80"/>
        <w:jc w:val="left"/>
      </w:pPr>
      <w:r>
        <w:rPr>
          <w:rFonts w:ascii="Times New Roman" w:hAnsi="Times New Roman"/>
          <w:b/>
          <w:i w:val="0"/>
          <w:sz w:val="24"/>
          <w:u w:val="none"/>
        </w:rPr>
        <w:t>21. Habilitación de servicios de salud</w:t>
      </w:r>
    </w:p>
    <w:p>
      <w:r>
        <w:rPr>
          <w:rFonts w:ascii="Times New Roman" w:hAnsi="Times New Roman"/>
          <w:b w:val="0"/>
          <w:i w:val="0"/>
          <w:u w:val="none"/>
        </w:rPr>
        <w:t xml:space="preserve">Se incorporó el parágrafo segundo del artículo 4.º de los estatutos, que subordina el inicio de la prestación de servicios de salud a la inscripción en el </w:t>
      </w:r>
      <w:r>
        <w:rPr>
          <w:rFonts w:ascii="Times New Roman" w:hAnsi="Times New Roman"/>
          <w:b/>
          <w:i w:val="0"/>
          <w:u w:val="none"/>
        </w:rPr>
        <w:t>REPS</w:t>
      </w:r>
      <w:r>
        <w:rPr>
          <w:rFonts w:ascii="Times New Roman" w:hAnsi="Times New Roman"/>
          <w:b w:val="0"/>
          <w:i w:val="0"/>
          <w:u w:val="none"/>
        </w:rPr>
        <w:t xml:space="preserve"> y a la habilitación de los servicios conforme a la </w:t>
      </w:r>
      <w:r>
        <w:rPr>
          <w:rFonts w:ascii="Times New Roman" w:hAnsi="Times New Roman"/>
          <w:b/>
          <w:i w:val="0"/>
          <w:u w:val="none"/>
        </w:rPr>
        <w:t>Resolución 3100 de 2019</w:t>
      </w:r>
      <w:r>
        <w:rPr>
          <w:rFonts w:ascii="Times New Roman" w:hAnsi="Times New Roman"/>
          <w:b w:val="0"/>
          <w:i w:val="0"/>
          <w:u w:val="none"/>
        </w:rPr>
        <w:t xml:space="preserve"> del Ministerio de Salud y Protección Social.</w:t>
      </w:r>
    </w:p>
    <w:p>
      <w:r>
        <w:rPr>
          <w:rFonts w:ascii="Times New Roman" w:hAnsi="Times New Roman"/>
          <w:b/>
          <w:i w:val="0"/>
          <w:u w:val="none"/>
        </w:rPr>
        <w:t>Por qué es indispensable.</w:t>
      </w:r>
      <w:r>
        <w:rPr>
          <w:rFonts w:ascii="Times New Roman" w:hAnsi="Times New Roman"/>
          <w:b w:val="0"/>
          <w:i w:val="0"/>
          <w:u w:val="none"/>
        </w:rPr>
        <w:t xml:space="preserve"> Porque existir como sociedad y estar autorizado para prestar el servicio son cosas distintas. La rehabilitación física —fisioterapia, terapia física, terapia ocupacional— constituye servicio de salud sujeto a habilitación. Prestar servicios de salud sin habilitación expone a la sociedad al cierre del servicio y a sanciones de la autoridad sanitaria, y a los administradores a responsabilidad personal. Incluir el deber en los estatutos, y no solo en un concepto verbal, convierte su incumplimiento en infracción a los deberes del administrador conforme al artículo 23 de la Ley 222 de 1995.</w:t>
      </w:r>
    </w:p>
    <w:p>
      <w:r>
        <w:rPr>
          <w:rFonts w:ascii="Times New Roman" w:hAnsi="Times New Roman"/>
          <w:b w:val="0"/>
          <w:i w:val="0"/>
          <w:u w:val="none"/>
        </w:rPr>
        <w:t xml:space="preserve">Debe advertirse, además, que la línea de </w:t>
      </w:r>
      <w:r>
        <w:rPr>
          <w:rFonts w:ascii="Times New Roman" w:hAnsi="Times New Roman"/>
          <w:b/>
          <w:i w:val="0"/>
          <w:u w:val="none"/>
        </w:rPr>
        <w:t>acondicionamiento físico y bienestar</w:t>
      </w:r>
      <w:r>
        <w:rPr>
          <w:rFonts w:ascii="Times New Roman" w:hAnsi="Times New Roman"/>
          <w:b w:val="0"/>
          <w:i w:val="0"/>
          <w:u w:val="none"/>
        </w:rPr>
        <w:t xml:space="preserve"> (gimnasio, masajes de relajación) </w:t>
      </w:r>
      <w:r>
        <w:rPr>
          <w:rFonts w:ascii="Times New Roman" w:hAnsi="Times New Roman"/>
          <w:b/>
          <w:i w:val="0"/>
          <w:u w:val="none"/>
        </w:rPr>
        <w:t>no</w:t>
      </w:r>
      <w:r>
        <w:rPr>
          <w:rFonts w:ascii="Times New Roman" w:hAnsi="Times New Roman"/>
          <w:b w:val="0"/>
          <w:i w:val="0"/>
          <w:u w:val="none"/>
        </w:rPr>
        <w:t xml:space="preserve"> constituye servicio de salud y no requiere habilitación, aunque sí concepto sanitario. La sociedad opera, entonces, bajo dos regímenes regulatorios distintos, y esa dualidad debe reflejarse en la contabilidad y en la facturación.</w:t>
      </w:r>
    </w:p>
    <w:p>
      <w:pPr>
        <w:keepNext/>
        <w:spacing w:before="240" w:after="80"/>
        <w:jc w:val="left"/>
      </w:pPr>
      <w:r>
        <w:rPr>
          <w:rFonts w:ascii="Times New Roman" w:hAnsi="Times New Roman"/>
          <w:b/>
          <w:i w:val="0"/>
          <w:sz w:val="24"/>
          <w:u w:val="none"/>
        </w:rPr>
        <w:t>22. Códigos CIIU</w:t>
      </w:r>
    </w:p>
    <w:p>
      <w:r>
        <w:rPr>
          <w:rFonts w:ascii="Times New Roman" w:hAnsi="Times New Roman"/>
          <w:b w:val="0"/>
          <w:i w:val="0"/>
          <w:u w:val="none"/>
        </w:rPr>
        <w:t xml:space="preserve">Se propusieron tres códigos de la Clasificación Industrial Internacional Uniforme, revisión 4 adaptada para Colombia: </w:t>
      </w:r>
      <w:r>
        <w:rPr>
          <w:rFonts w:ascii="Times New Roman" w:hAnsi="Times New Roman"/>
          <w:b/>
          <w:i w:val="0"/>
          <w:u w:val="none"/>
        </w:rPr>
        <w:t>8692</w:t>
      </w:r>
      <w:r>
        <w:rPr>
          <w:rFonts w:ascii="Times New Roman" w:hAnsi="Times New Roman"/>
          <w:b w:val="0"/>
          <w:i w:val="0"/>
          <w:u w:val="none"/>
        </w:rPr>
        <w:t xml:space="preserve"> (actividades de apoyo terapéutico), que comprende la ejecución de programas de tratamiento para la rehabilitación física realizada fuera de instituciones con internación e incluye expresamente la actividad de fisioterapeutas y terapeutas ocupacionales, y que por ello se propone como </w:t>
      </w:r>
      <w:r>
        <w:rPr>
          <w:rFonts w:ascii="Times New Roman" w:hAnsi="Times New Roman"/>
          <w:b/>
          <w:i w:val="0"/>
          <w:u w:val="none"/>
        </w:rPr>
        <w:t>actividad principal</w:t>
      </w:r>
      <w:r>
        <w:rPr>
          <w:rFonts w:ascii="Times New Roman" w:hAnsi="Times New Roman"/>
          <w:b w:val="0"/>
          <w:i w:val="0"/>
          <w:u w:val="none"/>
        </w:rPr>
        <w:t xml:space="preserve">; </w:t>
      </w:r>
      <w:r>
        <w:rPr>
          <w:rFonts w:ascii="Times New Roman" w:hAnsi="Times New Roman"/>
          <w:b/>
          <w:i w:val="0"/>
          <w:u w:val="none"/>
        </w:rPr>
        <w:t>9311</w:t>
      </w:r>
      <w:r>
        <w:rPr>
          <w:rFonts w:ascii="Times New Roman" w:hAnsi="Times New Roman"/>
          <w:b w:val="0"/>
          <w:i w:val="0"/>
          <w:u w:val="none"/>
        </w:rPr>
        <w:t xml:space="preserve"> (gestión de instalaciones deportivas), que comprende la gestión de gimnasios y centros de entrenamiento; y </w:t>
      </w:r>
      <w:r>
        <w:rPr>
          <w:rFonts w:ascii="Times New Roman" w:hAnsi="Times New Roman"/>
          <w:b/>
          <w:i w:val="0"/>
          <w:u w:val="none"/>
        </w:rPr>
        <w:t>9609</w:t>
      </w:r>
      <w:r>
        <w:rPr>
          <w:rFonts w:ascii="Times New Roman" w:hAnsi="Times New Roman"/>
          <w:b w:val="0"/>
          <w:i w:val="0"/>
          <w:u w:val="none"/>
        </w:rPr>
        <w:t xml:space="preserve"> (otras actividades de servicios personales n.c.p.), que comprende salones de masaje, baños turcos y actividades análogas de bienestar corporal.</w:t>
      </w:r>
    </w:p>
    <w:p>
      <w:r>
        <w:rPr>
          <w:rFonts w:ascii="Times New Roman" w:hAnsi="Times New Roman"/>
          <w:b w:val="0"/>
          <w:i w:val="0"/>
          <w:u w:val="none"/>
        </w:rPr>
        <w:t xml:space="preserve">La elección del CIIU no es un trámite estadístico inocuo: determina la tarifa del </w:t>
      </w:r>
      <w:r>
        <w:rPr>
          <w:rFonts w:ascii="Times New Roman" w:hAnsi="Times New Roman"/>
          <w:b/>
          <w:i w:val="0"/>
          <w:u w:val="none"/>
        </w:rPr>
        <w:t>impuesto de industria y comercio</w:t>
      </w:r>
      <w:r>
        <w:rPr>
          <w:rFonts w:ascii="Times New Roman" w:hAnsi="Times New Roman"/>
          <w:b w:val="0"/>
          <w:i w:val="0"/>
          <w:u w:val="none"/>
        </w:rPr>
        <w:t xml:space="preserve"> en Medellín, incide en la clasificación del </w:t>
      </w:r>
      <w:r>
        <w:rPr>
          <w:rFonts w:ascii="Times New Roman" w:hAnsi="Times New Roman"/>
          <w:b/>
          <w:i w:val="0"/>
          <w:u w:val="none"/>
        </w:rPr>
        <w:t>riesgo laboral</w:t>
      </w:r>
      <w:r>
        <w:rPr>
          <w:rFonts w:ascii="Times New Roman" w:hAnsi="Times New Roman"/>
          <w:b w:val="0"/>
          <w:i w:val="0"/>
          <w:u w:val="none"/>
        </w:rPr>
        <w:t xml:space="preserve"> ante la ARL y es el criterio con el que las autoridades sanitarias y tributarias verifican la coherencia entre la actividad declarada y la efectivamente desarrollada. Por eso se declara 8692 como principal —es la actividad que da nombre al proyecto y la que genera el mayor valor agregado— y las otras dos como secundarias.</w:t>
      </w:r>
    </w:p>
    <w:p>
      <w:pPr>
        <w:keepNext/>
        <w:spacing w:before="240" w:after="80"/>
        <w:jc w:val="left"/>
      </w:pPr>
      <w:r>
        <w:rPr>
          <w:rFonts w:ascii="Times New Roman" w:hAnsi="Times New Roman"/>
          <w:b/>
          <w:i w:val="0"/>
          <w:sz w:val="24"/>
          <w:u w:val="none"/>
        </w:rPr>
        <w:t>23. Fecha de constitución y plazo para la matrícula</w:t>
      </w:r>
    </w:p>
    <w:p>
      <w:r>
        <w:rPr>
          <w:rFonts w:ascii="Times New Roman" w:hAnsi="Times New Roman"/>
          <w:b w:val="0"/>
          <w:i w:val="0"/>
          <w:u w:val="none"/>
        </w:rPr>
        <w:t xml:space="preserve">El documento se fecha el </w:t>
      </w:r>
      <w:r>
        <w:rPr>
          <w:rFonts w:ascii="Times New Roman" w:hAnsi="Times New Roman"/>
          <w:b/>
          <w:i w:val="0"/>
          <w:u w:val="none"/>
        </w:rPr>
        <w:t>1.º de octubre de 2026</w:t>
      </w:r>
      <w:r>
        <w:rPr>
          <w:rFonts w:ascii="Times New Roman" w:hAnsi="Times New Roman"/>
          <w:b w:val="0"/>
          <w:i w:val="0"/>
          <w:u w:val="none"/>
        </w:rPr>
        <w:t xml:space="preserve">, conforme al levantamiento. De ahí se sigue una consecuencia que conviene advertir: el artículo 31 del Código de Comercio exige solicitar la matrícula </w:t>
      </w:r>
      <w:r>
        <w:rPr>
          <w:rFonts w:ascii="Times New Roman" w:hAnsi="Times New Roman"/>
          <w:b/>
          <w:i w:val="0"/>
          <w:u w:val="none"/>
        </w:rPr>
        <w:t>dentro del mes siguiente</w:t>
      </w:r>
      <w:r>
        <w:rPr>
          <w:rFonts w:ascii="Times New Roman" w:hAnsi="Times New Roman"/>
          <w:b w:val="0"/>
          <w:i w:val="0"/>
          <w:u w:val="none"/>
        </w:rPr>
        <w:t xml:space="preserve"> a la creación de la persona jurídica, de modo que el plazo vence el </w:t>
      </w:r>
      <w:r>
        <w:rPr>
          <w:rFonts w:ascii="Times New Roman" w:hAnsi="Times New Roman"/>
          <w:b/>
          <w:i w:val="0"/>
          <w:u w:val="none"/>
        </w:rPr>
        <w:t>1.º de noviembre de 2026</w:t>
      </w:r>
      <w:r>
        <w:rPr>
          <w:rFonts w:ascii="Times New Roman" w:hAnsi="Times New Roman"/>
          <w:b w:val="0"/>
          <w:i w:val="0"/>
          <w:u w:val="none"/>
        </w:rPr>
        <w:t>. La extemporaneidad no impide la matrícula, pero da lugar a la sanción del artículo 37 del mismo código. Y, más importante, durante todo el tiempo que transcurra sin inscripción, quienes actúen por cuenta de la sociedad responden solidaria e ilimitadamente frente a terceros (artículo 7.º de la Ley 1258).</w:t>
      </w:r>
    </w:p>
    <w:p>
      <w:pPr>
        <w:keepNext/>
        <w:spacing w:before="240" w:after="80"/>
        <w:jc w:val="left"/>
      </w:pPr>
      <w:r>
        <w:rPr>
          <w:rFonts w:ascii="Times New Roman" w:hAnsi="Times New Roman"/>
          <w:b/>
          <w:i w:val="0"/>
          <w:sz w:val="24"/>
          <w:u w:val="none"/>
        </w:rPr>
        <w:t>24. Los datos de trabajadores, mujeres e innovación</w:t>
      </w:r>
    </w:p>
    <w:p>
      <w:r>
        <w:rPr>
          <w:rFonts w:ascii="Times New Roman" w:hAnsi="Times New Roman"/>
          <w:b w:val="0"/>
          <w:i w:val="0"/>
          <w:u w:val="none"/>
        </w:rPr>
        <w:t xml:space="preserve">El levantamiento reporta 9 trabajadores, 5 mujeres empleadas, 2 mujeres en cargos directivos, 0 % de empleados temporales y ausencia de procesos de innovación. Estos datos </w:t>
      </w:r>
      <w:r>
        <w:rPr>
          <w:rFonts w:ascii="Times New Roman" w:hAnsi="Times New Roman"/>
          <w:b/>
          <w:i w:val="0"/>
          <w:u w:val="none"/>
        </w:rPr>
        <w:t>no son estatutarios</w:t>
      </w:r>
      <w:r>
        <w:rPr>
          <w:rFonts w:ascii="Times New Roman" w:hAnsi="Times New Roman"/>
          <w:b w:val="0"/>
          <w:i w:val="0"/>
          <w:u w:val="none"/>
        </w:rPr>
        <w:t>: no van en el documento de constitución sino en los formularios del RUES, y así se trataron. Se dejó constancia de ellos, sin embargo, en el artículo transitorio 6.º de los estatutos, con una finalidad práctica: que quien diligencie los formularios los encuentre en el mismo documento y no tenga que volver al levantamiento.</w:t>
      </w:r>
    </w:p>
    <w:p>
      <w:r>
        <w:rPr>
          <w:rFonts w:ascii="Times New Roman" w:hAnsi="Times New Roman"/>
          <w:b w:val="0"/>
          <w:i w:val="0"/>
          <w:u w:val="none"/>
        </w:rPr>
        <w:t>Su función es doble: alimentan la información estadística que las cámaras reportan al DANE y a Confecámaras, y sirven para verificar el cumplimiento de requisitos de programas de política pública, entre ellos el de la Ley 1780 —el dato de nueve trabajadores acredita el requisito de no superar los cincuenta— y los de medición de participación femenina en cargos directivos derivados de la Ley 2069 de 2020.</w:t>
      </w:r>
    </w:p>
    <w:p>
      <w:pPr>
        <w:keepNext/>
        <w:spacing w:before="240" w:after="80"/>
        <w:jc w:val="left"/>
      </w:pPr>
      <w:r>
        <w:rPr>
          <w:rFonts w:ascii="Times New Roman" w:hAnsi="Times New Roman"/>
          <w:b/>
          <w:i w:val="0"/>
          <w:sz w:val="24"/>
          <w:u w:val="none"/>
        </w:rPr>
        <w:t>25. Condición de importador, exportador o usuario aduanero</w:t>
      </w:r>
    </w:p>
    <w:p>
      <w:r>
        <w:rPr>
          <w:rFonts w:ascii="Times New Roman" w:hAnsi="Times New Roman"/>
          <w:b w:val="0"/>
          <w:i w:val="0"/>
          <w:u w:val="none"/>
        </w:rPr>
        <w:t xml:space="preserve">El levantamiento indica "N/A". En consecuencia, no se incluyó en el objeto social ninguna referencia a operaciones de comercio exterior como actividad principal, ni se marcará esa casilla en los formularios, ni se solicitará inscripción en el Registro Único Tributario como usuario aduanero. Se conservó, eso sí, dentro del catálogo de actividades del objeto, la facultad de </w:t>
      </w:r>
      <w:r>
        <w:rPr>
          <w:rFonts w:ascii="Times New Roman" w:hAnsi="Times New Roman"/>
          <w:b/>
          <w:i w:val="0"/>
          <w:u w:val="none"/>
        </w:rPr>
        <w:t>importar y exportar equipos e insumos</w:t>
      </w:r>
      <w:r>
        <w:rPr>
          <w:rFonts w:ascii="Times New Roman" w:hAnsi="Times New Roman"/>
          <w:b w:val="0"/>
          <w:i w:val="0"/>
          <w:u w:val="none"/>
        </w:rPr>
        <w:t xml:space="preserve"> relacionados con la rehabilitación y el deporte, porque se trata de una actividad instrumental previsible que no convierte a la sociedad en usuario aduanero permanente y cuya omisión obligaría a una reforma estatutaria si en el futuro se requiere importar equipamiento.</w:t>
      </w:r>
    </w:p>
    <w:p>
      <w:pPr>
        <w:keepNext/>
        <w:spacing w:before="320" w:after="160"/>
        <w:jc w:val="center"/>
      </w:pPr>
      <w:r>
        <w:rPr>
          <w:rFonts w:ascii="Times New Roman" w:hAnsi="Times New Roman"/>
          <w:b/>
          <w:i w:val="0"/>
          <w:sz w:val="24"/>
          <w:u w:val="none"/>
        </w:rPr>
        <w:t>VI. RIESGOS Y CONTINGENCIAS IDENTIFICADOS</w:t>
      </w:r>
    </w:p>
    <w:tbl>
      <w:tblPr>
        <w:tblStyle w:val="TableGrid"/>
        <w:tblW w:type="auto" w:w="0"/>
        <w:jc w:val="center"/>
        <w:tblLayout w:type="fixed"/>
        <w:tblLook w:firstColumn="1" w:firstRow="1" w:lastColumn="0" w:lastRow="0" w:noHBand="0" w:noVBand="1" w:val="04A0"/>
        <w:tblW w:w="9122" w:type="dxa"/>
        <w:tblLayout w:type="fixed"/>
      </w:tblPr>
      <w:tblGrid>
        <w:gridCol w:w="2554"/>
        <w:gridCol w:w="6568"/>
      </w:tblGrid>
      <w:tr>
        <w:tc>
          <w:tcPr>
            <w:tcW w:type="dxa" w:w="2554"/>
            <w:shd w:val="clear" w:color="auto" w:fill="D9D9D9"/>
          </w:tcPr>
          <w:p>
            <w:pPr>
              <w:spacing w:after="40" w:before="40" w:line="240" w:lineRule="auto"/>
              <w:jc w:val="center"/>
            </w:pPr>
            <w:r>
              <w:rPr>
                <w:rFonts w:ascii="Times New Roman" w:hAnsi="Times New Roman"/>
                <w:b/>
                <w:i w:val="0"/>
                <w:sz w:val="20"/>
                <w:u w:val="none"/>
              </w:rPr>
              <w:t>Riesgo</w:t>
            </w:r>
          </w:p>
        </w:tc>
        <w:tc>
          <w:tcPr>
            <w:tcW w:type="dxa" w:w="6568"/>
            <w:shd w:val="clear" w:color="auto" w:fill="D9D9D9"/>
          </w:tcPr>
          <w:p>
            <w:pPr>
              <w:spacing w:after="40" w:before="40" w:line="240" w:lineRule="auto"/>
              <w:jc w:val="center"/>
            </w:pPr>
            <w:r>
              <w:rPr>
                <w:rFonts w:ascii="Times New Roman" w:hAnsi="Times New Roman"/>
                <w:b/>
                <w:i w:val="0"/>
                <w:sz w:val="20"/>
                <w:u w:val="none"/>
              </w:rPr>
              <w:t>Descripción y mitigación</w:t>
            </w:r>
          </w:p>
        </w:tc>
      </w:tr>
      <w:tr>
        <w:tc>
          <w:tcPr>
            <w:tcW w:type="dxa" w:w="2554"/>
          </w:tcPr>
          <w:p>
            <w:pPr>
              <w:spacing w:after="40" w:before="40" w:line="240" w:lineRule="auto"/>
              <w:jc w:val="left"/>
            </w:pPr>
            <w:r>
              <w:rPr>
                <w:rFonts w:ascii="Times New Roman" w:hAnsi="Times New Roman"/>
                <w:b w:val="0"/>
                <w:i w:val="0"/>
                <w:sz w:val="20"/>
                <w:u w:val="none"/>
              </w:rPr>
              <w:t>Operación previa a la inscripción</w:t>
            </w:r>
          </w:p>
        </w:tc>
        <w:tc>
          <w:tcPr>
            <w:tcW w:type="dxa" w:w="6568"/>
          </w:tcPr>
          <w:p>
            <w:pPr>
              <w:spacing w:after="40" w:before="40" w:line="240" w:lineRule="auto"/>
              <w:jc w:val="left"/>
            </w:pPr>
            <w:r>
              <w:rPr>
                <w:rFonts w:ascii="Times New Roman" w:hAnsi="Times New Roman"/>
                <w:b w:val="0"/>
                <w:i w:val="0"/>
                <w:sz w:val="20"/>
                <w:u w:val="none"/>
              </w:rPr>
              <w:t>Si la sociedad opera antes de inscribirse, los actuantes responden solidaria e ilimitadamente (artículo 7.º de la Ley 1258). Mitigación: no contratar ni facturar antes de obtener el certificado de existencia y representación legal.</w:t>
            </w:r>
          </w:p>
        </w:tc>
      </w:tr>
      <w:tr>
        <w:tc>
          <w:tcPr>
            <w:tcW w:type="dxa" w:w="2554"/>
          </w:tcPr>
          <w:p>
            <w:pPr>
              <w:spacing w:after="40" w:before="40" w:line="240" w:lineRule="auto"/>
              <w:jc w:val="left"/>
            </w:pPr>
            <w:r>
              <w:rPr>
                <w:rFonts w:ascii="Times New Roman" w:hAnsi="Times New Roman"/>
                <w:b w:val="0"/>
                <w:i w:val="0"/>
                <w:sz w:val="20"/>
                <w:u w:val="none"/>
              </w:rPr>
              <w:t>Prestación de servicios de salud sin habilitación</w:t>
            </w:r>
          </w:p>
        </w:tc>
        <w:tc>
          <w:tcPr>
            <w:tcW w:type="dxa" w:w="6568"/>
          </w:tcPr>
          <w:p>
            <w:pPr>
              <w:spacing w:after="40" w:before="40" w:line="240" w:lineRule="auto"/>
              <w:jc w:val="left"/>
            </w:pPr>
            <w:r>
              <w:rPr>
                <w:rFonts w:ascii="Times New Roman" w:hAnsi="Times New Roman"/>
                <w:b w:val="0"/>
                <w:i w:val="0"/>
                <w:sz w:val="20"/>
                <w:u w:val="none"/>
              </w:rPr>
              <w:t>Cierre del servicio y sanciones sanitarias. Mitigación: parágrafo segundo del artículo 4.º de los estatutos y trámite de habilitación previo al inicio de operaciones.</w:t>
            </w:r>
          </w:p>
        </w:tc>
      </w:tr>
      <w:tr>
        <w:tc>
          <w:tcPr>
            <w:tcW w:type="dxa" w:w="2554"/>
          </w:tcPr>
          <w:p>
            <w:pPr>
              <w:spacing w:after="40" w:before="40" w:line="240" w:lineRule="auto"/>
              <w:jc w:val="left"/>
            </w:pPr>
            <w:r>
              <w:rPr>
                <w:rFonts w:ascii="Times New Roman" w:hAnsi="Times New Roman"/>
                <w:b w:val="0"/>
                <w:i w:val="0"/>
                <w:sz w:val="20"/>
                <w:u w:val="none"/>
              </w:rPr>
              <w:t>Homonimia de la denominación</w:t>
            </w:r>
          </w:p>
        </w:tc>
        <w:tc>
          <w:tcPr>
            <w:tcW w:type="dxa" w:w="6568"/>
          </w:tcPr>
          <w:p>
            <w:pPr>
              <w:spacing w:after="40" w:before="40" w:line="240" w:lineRule="auto"/>
              <w:jc w:val="left"/>
            </w:pPr>
            <w:r>
              <w:rPr>
                <w:rFonts w:ascii="Times New Roman" w:hAnsi="Times New Roman"/>
                <w:b w:val="0"/>
                <w:i w:val="0"/>
                <w:sz w:val="20"/>
                <w:u w:val="none"/>
              </w:rPr>
              <w:t>Negativa de matrícula (artículo 35 del Código de Comercio). Mitigación: consulta previa en el RUES.</w:t>
            </w:r>
          </w:p>
        </w:tc>
      </w:tr>
      <w:tr>
        <w:tc>
          <w:tcPr>
            <w:tcW w:type="dxa" w:w="2554"/>
          </w:tcPr>
          <w:p>
            <w:pPr>
              <w:spacing w:after="40" w:before="40" w:line="240" w:lineRule="auto"/>
              <w:jc w:val="left"/>
            </w:pPr>
            <w:r>
              <w:rPr>
                <w:rFonts w:ascii="Times New Roman" w:hAnsi="Times New Roman"/>
                <w:b w:val="0"/>
                <w:i w:val="0"/>
                <w:sz w:val="20"/>
                <w:u w:val="none"/>
              </w:rPr>
              <w:t>Devolución del trámite por discrepancias entre formularios</w:t>
            </w:r>
          </w:p>
        </w:tc>
        <w:tc>
          <w:tcPr>
            <w:tcW w:type="dxa" w:w="6568"/>
          </w:tcPr>
          <w:p>
            <w:pPr>
              <w:spacing w:after="40" w:before="40" w:line="240" w:lineRule="auto"/>
              <w:jc w:val="left"/>
            </w:pPr>
            <w:r>
              <w:rPr>
                <w:rFonts w:ascii="Times New Roman" w:hAnsi="Times New Roman"/>
                <w:b w:val="0"/>
                <w:i w:val="0"/>
                <w:sz w:val="20"/>
                <w:u w:val="none"/>
              </w:rPr>
              <w:t>Retraso del registro. Mitigación: lista de verificación de la guía de formularios.</w:t>
            </w:r>
          </w:p>
        </w:tc>
      </w:tr>
      <w:tr>
        <w:tc>
          <w:tcPr>
            <w:tcW w:type="dxa" w:w="2554"/>
          </w:tcPr>
          <w:p>
            <w:pPr>
              <w:spacing w:after="40" w:before="40" w:line="240" w:lineRule="auto"/>
              <w:jc w:val="left"/>
            </w:pPr>
            <w:r>
              <w:rPr>
                <w:rFonts w:ascii="Times New Roman" w:hAnsi="Times New Roman"/>
                <w:b w:val="0"/>
                <w:i w:val="0"/>
                <w:sz w:val="20"/>
                <w:u w:val="none"/>
              </w:rPr>
              <w:t>Pérdida del beneficio de la Ley 1780</w:t>
            </w:r>
          </w:p>
        </w:tc>
        <w:tc>
          <w:tcPr>
            <w:tcW w:type="dxa" w:w="6568"/>
          </w:tcPr>
          <w:p>
            <w:pPr>
              <w:spacing w:after="40" w:before="40" w:line="240" w:lineRule="auto"/>
              <w:jc w:val="left"/>
            </w:pPr>
            <w:r>
              <w:rPr>
                <w:rFonts w:ascii="Times New Roman" w:hAnsi="Times New Roman"/>
                <w:b w:val="0"/>
                <w:i w:val="0"/>
                <w:sz w:val="20"/>
                <w:u w:val="none"/>
              </w:rPr>
              <w:t>Por renovación extemporánea. Mitigación: advertencia escrita del plazo del 31 de marzo de 2027.</w:t>
            </w:r>
          </w:p>
        </w:tc>
      </w:tr>
      <w:tr>
        <w:tc>
          <w:tcPr>
            <w:tcW w:type="dxa" w:w="2554"/>
          </w:tcPr>
          <w:p>
            <w:pPr>
              <w:spacing w:after="40" w:before="40" w:line="240" w:lineRule="auto"/>
              <w:jc w:val="left"/>
            </w:pPr>
            <w:r>
              <w:rPr>
                <w:rFonts w:ascii="Times New Roman" w:hAnsi="Times New Roman"/>
                <w:b w:val="0"/>
                <w:i w:val="0"/>
                <w:sz w:val="20"/>
                <w:u w:val="none"/>
              </w:rPr>
              <w:t>Ingreso de un tercero por vía de gananciales</w:t>
            </w:r>
          </w:p>
        </w:tc>
        <w:tc>
          <w:tcPr>
            <w:tcW w:type="dxa" w:w="6568"/>
          </w:tcPr>
          <w:p>
            <w:pPr>
              <w:spacing w:after="40" w:before="40" w:line="240" w:lineRule="auto"/>
              <w:jc w:val="left"/>
            </w:pPr>
            <w:r>
              <w:rPr>
                <w:rFonts w:ascii="Times New Roman" w:hAnsi="Times New Roman"/>
                <w:b w:val="0"/>
                <w:i w:val="0"/>
                <w:sz w:val="20"/>
                <w:u w:val="none"/>
              </w:rPr>
              <w:t>Derivado del estado civil del accionista Felipe. Mitigación: derecho de preferencia, autorización previa de la asamblea y eventual acuerdo de accionistas.</w:t>
            </w:r>
          </w:p>
        </w:tc>
      </w:tr>
      <w:tr>
        <w:tc>
          <w:tcPr>
            <w:tcW w:type="dxa" w:w="2554"/>
          </w:tcPr>
          <w:p>
            <w:pPr>
              <w:spacing w:after="40" w:before="40" w:line="240" w:lineRule="auto"/>
              <w:jc w:val="left"/>
            </w:pPr>
            <w:r>
              <w:rPr>
                <w:rFonts w:ascii="Times New Roman" w:hAnsi="Times New Roman"/>
                <w:b w:val="0"/>
                <w:i w:val="0"/>
                <w:sz w:val="20"/>
                <w:u w:val="none"/>
              </w:rPr>
              <w:t>Bloqueo societario (deadlock)</w:t>
            </w:r>
          </w:p>
        </w:tc>
        <w:tc>
          <w:tcPr>
            <w:tcW w:type="dxa" w:w="6568"/>
          </w:tcPr>
          <w:p>
            <w:pPr>
              <w:spacing w:after="40" w:before="40" w:line="240" w:lineRule="auto"/>
              <w:jc w:val="left"/>
            </w:pPr>
            <w:r>
              <w:rPr>
                <w:rFonts w:ascii="Times New Roman" w:hAnsi="Times New Roman"/>
                <w:b w:val="0"/>
                <w:i w:val="0"/>
                <w:sz w:val="20"/>
                <w:u w:val="none"/>
              </w:rPr>
              <w:t>Poco probable con participaciones 65/35, pero posible en las decisiones de mayoría calificada del 70 %. Mitigación: cláusula compromisoria y posibilidad de acuerdo de accionistas con mecanismos de desempate.</w:t>
            </w:r>
          </w:p>
        </w:tc>
      </w:tr>
      <w:tr>
        <w:tc>
          <w:tcPr>
            <w:tcW w:type="dxa" w:w="2554"/>
          </w:tcPr>
          <w:p>
            <w:pPr>
              <w:spacing w:after="40" w:before="40" w:line="240" w:lineRule="auto"/>
              <w:jc w:val="left"/>
            </w:pPr>
            <w:r>
              <w:rPr>
                <w:rFonts w:ascii="Times New Roman" w:hAnsi="Times New Roman"/>
                <w:b w:val="0"/>
                <w:i w:val="0"/>
                <w:sz w:val="20"/>
                <w:u w:val="none"/>
              </w:rPr>
              <w:t>Tratamiento de datos sensibles de salud</w:t>
            </w:r>
          </w:p>
        </w:tc>
        <w:tc>
          <w:tcPr>
            <w:tcW w:type="dxa" w:w="6568"/>
          </w:tcPr>
          <w:p>
            <w:pPr>
              <w:spacing w:after="40" w:before="40" w:line="240" w:lineRule="auto"/>
              <w:jc w:val="left"/>
            </w:pPr>
            <w:r>
              <w:rPr>
                <w:rFonts w:ascii="Times New Roman" w:hAnsi="Times New Roman"/>
                <w:b w:val="0"/>
                <w:i w:val="0"/>
                <w:sz w:val="20"/>
                <w:u w:val="none"/>
              </w:rPr>
              <w:t>Régimen reforzado de la Ley 1581 de 2012. Mitigación: política de tratamiento de datos y autorizaciones expresas de los usuarios.</w:t>
            </w:r>
          </w:p>
        </w:tc>
      </w:tr>
      <w:tr>
        <w:tc>
          <w:tcPr>
            <w:tcW w:type="dxa" w:w="2554"/>
          </w:tcPr>
          <w:p>
            <w:pPr>
              <w:spacing w:after="40" w:before="40" w:line="240" w:lineRule="auto"/>
              <w:jc w:val="left"/>
            </w:pPr>
            <w:r>
              <w:rPr>
                <w:rFonts w:ascii="Times New Roman" w:hAnsi="Times New Roman"/>
                <w:b w:val="0"/>
                <w:i w:val="0"/>
                <w:sz w:val="20"/>
                <w:u w:val="none"/>
              </w:rPr>
              <w:t>Manejo tributario mixto de IVA</w:t>
            </w:r>
          </w:p>
        </w:tc>
        <w:tc>
          <w:tcPr>
            <w:tcW w:type="dxa" w:w="6568"/>
          </w:tcPr>
          <w:p>
            <w:pPr>
              <w:spacing w:after="40" w:before="40" w:line="240" w:lineRule="auto"/>
              <w:jc w:val="left"/>
            </w:pPr>
            <w:r>
              <w:rPr>
                <w:rFonts w:ascii="Times New Roman" w:hAnsi="Times New Roman"/>
                <w:b w:val="0"/>
                <w:i w:val="0"/>
                <w:sz w:val="20"/>
                <w:u w:val="none"/>
              </w:rPr>
              <w:t>Servicios de salud excluidos frente a servicios de gimnasio gravados. Mitigación: contabilidad que discrimine ingresos gravados y excluidos.</w:t>
            </w:r>
          </w:p>
        </w:tc>
      </w:tr>
    </w:tbl>
    <w:p>
      <w:pPr>
        <w:spacing w:after="80"/>
      </w:pPr>
    </w:p>
    <w:p>
      <w:pPr>
        <w:keepNext/>
        <w:spacing w:before="320" w:after="160"/>
        <w:jc w:val="center"/>
      </w:pPr>
      <w:r>
        <w:rPr>
          <w:rFonts w:ascii="Times New Roman" w:hAnsi="Times New Roman"/>
          <w:b/>
          <w:i w:val="0"/>
          <w:sz w:val="24"/>
          <w:u w:val="none"/>
        </w:rPr>
        <w:t>VII. ESTADO DEL EXPEDIENTE: LO ELABORADO Y LO PENDIENTE</w:t>
      </w:r>
    </w:p>
    <w:p>
      <w:r>
        <w:rPr>
          <w:rFonts w:ascii="Times New Roman" w:hAnsi="Times New Roman"/>
          <w:b w:val="0"/>
          <w:i w:val="0"/>
          <w:u w:val="none"/>
        </w:rPr>
        <w:t xml:space="preserve">El expediente de constitución se compone de dos bloques. El </w:t>
      </w:r>
      <w:r>
        <w:rPr>
          <w:rFonts w:ascii="Times New Roman" w:hAnsi="Times New Roman"/>
          <w:b/>
          <w:i w:val="0"/>
          <w:u w:val="none"/>
        </w:rPr>
        <w:t>primero</w:t>
      </w:r>
      <w:r>
        <w:rPr>
          <w:rFonts w:ascii="Times New Roman" w:hAnsi="Times New Roman"/>
          <w:b w:val="0"/>
          <w:i w:val="0"/>
          <w:u w:val="none"/>
        </w:rPr>
        <w:t xml:space="preserve"> reúne los documentos que redacta el abogado y que expresan decisiones jurídicas; es el que se entrega elaborado. El </w:t>
      </w:r>
      <w:r>
        <w:rPr>
          <w:rFonts w:ascii="Times New Roman" w:hAnsi="Times New Roman"/>
          <w:b/>
          <w:i w:val="0"/>
          <w:u w:val="none"/>
        </w:rPr>
        <w:t>segundo</w:t>
      </w:r>
      <w:r>
        <w:rPr>
          <w:rFonts w:ascii="Times New Roman" w:hAnsi="Times New Roman"/>
          <w:b w:val="0"/>
          <w:i w:val="0"/>
          <w:u w:val="none"/>
        </w:rPr>
        <w:t xml:space="preserve"> reúne los formatos preimpresos que se diligencian ante las entidades y los actos que dependen de un tercero (notario, DIAN, entidad bancaria); su contenido está determinado en la guía de formularios, pero su diligenciamiento material solo puede hacerse en el trámite mismo.</w:t>
      </w:r>
    </w:p>
    <w:p>
      <w:pPr>
        <w:keepNext/>
        <w:spacing w:before="240" w:after="80"/>
        <w:jc w:val="left"/>
      </w:pPr>
      <w:r>
        <w:rPr>
          <w:rFonts w:ascii="Times New Roman" w:hAnsi="Times New Roman"/>
          <w:b/>
          <w:i w:val="0"/>
          <w:sz w:val="24"/>
          <w:u w:val="none"/>
        </w:rPr>
        <w:t>Bloque elaborado</w:t>
      </w:r>
    </w:p>
    <w:tbl>
      <w:tblPr>
        <w:tblStyle w:val="TableGrid"/>
        <w:tblW w:type="auto" w:w="0"/>
        <w:jc w:val="center"/>
        <w:tblLayout w:type="fixed"/>
        <w:tblLook w:firstColumn="1" w:firstRow="1" w:lastColumn="0" w:lastRow="0" w:noHBand="0" w:noVBand="1" w:val="04A0"/>
        <w:tblW w:w="9122" w:type="dxa"/>
        <w:tblLayout w:type="fixed"/>
      </w:tblPr>
      <w:tblGrid>
        <w:gridCol w:w="912"/>
        <w:gridCol w:w="4105"/>
        <w:gridCol w:w="4105"/>
      </w:tblGrid>
      <w:tr>
        <w:tc>
          <w:tcPr>
            <w:tcW w:type="dxa" w:w="912"/>
            <w:shd w:val="clear" w:color="auto" w:fill="D9D9D9"/>
          </w:tcPr>
          <w:p>
            <w:pPr>
              <w:spacing w:after="40" w:before="40" w:line="240" w:lineRule="auto"/>
              <w:jc w:val="center"/>
            </w:pPr>
            <w:r>
              <w:rPr>
                <w:rFonts w:ascii="Times New Roman" w:hAnsi="Times New Roman"/>
                <w:b/>
                <w:i w:val="0"/>
                <w:sz w:val="20"/>
                <w:u w:val="none"/>
              </w:rPr>
              <w:t>N.º</w:t>
            </w:r>
          </w:p>
        </w:tc>
        <w:tc>
          <w:tcPr>
            <w:tcW w:type="dxa" w:w="4105"/>
            <w:shd w:val="clear" w:color="auto" w:fill="D9D9D9"/>
          </w:tcPr>
          <w:p>
            <w:pPr>
              <w:spacing w:after="40" w:before="40" w:line="240" w:lineRule="auto"/>
              <w:jc w:val="center"/>
            </w:pPr>
            <w:r>
              <w:rPr>
                <w:rFonts w:ascii="Times New Roman" w:hAnsi="Times New Roman"/>
                <w:b/>
                <w:i w:val="0"/>
                <w:sz w:val="20"/>
                <w:u w:val="none"/>
              </w:rPr>
              <w:t>Documento</w:t>
            </w:r>
          </w:p>
        </w:tc>
        <w:tc>
          <w:tcPr>
            <w:tcW w:type="dxa" w:w="4105"/>
            <w:shd w:val="clear" w:color="auto" w:fill="D9D9D9"/>
          </w:tcPr>
          <w:p>
            <w:pPr>
              <w:spacing w:after="40" w:before="40" w:line="240" w:lineRule="auto"/>
              <w:jc w:val="center"/>
            </w:pPr>
            <w:r>
              <w:rPr>
                <w:rFonts w:ascii="Times New Roman" w:hAnsi="Times New Roman"/>
                <w:b/>
                <w:i w:val="0"/>
                <w:sz w:val="20"/>
                <w:u w:val="none"/>
              </w:rPr>
              <w:t>Función</w:t>
            </w:r>
          </w:p>
        </w:tc>
      </w:tr>
      <w:tr>
        <w:tc>
          <w:tcPr>
            <w:tcW w:type="dxa" w:w="912"/>
          </w:tcPr>
          <w:p>
            <w:pPr>
              <w:spacing w:after="40" w:before="40" w:line="240" w:lineRule="auto"/>
              <w:jc w:val="left"/>
            </w:pPr>
            <w:r>
              <w:rPr>
                <w:rFonts w:ascii="Times New Roman" w:hAnsi="Times New Roman"/>
                <w:b w:val="0"/>
                <w:i w:val="0"/>
                <w:sz w:val="20"/>
                <w:u w:val="none"/>
              </w:rPr>
              <w:t>1</w:t>
            </w:r>
          </w:p>
        </w:tc>
        <w:tc>
          <w:tcPr>
            <w:tcW w:type="dxa" w:w="4105"/>
          </w:tcPr>
          <w:p>
            <w:pPr>
              <w:spacing w:after="40" w:before="40" w:line="240" w:lineRule="auto"/>
              <w:jc w:val="left"/>
            </w:pPr>
            <w:r>
              <w:rPr>
                <w:rFonts w:ascii="Times New Roman" w:hAnsi="Times New Roman"/>
                <w:b w:val="0"/>
                <w:i w:val="0"/>
                <w:sz w:val="20"/>
                <w:u w:val="none"/>
              </w:rPr>
              <w:t>Documento privado de constitución (estatutos)</w:t>
            </w:r>
          </w:p>
        </w:tc>
        <w:tc>
          <w:tcPr>
            <w:tcW w:type="dxa" w:w="4105"/>
          </w:tcPr>
          <w:p>
            <w:pPr>
              <w:spacing w:after="40" w:before="40" w:line="240" w:lineRule="auto"/>
              <w:jc w:val="left"/>
            </w:pPr>
            <w:r>
              <w:rPr>
                <w:rFonts w:ascii="Times New Roman" w:hAnsi="Times New Roman"/>
                <w:b w:val="0"/>
                <w:i w:val="0"/>
                <w:sz w:val="20"/>
                <w:u w:val="none"/>
              </w:rPr>
              <w:t>Crea la sociedad y fija su régimen</w:t>
            </w:r>
          </w:p>
        </w:tc>
      </w:tr>
      <w:tr>
        <w:tc>
          <w:tcPr>
            <w:tcW w:type="dxa" w:w="912"/>
          </w:tcPr>
          <w:p>
            <w:pPr>
              <w:spacing w:after="40" w:before="40" w:line="240" w:lineRule="auto"/>
              <w:jc w:val="left"/>
            </w:pPr>
            <w:r>
              <w:rPr>
                <w:rFonts w:ascii="Times New Roman" w:hAnsi="Times New Roman"/>
                <w:b w:val="0"/>
                <w:i w:val="0"/>
                <w:sz w:val="20"/>
                <w:u w:val="none"/>
              </w:rPr>
              <w:t>2</w:t>
            </w:r>
          </w:p>
        </w:tc>
        <w:tc>
          <w:tcPr>
            <w:tcW w:type="dxa" w:w="4105"/>
          </w:tcPr>
          <w:p>
            <w:pPr>
              <w:spacing w:after="40" w:before="40" w:line="240" w:lineRule="auto"/>
              <w:jc w:val="left"/>
            </w:pPr>
            <w:r>
              <w:rPr>
                <w:rFonts w:ascii="Times New Roman" w:hAnsi="Times New Roman"/>
                <w:b w:val="0"/>
                <w:i w:val="0"/>
                <w:sz w:val="20"/>
                <w:u w:val="none"/>
              </w:rPr>
              <w:t>Cartas de aceptación de cargo (principal y suplente)</w:t>
            </w:r>
          </w:p>
        </w:tc>
        <w:tc>
          <w:tcPr>
            <w:tcW w:type="dxa" w:w="4105"/>
          </w:tcPr>
          <w:p>
            <w:pPr>
              <w:spacing w:after="40" w:before="40" w:line="240" w:lineRule="auto"/>
              <w:jc w:val="left"/>
            </w:pPr>
            <w:r>
              <w:rPr>
                <w:rFonts w:ascii="Times New Roman" w:hAnsi="Times New Roman"/>
                <w:b w:val="0"/>
                <w:i w:val="0"/>
                <w:sz w:val="20"/>
                <w:u w:val="none"/>
              </w:rPr>
              <w:t>Permiten inscribir a los administradores</w:t>
            </w:r>
          </w:p>
        </w:tc>
      </w:tr>
      <w:tr>
        <w:tc>
          <w:tcPr>
            <w:tcW w:type="dxa" w:w="912"/>
          </w:tcPr>
          <w:p>
            <w:pPr>
              <w:spacing w:after="40" w:before="40" w:line="240" w:lineRule="auto"/>
              <w:jc w:val="left"/>
            </w:pPr>
            <w:r>
              <w:rPr>
                <w:rFonts w:ascii="Times New Roman" w:hAnsi="Times New Roman"/>
                <w:b w:val="0"/>
                <w:i w:val="0"/>
                <w:sz w:val="20"/>
                <w:u w:val="none"/>
              </w:rPr>
              <w:t>3</w:t>
            </w:r>
          </w:p>
        </w:tc>
        <w:tc>
          <w:tcPr>
            <w:tcW w:type="dxa" w:w="4105"/>
          </w:tcPr>
          <w:p>
            <w:pPr>
              <w:spacing w:after="40" w:before="40" w:line="240" w:lineRule="auto"/>
              <w:jc w:val="left"/>
            </w:pPr>
            <w:r>
              <w:rPr>
                <w:rFonts w:ascii="Times New Roman" w:hAnsi="Times New Roman"/>
                <w:b w:val="0"/>
                <w:i w:val="0"/>
                <w:sz w:val="20"/>
                <w:u w:val="none"/>
              </w:rPr>
              <w:t>Certificación de pago del capital suscrito</w:t>
            </w:r>
          </w:p>
        </w:tc>
        <w:tc>
          <w:tcPr>
            <w:tcW w:type="dxa" w:w="4105"/>
          </w:tcPr>
          <w:p>
            <w:pPr>
              <w:spacing w:after="40" w:before="40" w:line="240" w:lineRule="auto"/>
              <w:jc w:val="left"/>
            </w:pPr>
            <w:r>
              <w:rPr>
                <w:rFonts w:ascii="Times New Roman" w:hAnsi="Times New Roman"/>
                <w:b w:val="0"/>
                <w:i w:val="0"/>
                <w:sz w:val="20"/>
                <w:u w:val="none"/>
              </w:rPr>
              <w:t>Acredita la integración del capital</w:t>
            </w:r>
          </w:p>
        </w:tc>
      </w:tr>
      <w:tr>
        <w:tc>
          <w:tcPr>
            <w:tcW w:type="dxa" w:w="912"/>
          </w:tcPr>
          <w:p>
            <w:pPr>
              <w:spacing w:after="40" w:before="40" w:line="240" w:lineRule="auto"/>
              <w:jc w:val="left"/>
            </w:pPr>
            <w:r>
              <w:rPr>
                <w:rFonts w:ascii="Times New Roman" w:hAnsi="Times New Roman"/>
                <w:b w:val="0"/>
                <w:i w:val="0"/>
                <w:sz w:val="20"/>
                <w:u w:val="none"/>
              </w:rPr>
              <w:t>4</w:t>
            </w:r>
          </w:p>
        </w:tc>
        <w:tc>
          <w:tcPr>
            <w:tcW w:type="dxa" w:w="4105"/>
          </w:tcPr>
          <w:p>
            <w:pPr>
              <w:spacing w:after="40" w:before="40" w:line="240" w:lineRule="auto"/>
              <w:jc w:val="left"/>
            </w:pPr>
            <w:r>
              <w:rPr>
                <w:rFonts w:ascii="Times New Roman" w:hAnsi="Times New Roman"/>
                <w:b w:val="0"/>
                <w:i w:val="0"/>
                <w:sz w:val="20"/>
                <w:u w:val="none"/>
              </w:rPr>
              <w:t>Declaración juramentada de la Ley 1780 de 2016</w:t>
            </w:r>
          </w:p>
        </w:tc>
        <w:tc>
          <w:tcPr>
            <w:tcW w:type="dxa" w:w="4105"/>
          </w:tcPr>
          <w:p>
            <w:pPr>
              <w:spacing w:after="40" w:before="40" w:line="240" w:lineRule="auto"/>
              <w:jc w:val="left"/>
            </w:pPr>
            <w:r>
              <w:rPr>
                <w:rFonts w:ascii="Times New Roman" w:hAnsi="Times New Roman"/>
                <w:b w:val="0"/>
                <w:i w:val="0"/>
                <w:sz w:val="20"/>
                <w:u w:val="none"/>
              </w:rPr>
              <w:t>Sustenta la exención de matrícula</w:t>
            </w:r>
          </w:p>
        </w:tc>
      </w:tr>
      <w:tr>
        <w:tc>
          <w:tcPr>
            <w:tcW w:type="dxa" w:w="912"/>
          </w:tcPr>
          <w:p>
            <w:pPr>
              <w:spacing w:after="40" w:before="40" w:line="240" w:lineRule="auto"/>
              <w:jc w:val="left"/>
            </w:pPr>
            <w:r>
              <w:rPr>
                <w:rFonts w:ascii="Times New Roman" w:hAnsi="Times New Roman"/>
                <w:b w:val="0"/>
                <w:i w:val="0"/>
                <w:sz w:val="20"/>
                <w:u w:val="none"/>
              </w:rPr>
              <w:t>5</w:t>
            </w:r>
          </w:p>
        </w:tc>
        <w:tc>
          <w:tcPr>
            <w:tcW w:type="dxa" w:w="4105"/>
          </w:tcPr>
          <w:p>
            <w:pPr>
              <w:spacing w:after="40" w:before="40" w:line="240" w:lineRule="auto"/>
              <w:jc w:val="left"/>
            </w:pPr>
            <w:r>
              <w:rPr>
                <w:rFonts w:ascii="Times New Roman" w:hAnsi="Times New Roman"/>
                <w:b w:val="0"/>
                <w:i w:val="0"/>
                <w:sz w:val="20"/>
                <w:u w:val="none"/>
              </w:rPr>
              <w:t>Guía de diligenciamiento de formularios y liquidación de derechos</w:t>
            </w:r>
          </w:p>
        </w:tc>
        <w:tc>
          <w:tcPr>
            <w:tcW w:type="dxa" w:w="4105"/>
          </w:tcPr>
          <w:p>
            <w:pPr>
              <w:spacing w:after="40" w:before="40" w:line="240" w:lineRule="auto"/>
              <w:jc w:val="left"/>
            </w:pPr>
            <w:r>
              <w:rPr>
                <w:rFonts w:ascii="Times New Roman" w:hAnsi="Times New Roman"/>
                <w:b w:val="0"/>
                <w:i w:val="0"/>
                <w:sz w:val="20"/>
                <w:u w:val="none"/>
              </w:rPr>
              <w:t>Traduce el caso a cada campo de los formularios</w:t>
            </w:r>
          </w:p>
        </w:tc>
      </w:tr>
      <w:tr>
        <w:tc>
          <w:tcPr>
            <w:tcW w:type="dxa" w:w="912"/>
          </w:tcPr>
          <w:p>
            <w:pPr>
              <w:spacing w:after="40" w:before="40" w:line="240" w:lineRule="auto"/>
              <w:jc w:val="left"/>
            </w:pPr>
            <w:r>
              <w:rPr>
                <w:rFonts w:ascii="Times New Roman" w:hAnsi="Times New Roman"/>
                <w:b w:val="0"/>
                <w:i w:val="0"/>
                <w:sz w:val="20"/>
                <w:u w:val="none"/>
              </w:rPr>
              <w:t>6</w:t>
            </w:r>
          </w:p>
        </w:tc>
        <w:tc>
          <w:tcPr>
            <w:tcW w:type="dxa" w:w="4105"/>
          </w:tcPr>
          <w:p>
            <w:pPr>
              <w:spacing w:after="40" w:before="40" w:line="240" w:lineRule="auto"/>
              <w:jc w:val="left"/>
            </w:pPr>
            <w:r>
              <w:rPr>
                <w:rFonts w:ascii="Times New Roman" w:hAnsi="Times New Roman"/>
                <w:b w:val="0"/>
                <w:i w:val="0"/>
                <w:sz w:val="20"/>
                <w:u w:val="none"/>
              </w:rPr>
              <w:t>Solicitud de inscripción de libros y folio del libro de registro de accionistas</w:t>
            </w:r>
          </w:p>
        </w:tc>
        <w:tc>
          <w:tcPr>
            <w:tcW w:type="dxa" w:w="4105"/>
          </w:tcPr>
          <w:p>
            <w:pPr>
              <w:spacing w:after="40" w:before="40" w:line="240" w:lineRule="auto"/>
              <w:jc w:val="left"/>
            </w:pPr>
            <w:r>
              <w:rPr>
                <w:rFonts w:ascii="Times New Roman" w:hAnsi="Times New Roman"/>
                <w:b w:val="0"/>
                <w:i w:val="0"/>
                <w:sz w:val="20"/>
                <w:u w:val="none"/>
              </w:rPr>
              <w:t>Permiten registrar los libros y probar la calidad de accionista</w:t>
            </w:r>
          </w:p>
        </w:tc>
      </w:tr>
      <w:tr>
        <w:tc>
          <w:tcPr>
            <w:tcW w:type="dxa" w:w="912"/>
          </w:tcPr>
          <w:p>
            <w:pPr>
              <w:spacing w:after="40" w:before="40" w:line="240" w:lineRule="auto"/>
              <w:jc w:val="left"/>
            </w:pPr>
            <w:r>
              <w:rPr>
                <w:rFonts w:ascii="Times New Roman" w:hAnsi="Times New Roman"/>
                <w:b w:val="0"/>
                <w:i w:val="0"/>
                <w:sz w:val="20"/>
                <w:u w:val="none"/>
              </w:rPr>
              <w:t>7</w:t>
            </w:r>
          </w:p>
        </w:tc>
        <w:tc>
          <w:tcPr>
            <w:tcW w:type="dxa" w:w="4105"/>
          </w:tcPr>
          <w:p>
            <w:pPr>
              <w:spacing w:after="40" w:before="40" w:line="240" w:lineRule="auto"/>
              <w:jc w:val="left"/>
            </w:pPr>
            <w:r>
              <w:rPr>
                <w:rFonts w:ascii="Times New Roman" w:hAnsi="Times New Roman"/>
                <w:b w:val="0"/>
                <w:i w:val="0"/>
                <w:sz w:val="20"/>
                <w:u w:val="none"/>
              </w:rPr>
              <w:t>Este memorando justificativo</w:t>
            </w:r>
          </w:p>
        </w:tc>
        <w:tc>
          <w:tcPr>
            <w:tcW w:type="dxa" w:w="4105"/>
          </w:tcPr>
          <w:p>
            <w:pPr>
              <w:spacing w:after="40" w:before="40" w:line="240" w:lineRule="auto"/>
              <w:jc w:val="left"/>
            </w:pPr>
            <w:r>
              <w:rPr>
                <w:rFonts w:ascii="Times New Roman" w:hAnsi="Times New Roman"/>
                <w:b w:val="0"/>
                <w:i w:val="0"/>
                <w:sz w:val="20"/>
                <w:u w:val="none"/>
              </w:rPr>
              <w:t>Sustenta jurídicamente todas las decisiones</w:t>
            </w:r>
          </w:p>
        </w:tc>
      </w:tr>
    </w:tbl>
    <w:p>
      <w:pPr>
        <w:spacing w:after="80"/>
      </w:pPr>
    </w:p>
    <w:p>
      <w:pPr>
        <w:keepNext/>
        <w:spacing w:before="240" w:after="80"/>
        <w:jc w:val="left"/>
      </w:pPr>
      <w:r>
        <w:rPr>
          <w:rFonts w:ascii="Times New Roman" w:hAnsi="Times New Roman"/>
          <w:b/>
          <w:i w:val="0"/>
          <w:sz w:val="24"/>
          <w:u w:val="none"/>
        </w:rPr>
        <w:t>Bloque pendiente</w:t>
      </w:r>
    </w:p>
    <w:tbl>
      <w:tblPr>
        <w:tblStyle w:val="TableGrid"/>
        <w:tblW w:type="auto" w:w="0"/>
        <w:jc w:val="center"/>
        <w:tblLayout w:type="fixed"/>
        <w:tblLook w:firstColumn="1" w:firstRow="1" w:lastColumn="0" w:lastRow="0" w:noHBand="0" w:noVBand="1" w:val="04A0"/>
        <w:tblW w:w="9122" w:type="dxa"/>
        <w:tblLayout w:type="fixed"/>
      </w:tblPr>
      <w:tblGrid>
        <w:gridCol w:w="912"/>
        <w:gridCol w:w="4105"/>
        <w:gridCol w:w="4105"/>
      </w:tblGrid>
      <w:tr>
        <w:tc>
          <w:tcPr>
            <w:tcW w:type="dxa" w:w="912"/>
            <w:shd w:val="clear" w:color="auto" w:fill="D9D9D9"/>
          </w:tcPr>
          <w:p>
            <w:pPr>
              <w:spacing w:after="40" w:before="40" w:line="240" w:lineRule="auto"/>
              <w:jc w:val="center"/>
            </w:pPr>
            <w:r>
              <w:rPr>
                <w:rFonts w:ascii="Times New Roman" w:hAnsi="Times New Roman"/>
                <w:b/>
                <w:i w:val="0"/>
                <w:sz w:val="20"/>
                <w:u w:val="none"/>
              </w:rPr>
              <w:t>N.º</w:t>
            </w:r>
          </w:p>
        </w:tc>
        <w:tc>
          <w:tcPr>
            <w:tcW w:type="dxa" w:w="4105"/>
            <w:shd w:val="clear" w:color="auto" w:fill="D9D9D9"/>
          </w:tcPr>
          <w:p>
            <w:pPr>
              <w:spacing w:after="40" w:before="40" w:line="240" w:lineRule="auto"/>
              <w:jc w:val="center"/>
            </w:pPr>
            <w:r>
              <w:rPr>
                <w:rFonts w:ascii="Times New Roman" w:hAnsi="Times New Roman"/>
                <w:b/>
                <w:i w:val="0"/>
                <w:sz w:val="20"/>
                <w:u w:val="none"/>
              </w:rPr>
              <w:t>Actuación o documento</w:t>
            </w:r>
          </w:p>
        </w:tc>
        <w:tc>
          <w:tcPr>
            <w:tcW w:type="dxa" w:w="4105"/>
            <w:shd w:val="clear" w:color="auto" w:fill="D9D9D9"/>
          </w:tcPr>
          <w:p>
            <w:pPr>
              <w:spacing w:after="40" w:before="40" w:line="240" w:lineRule="auto"/>
              <w:jc w:val="center"/>
            </w:pPr>
            <w:r>
              <w:rPr>
                <w:rFonts w:ascii="Times New Roman" w:hAnsi="Times New Roman"/>
                <w:b/>
                <w:i w:val="0"/>
                <w:sz w:val="20"/>
                <w:u w:val="none"/>
              </w:rPr>
              <w:t>Quién lo produce</w:t>
            </w:r>
          </w:p>
        </w:tc>
      </w:tr>
      <w:tr>
        <w:tc>
          <w:tcPr>
            <w:tcW w:type="dxa" w:w="912"/>
          </w:tcPr>
          <w:p>
            <w:pPr>
              <w:spacing w:after="40" w:before="40" w:line="240" w:lineRule="auto"/>
              <w:jc w:val="left"/>
            </w:pPr>
            <w:r>
              <w:rPr>
                <w:rFonts w:ascii="Times New Roman" w:hAnsi="Times New Roman"/>
                <w:b w:val="0"/>
                <w:i w:val="0"/>
                <w:sz w:val="20"/>
                <w:u w:val="none"/>
              </w:rPr>
              <w:t>8</w:t>
            </w:r>
          </w:p>
        </w:tc>
        <w:tc>
          <w:tcPr>
            <w:tcW w:type="dxa" w:w="4105"/>
          </w:tcPr>
          <w:p>
            <w:pPr>
              <w:spacing w:after="40" w:before="40" w:line="240" w:lineRule="auto"/>
              <w:jc w:val="left"/>
            </w:pPr>
            <w:r>
              <w:rPr>
                <w:rFonts w:ascii="Times New Roman" w:hAnsi="Times New Roman"/>
                <w:b w:val="0"/>
                <w:i w:val="0"/>
                <w:sz w:val="20"/>
                <w:u w:val="none"/>
              </w:rPr>
              <w:t>Formulario RUT provisional (pre-RUT), formulario 001</w:t>
            </w:r>
          </w:p>
        </w:tc>
        <w:tc>
          <w:tcPr>
            <w:tcW w:type="dxa" w:w="4105"/>
          </w:tcPr>
          <w:p>
            <w:pPr>
              <w:spacing w:after="40" w:before="40" w:line="240" w:lineRule="auto"/>
              <w:jc w:val="left"/>
            </w:pPr>
            <w:r>
              <w:rPr>
                <w:rFonts w:ascii="Times New Roman" w:hAnsi="Times New Roman"/>
                <w:b w:val="0"/>
                <w:i w:val="0"/>
                <w:sz w:val="20"/>
                <w:u w:val="none"/>
              </w:rPr>
              <w:t>DIAN, en línea</w:t>
            </w:r>
          </w:p>
        </w:tc>
      </w:tr>
      <w:tr>
        <w:tc>
          <w:tcPr>
            <w:tcW w:type="dxa" w:w="912"/>
          </w:tcPr>
          <w:p>
            <w:pPr>
              <w:spacing w:after="40" w:before="40" w:line="240" w:lineRule="auto"/>
              <w:jc w:val="left"/>
            </w:pPr>
            <w:r>
              <w:rPr>
                <w:rFonts w:ascii="Times New Roman" w:hAnsi="Times New Roman"/>
                <w:b w:val="0"/>
                <w:i w:val="0"/>
                <w:sz w:val="20"/>
                <w:u w:val="none"/>
              </w:rPr>
              <w:t>9</w:t>
            </w:r>
          </w:p>
        </w:tc>
        <w:tc>
          <w:tcPr>
            <w:tcW w:type="dxa" w:w="4105"/>
          </w:tcPr>
          <w:p>
            <w:pPr>
              <w:spacing w:after="40" w:before="40" w:line="240" w:lineRule="auto"/>
              <w:jc w:val="left"/>
            </w:pPr>
            <w:r>
              <w:rPr>
                <w:rFonts w:ascii="Times New Roman" w:hAnsi="Times New Roman"/>
                <w:b w:val="0"/>
                <w:i w:val="0"/>
                <w:sz w:val="20"/>
                <w:u w:val="none"/>
              </w:rPr>
              <w:t>Carátula única empresarial y anexos de persona jurídica y de establecimiento</w:t>
            </w:r>
          </w:p>
        </w:tc>
        <w:tc>
          <w:tcPr>
            <w:tcW w:type="dxa" w:w="4105"/>
          </w:tcPr>
          <w:p>
            <w:pPr>
              <w:spacing w:after="40" w:before="40" w:line="240" w:lineRule="auto"/>
              <w:jc w:val="left"/>
            </w:pPr>
            <w:r>
              <w:rPr>
                <w:rFonts w:ascii="Times New Roman" w:hAnsi="Times New Roman"/>
                <w:b w:val="0"/>
                <w:i w:val="0"/>
                <w:sz w:val="20"/>
                <w:u w:val="none"/>
              </w:rPr>
              <w:t>Cámara de Comercio, en taquilla o sede virtual</w:t>
            </w:r>
          </w:p>
        </w:tc>
      </w:tr>
      <w:tr>
        <w:tc>
          <w:tcPr>
            <w:tcW w:type="dxa" w:w="912"/>
          </w:tcPr>
          <w:p>
            <w:pPr>
              <w:spacing w:after="40" w:before="40" w:line="240" w:lineRule="auto"/>
              <w:jc w:val="left"/>
            </w:pPr>
            <w:r>
              <w:rPr>
                <w:rFonts w:ascii="Times New Roman" w:hAnsi="Times New Roman"/>
                <w:b w:val="0"/>
                <w:i w:val="0"/>
                <w:sz w:val="20"/>
                <w:u w:val="none"/>
              </w:rPr>
              <w:t>10</w:t>
            </w:r>
          </w:p>
        </w:tc>
        <w:tc>
          <w:tcPr>
            <w:tcW w:type="dxa" w:w="4105"/>
          </w:tcPr>
          <w:p>
            <w:pPr>
              <w:spacing w:after="40" w:before="40" w:line="240" w:lineRule="auto"/>
              <w:jc w:val="left"/>
            </w:pPr>
            <w:r>
              <w:rPr>
                <w:rFonts w:ascii="Times New Roman" w:hAnsi="Times New Roman"/>
                <w:b w:val="0"/>
                <w:i w:val="0"/>
                <w:sz w:val="20"/>
                <w:u w:val="none"/>
              </w:rPr>
              <w:t>Formulario adicional de registro con otras entidades</w:t>
            </w:r>
          </w:p>
        </w:tc>
        <w:tc>
          <w:tcPr>
            <w:tcW w:type="dxa" w:w="4105"/>
          </w:tcPr>
          <w:p>
            <w:pPr>
              <w:spacing w:after="40" w:before="40" w:line="240" w:lineRule="auto"/>
              <w:jc w:val="left"/>
            </w:pPr>
            <w:r>
              <w:rPr>
                <w:rFonts w:ascii="Times New Roman" w:hAnsi="Times New Roman"/>
                <w:b w:val="0"/>
                <w:i w:val="0"/>
                <w:sz w:val="20"/>
                <w:u w:val="none"/>
              </w:rPr>
              <w:t>Cámara de Comercio</w:t>
            </w:r>
          </w:p>
        </w:tc>
      </w:tr>
      <w:tr>
        <w:tc>
          <w:tcPr>
            <w:tcW w:type="dxa" w:w="912"/>
          </w:tcPr>
          <w:p>
            <w:pPr>
              <w:spacing w:after="40" w:before="40" w:line="240" w:lineRule="auto"/>
              <w:jc w:val="left"/>
            </w:pPr>
            <w:r>
              <w:rPr>
                <w:rFonts w:ascii="Times New Roman" w:hAnsi="Times New Roman"/>
                <w:b w:val="0"/>
                <w:i w:val="0"/>
                <w:sz w:val="20"/>
                <w:u w:val="none"/>
              </w:rPr>
              <w:t>11</w:t>
            </w:r>
          </w:p>
        </w:tc>
        <w:tc>
          <w:tcPr>
            <w:tcW w:type="dxa" w:w="4105"/>
          </w:tcPr>
          <w:p>
            <w:pPr>
              <w:spacing w:after="40" w:before="40" w:line="240" w:lineRule="auto"/>
              <w:jc w:val="left"/>
            </w:pPr>
            <w:r>
              <w:rPr>
                <w:rFonts w:ascii="Times New Roman" w:hAnsi="Times New Roman"/>
                <w:b w:val="0"/>
                <w:i w:val="0"/>
                <w:sz w:val="20"/>
                <w:u w:val="none"/>
              </w:rPr>
              <w:t>Diligencia de presentación personal o autenticación notarial</w:t>
            </w:r>
          </w:p>
        </w:tc>
        <w:tc>
          <w:tcPr>
            <w:tcW w:type="dxa" w:w="4105"/>
          </w:tcPr>
          <w:p>
            <w:pPr>
              <w:spacing w:after="40" w:before="40" w:line="240" w:lineRule="auto"/>
              <w:jc w:val="left"/>
            </w:pPr>
            <w:r>
              <w:rPr>
                <w:rFonts w:ascii="Times New Roman" w:hAnsi="Times New Roman"/>
                <w:b w:val="0"/>
                <w:i w:val="0"/>
                <w:sz w:val="20"/>
                <w:u w:val="none"/>
              </w:rPr>
              <w:t>Cámara de Comercio o notaría</w:t>
            </w:r>
          </w:p>
        </w:tc>
      </w:tr>
      <w:tr>
        <w:tc>
          <w:tcPr>
            <w:tcW w:type="dxa" w:w="912"/>
          </w:tcPr>
          <w:p>
            <w:pPr>
              <w:spacing w:after="40" w:before="40" w:line="240" w:lineRule="auto"/>
              <w:jc w:val="left"/>
            </w:pPr>
            <w:r>
              <w:rPr>
                <w:rFonts w:ascii="Times New Roman" w:hAnsi="Times New Roman"/>
                <w:b w:val="0"/>
                <w:i w:val="0"/>
                <w:sz w:val="20"/>
                <w:u w:val="none"/>
              </w:rPr>
              <w:t>12</w:t>
            </w:r>
          </w:p>
        </w:tc>
        <w:tc>
          <w:tcPr>
            <w:tcW w:type="dxa" w:w="4105"/>
          </w:tcPr>
          <w:p>
            <w:pPr>
              <w:spacing w:after="40" w:before="40" w:line="240" w:lineRule="auto"/>
              <w:jc w:val="left"/>
            </w:pPr>
            <w:r>
              <w:rPr>
                <w:rFonts w:ascii="Times New Roman" w:hAnsi="Times New Roman"/>
                <w:b w:val="0"/>
                <w:i w:val="0"/>
                <w:sz w:val="20"/>
                <w:u w:val="none"/>
              </w:rPr>
              <w:t>Recibo de liquidación y pago del impuesto de registro</w:t>
            </w:r>
          </w:p>
        </w:tc>
        <w:tc>
          <w:tcPr>
            <w:tcW w:type="dxa" w:w="4105"/>
          </w:tcPr>
          <w:p>
            <w:pPr>
              <w:spacing w:after="40" w:before="40" w:line="240" w:lineRule="auto"/>
              <w:jc w:val="left"/>
            </w:pPr>
            <w:r>
              <w:rPr>
                <w:rFonts w:ascii="Times New Roman" w:hAnsi="Times New Roman"/>
                <w:b w:val="0"/>
                <w:i w:val="0"/>
                <w:sz w:val="20"/>
                <w:u w:val="none"/>
              </w:rPr>
              <w:t>Gobernación de Antioquia</w:t>
            </w:r>
          </w:p>
        </w:tc>
      </w:tr>
      <w:tr>
        <w:tc>
          <w:tcPr>
            <w:tcW w:type="dxa" w:w="912"/>
          </w:tcPr>
          <w:p>
            <w:pPr>
              <w:spacing w:after="40" w:before="40" w:line="240" w:lineRule="auto"/>
              <w:jc w:val="left"/>
            </w:pPr>
            <w:r>
              <w:rPr>
                <w:rFonts w:ascii="Times New Roman" w:hAnsi="Times New Roman"/>
                <w:b w:val="0"/>
                <w:i w:val="0"/>
                <w:sz w:val="20"/>
                <w:u w:val="none"/>
              </w:rPr>
              <w:t>13</w:t>
            </w:r>
          </w:p>
        </w:tc>
        <w:tc>
          <w:tcPr>
            <w:tcW w:type="dxa" w:w="4105"/>
          </w:tcPr>
          <w:p>
            <w:pPr>
              <w:spacing w:after="40" w:before="40" w:line="240" w:lineRule="auto"/>
              <w:jc w:val="left"/>
            </w:pPr>
            <w:r>
              <w:rPr>
                <w:rFonts w:ascii="Times New Roman" w:hAnsi="Times New Roman"/>
                <w:b w:val="0"/>
                <w:i w:val="0"/>
                <w:sz w:val="20"/>
                <w:u w:val="none"/>
              </w:rPr>
              <w:t>Copias ampliadas de las cédulas de ciudadanía</w:t>
            </w:r>
          </w:p>
        </w:tc>
        <w:tc>
          <w:tcPr>
            <w:tcW w:type="dxa" w:w="4105"/>
          </w:tcPr>
          <w:p>
            <w:pPr>
              <w:spacing w:after="40" w:before="40" w:line="240" w:lineRule="auto"/>
              <w:jc w:val="left"/>
            </w:pPr>
            <w:r>
              <w:rPr>
                <w:rFonts w:ascii="Times New Roman" w:hAnsi="Times New Roman"/>
                <w:b w:val="0"/>
                <w:i w:val="0"/>
                <w:sz w:val="20"/>
                <w:u w:val="none"/>
              </w:rPr>
              <w:t>Accionistas</w:t>
            </w:r>
          </w:p>
        </w:tc>
      </w:tr>
      <w:tr>
        <w:tc>
          <w:tcPr>
            <w:tcW w:type="dxa" w:w="912"/>
          </w:tcPr>
          <w:p>
            <w:pPr>
              <w:spacing w:after="40" w:before="40" w:line="240" w:lineRule="auto"/>
              <w:jc w:val="left"/>
            </w:pPr>
            <w:r>
              <w:rPr>
                <w:rFonts w:ascii="Times New Roman" w:hAnsi="Times New Roman"/>
                <w:b w:val="0"/>
                <w:i w:val="0"/>
                <w:sz w:val="20"/>
                <w:u w:val="none"/>
              </w:rPr>
              <w:t>14</w:t>
            </w:r>
          </w:p>
        </w:tc>
        <w:tc>
          <w:tcPr>
            <w:tcW w:type="dxa" w:w="4105"/>
          </w:tcPr>
          <w:p>
            <w:pPr>
              <w:spacing w:after="40" w:before="40" w:line="240" w:lineRule="auto"/>
              <w:jc w:val="left"/>
            </w:pPr>
            <w:r>
              <w:rPr>
                <w:rFonts w:ascii="Times New Roman" w:hAnsi="Times New Roman"/>
                <w:b w:val="0"/>
                <w:i w:val="0"/>
                <w:sz w:val="20"/>
                <w:u w:val="none"/>
              </w:rPr>
              <w:t>Certificado de uso del suelo y concepto sanitario del establecimiento</w:t>
            </w:r>
          </w:p>
        </w:tc>
        <w:tc>
          <w:tcPr>
            <w:tcW w:type="dxa" w:w="4105"/>
          </w:tcPr>
          <w:p>
            <w:pPr>
              <w:spacing w:after="40" w:before="40" w:line="240" w:lineRule="auto"/>
              <w:jc w:val="left"/>
            </w:pPr>
            <w:r>
              <w:rPr>
                <w:rFonts w:ascii="Times New Roman" w:hAnsi="Times New Roman"/>
                <w:b w:val="0"/>
                <w:i w:val="0"/>
                <w:sz w:val="20"/>
                <w:u w:val="none"/>
              </w:rPr>
              <w:t>Municipio de Medellín</w:t>
            </w:r>
          </w:p>
        </w:tc>
      </w:tr>
      <w:tr>
        <w:tc>
          <w:tcPr>
            <w:tcW w:type="dxa" w:w="912"/>
          </w:tcPr>
          <w:p>
            <w:pPr>
              <w:spacing w:after="40" w:before="40" w:line="240" w:lineRule="auto"/>
              <w:jc w:val="left"/>
            </w:pPr>
            <w:r>
              <w:rPr>
                <w:rFonts w:ascii="Times New Roman" w:hAnsi="Times New Roman"/>
                <w:b w:val="0"/>
                <w:i w:val="0"/>
                <w:sz w:val="20"/>
                <w:u w:val="none"/>
              </w:rPr>
              <w:t>15</w:t>
            </w:r>
          </w:p>
        </w:tc>
        <w:tc>
          <w:tcPr>
            <w:tcW w:type="dxa" w:w="4105"/>
          </w:tcPr>
          <w:p>
            <w:pPr>
              <w:spacing w:after="40" w:before="40" w:line="240" w:lineRule="auto"/>
              <w:jc w:val="left"/>
            </w:pPr>
            <w:r>
              <w:rPr>
                <w:rFonts w:ascii="Times New Roman" w:hAnsi="Times New Roman"/>
                <w:b w:val="0"/>
                <w:i w:val="0"/>
                <w:sz w:val="20"/>
                <w:u w:val="none"/>
              </w:rPr>
              <w:t>Inscripción en el REPS y habilitación de servicios de salud</w:t>
            </w:r>
          </w:p>
        </w:tc>
        <w:tc>
          <w:tcPr>
            <w:tcW w:type="dxa" w:w="4105"/>
          </w:tcPr>
          <w:p>
            <w:pPr>
              <w:spacing w:after="40" w:before="40" w:line="240" w:lineRule="auto"/>
              <w:jc w:val="left"/>
            </w:pPr>
            <w:r>
              <w:rPr>
                <w:rFonts w:ascii="Times New Roman" w:hAnsi="Times New Roman"/>
                <w:b w:val="0"/>
                <w:i w:val="0"/>
                <w:sz w:val="20"/>
                <w:u w:val="none"/>
              </w:rPr>
              <w:t>Autoridad sanitaria</w:t>
            </w:r>
          </w:p>
        </w:tc>
      </w:tr>
      <w:tr>
        <w:tc>
          <w:tcPr>
            <w:tcW w:type="dxa" w:w="912"/>
          </w:tcPr>
          <w:p>
            <w:pPr>
              <w:spacing w:after="40" w:before="40" w:line="240" w:lineRule="auto"/>
              <w:jc w:val="left"/>
            </w:pPr>
            <w:r>
              <w:rPr>
                <w:rFonts w:ascii="Times New Roman" w:hAnsi="Times New Roman"/>
                <w:b w:val="0"/>
                <w:i w:val="0"/>
                <w:sz w:val="20"/>
                <w:u w:val="none"/>
              </w:rPr>
              <w:t>16</w:t>
            </w:r>
          </w:p>
        </w:tc>
        <w:tc>
          <w:tcPr>
            <w:tcW w:type="dxa" w:w="4105"/>
          </w:tcPr>
          <w:p>
            <w:pPr>
              <w:spacing w:after="40" w:before="40" w:line="240" w:lineRule="auto"/>
              <w:jc w:val="left"/>
            </w:pPr>
            <w:r>
              <w:rPr>
                <w:rFonts w:ascii="Times New Roman" w:hAnsi="Times New Roman"/>
                <w:b w:val="0"/>
                <w:i w:val="0"/>
                <w:sz w:val="20"/>
                <w:u w:val="none"/>
              </w:rPr>
              <w:t>Inscripción en el RIT del Municipio de Medellín</w:t>
            </w:r>
          </w:p>
        </w:tc>
        <w:tc>
          <w:tcPr>
            <w:tcW w:type="dxa" w:w="4105"/>
          </w:tcPr>
          <w:p>
            <w:pPr>
              <w:spacing w:after="40" w:before="40" w:line="240" w:lineRule="auto"/>
              <w:jc w:val="left"/>
            </w:pPr>
            <w:r>
              <w:rPr>
                <w:rFonts w:ascii="Times New Roman" w:hAnsi="Times New Roman"/>
                <w:b w:val="0"/>
                <w:i w:val="0"/>
                <w:sz w:val="20"/>
                <w:u w:val="none"/>
              </w:rPr>
              <w:t>Secretaría de Hacienda de Medellín</w:t>
            </w:r>
          </w:p>
        </w:tc>
      </w:tr>
    </w:tbl>
    <w:p>
      <w:pPr>
        <w:spacing w:after="80"/>
      </w:pPr>
    </w:p>
    <w:p>
      <w:pPr>
        <w:keepNext/>
        <w:spacing w:before="320" w:after="160"/>
        <w:jc w:val="center"/>
      </w:pPr>
      <w:r>
        <w:rPr>
          <w:rFonts w:ascii="Times New Roman" w:hAnsi="Times New Roman"/>
          <w:b/>
          <w:i w:val="0"/>
          <w:sz w:val="24"/>
          <w:u w:val="none"/>
        </w:rPr>
        <w:t>VIII. PREGUNTAS DE SUSTENTACIÓN Y RESPUESTAS</w:t>
      </w:r>
    </w:p>
    <w:p>
      <w:r>
        <w:rPr>
          <w:rFonts w:ascii="Times New Roman" w:hAnsi="Times New Roman"/>
          <w:b w:val="0"/>
          <w:i w:val="0"/>
          <w:u w:val="none"/>
        </w:rPr>
        <w:t>Se anticipan las objeciones que con mayor probabilidad se formularán sobre el trabajo.</w:t>
      </w:r>
    </w:p>
    <w:p>
      <w:r>
        <w:rPr>
          <w:rFonts w:ascii="Times New Roman" w:hAnsi="Times New Roman"/>
          <w:b/>
          <w:i w:val="0"/>
          <w:u w:val="none"/>
        </w:rPr>
        <w:t>¿Por qué el capital suscrito equivale solo al 50 % del autorizado?</w:t>
      </w:r>
      <w:r>
        <w:rPr>
          <w:rFonts w:ascii="Times New Roman" w:hAnsi="Times New Roman"/>
          <w:b w:val="0"/>
          <w:i w:val="0"/>
          <w:u w:val="none"/>
        </w:rPr>
        <w:t xml:space="preserve"> Porque en la S.A.S. no rige la exigencia del artículo 376 del Código de Comercio. La cifra proviene del levantamiento y tiene además una lógica de negocio: dejar 600.000 acciones en reserva permite capitalizar en el futuro sin reforma estatutaria, mediante simple colocación de acciones en reserva.</w:t>
      </w:r>
    </w:p>
    <w:p>
      <w:r>
        <w:rPr>
          <w:rFonts w:ascii="Times New Roman" w:hAnsi="Times New Roman"/>
          <w:b/>
          <w:i w:val="0"/>
          <w:u w:val="none"/>
        </w:rPr>
        <w:t>¿Puede una S.A.S. tener capital autorizado?</w:t>
      </w:r>
      <w:r>
        <w:rPr>
          <w:rFonts w:ascii="Times New Roman" w:hAnsi="Times New Roman"/>
          <w:b w:val="0"/>
          <w:i w:val="0"/>
          <w:u w:val="none"/>
        </w:rPr>
        <w:t xml:space="preserve"> Sí. El numeral 6.º del artículo 5.º de la Ley 1258 exige indicar los tres capitales —autorizado, suscrito y pagado—, lo que presupone la estructura tripartita propia de las sociedades por acciones.</w:t>
      </w:r>
    </w:p>
    <w:p>
      <w:r>
        <w:rPr>
          <w:rFonts w:ascii="Times New Roman" w:hAnsi="Times New Roman"/>
          <w:b/>
          <w:i w:val="0"/>
          <w:u w:val="none"/>
        </w:rPr>
        <w:t>¿Por qué no se pactó un plazo de dos años para el pago si el levantamiento lo menciona?</w:t>
      </w:r>
      <w:r>
        <w:rPr>
          <w:rFonts w:ascii="Times New Roman" w:hAnsi="Times New Roman"/>
          <w:b w:val="0"/>
          <w:i w:val="0"/>
          <w:u w:val="none"/>
        </w:rPr>
        <w:t xml:space="preserve"> Porque el propio levantamiento califica el capital como "suscrito y pagado". La frase sobre los dos años reproduce la regla legal del artículo 9.º de la Ley 1258, que de todos modos quedó incorporada en el parágrafo primero del artículo 8.º de los estatutos para las emisiones futuras. La decisión se explica en detalle en el numeral V.5 de este memorando.</w:t>
      </w:r>
    </w:p>
    <w:p>
      <w:r>
        <w:rPr>
          <w:rFonts w:ascii="Times New Roman" w:hAnsi="Times New Roman"/>
          <w:b/>
          <w:i w:val="0"/>
          <w:u w:val="none"/>
        </w:rPr>
        <w:t>¿La sociedad necesita revisor fiscal?</w:t>
      </w:r>
      <w:r>
        <w:rPr>
          <w:rFonts w:ascii="Times New Roman" w:hAnsi="Times New Roman"/>
          <w:b w:val="0"/>
          <w:i w:val="0"/>
          <w:u w:val="none"/>
        </w:rPr>
        <w:t xml:space="preserve"> No. No alcanza los umbrales del parágrafo 2.º del artículo 13 de la Ley 43 de 1990. Los estatutos prevén su designación obligatoria si en el futuro los supera.</w:t>
      </w:r>
    </w:p>
    <w:p>
      <w:r>
        <w:rPr>
          <w:rFonts w:ascii="Times New Roman" w:hAnsi="Times New Roman"/>
          <w:b/>
          <w:i w:val="0"/>
          <w:u w:val="none"/>
        </w:rPr>
        <w:t>¿Por qué no hay junta directiva?</w:t>
      </w:r>
      <w:r>
        <w:rPr>
          <w:rFonts w:ascii="Times New Roman" w:hAnsi="Times New Roman"/>
          <w:b w:val="0"/>
          <w:i w:val="0"/>
          <w:u w:val="none"/>
        </w:rPr>
        <w:t xml:space="preserve"> Porque el artículo 25 de la Ley 1258 no la exige y porque en una sociedad de dos accionistas que son los dos administradores el órgano sería redundante.</w:t>
      </w:r>
    </w:p>
    <w:p>
      <w:r>
        <w:rPr>
          <w:rFonts w:ascii="Times New Roman" w:hAnsi="Times New Roman"/>
          <w:b/>
          <w:i w:val="0"/>
          <w:u w:val="none"/>
        </w:rPr>
        <w:t>¿La cláusula compromisoria excluye a la Superintendencia de Sociedades?</w:t>
      </w:r>
      <w:r>
        <w:rPr>
          <w:rFonts w:ascii="Times New Roman" w:hAnsi="Times New Roman"/>
          <w:b w:val="0"/>
          <w:i w:val="0"/>
          <w:u w:val="none"/>
        </w:rPr>
        <w:t xml:space="preserve"> No. Se dejó a salvo expresamente su competencia jurisdiccional, en particular para la desestimación de la personalidad jurídica (artículo 42 de la Ley 1258) y el abuso del derecho de voto (artículo 43).</w:t>
      </w:r>
    </w:p>
    <w:p>
      <w:r>
        <w:rPr>
          <w:rFonts w:ascii="Times New Roman" w:hAnsi="Times New Roman"/>
          <w:b/>
          <w:i w:val="0"/>
          <w:u w:val="none"/>
        </w:rPr>
        <w:t>¿Cuánto cuesta constituir la sociedad?</w:t>
      </w:r>
      <w:r>
        <w:rPr>
          <w:rFonts w:ascii="Times New Roman" w:hAnsi="Times New Roman"/>
          <w:b w:val="0"/>
          <w:i w:val="0"/>
          <w:u w:val="none"/>
        </w:rPr>
        <w:t xml:space="preserve"> Aproximadamente $4.321.100, más la matrícula del establecimiento. El impuesto de registro —$4.200.000— representa más del 97 % del total; los derechos de matrícula de la persona jurídica son cero por la exención de la Ley 1780.</w:t>
      </w:r>
    </w:p>
    <w:p>
      <w:r>
        <w:rPr>
          <w:rFonts w:ascii="Times New Roman" w:hAnsi="Times New Roman"/>
          <w:b/>
          <w:i w:val="0"/>
          <w:u w:val="none"/>
        </w:rPr>
        <w:t>¿Por qué la Cámara de Comercio de Medellín y no la del Aburrá Sur, si un accionista vive en Envigado?</w:t>
      </w:r>
      <w:r>
        <w:rPr>
          <w:rFonts w:ascii="Times New Roman" w:hAnsi="Times New Roman"/>
          <w:b w:val="0"/>
          <w:i w:val="0"/>
          <w:u w:val="none"/>
        </w:rPr>
        <w:t xml:space="preserve"> Porque la competencia registral se determina por el </w:t>
      </w:r>
      <w:r>
        <w:rPr>
          <w:rFonts w:ascii="Times New Roman" w:hAnsi="Times New Roman"/>
          <w:b/>
          <w:i w:val="0"/>
          <w:u w:val="none"/>
        </w:rPr>
        <w:t>domicilio de la sociedad</w:t>
      </w:r>
      <w:r>
        <w:rPr>
          <w:rFonts w:ascii="Times New Roman" w:hAnsi="Times New Roman"/>
          <w:b w:val="0"/>
          <w:i w:val="0"/>
          <w:u w:val="none"/>
        </w:rPr>
        <w:t xml:space="preserve"> —Medellín— y no por el domicilio de los accionistas (artículos 111 del Código de Comercio y 5.º de la Ley 1258).</w:t>
      </w:r>
    </w:p>
    <w:p>
      <w:r>
        <w:rPr>
          <w:rFonts w:ascii="Times New Roman" w:hAnsi="Times New Roman"/>
          <w:b/>
          <w:i w:val="0"/>
          <w:u w:val="none"/>
        </w:rPr>
        <w:t>¿Por qué el límite de cuantía es de 100 SMLMV y no de 500, como es habitual en los modelos?</w:t>
      </w:r>
      <w:r>
        <w:rPr>
          <w:rFonts w:ascii="Times New Roman" w:hAnsi="Times New Roman"/>
          <w:b w:val="0"/>
          <w:i w:val="0"/>
          <w:u w:val="none"/>
        </w:rPr>
        <w:t xml:space="preserve"> Porque 500 salarios mínimos equivalen aproximadamente a $700.000.000, cifra superior al capital pagado de la sociedad: el umbral nunca se activaría. Cien salarios equivalen a cerca de $140.000.000, esto es, al 23 % del capital pagado, que sí capta las decisiones patrimonialmente relevantes sin entorpecer la operación ordinaria.</w:t>
      </w:r>
    </w:p>
    <w:p>
      <w:r>
        <w:rPr>
          <w:rFonts w:ascii="Times New Roman" w:hAnsi="Times New Roman"/>
          <w:b/>
          <w:i w:val="0"/>
          <w:u w:val="none"/>
        </w:rPr>
        <w:t>¿Por qué las mayorías de los artículos 15 y 39 se computan sobre las acciones "restantes"?</w:t>
      </w:r>
      <w:r>
        <w:rPr>
          <w:rFonts w:ascii="Times New Roman" w:hAnsi="Times New Roman"/>
          <w:b w:val="0"/>
          <w:i w:val="0"/>
          <w:u w:val="none"/>
        </w:rPr>
        <w:t xml:space="preserve"> Porque esas dos cláusulas excluyen del voto al accionista afectado. Si el 70 % se calculara sobre las 600.000 acciones suscritas, el umbral de 420.000 sería inalcanzable para cualquiera de los dos una vez excluido el otro, y ambas cláusulas serían inoperantes. Computadas sobre las acciones restantes, funcionan como un consentimiento recíproco.</w:t>
      </w:r>
    </w:p>
    <w:p>
      <w:r>
        <w:rPr>
          <w:rFonts w:ascii="Times New Roman" w:hAnsi="Times New Roman"/>
          <w:b/>
          <w:i w:val="0"/>
          <w:u w:val="none"/>
        </w:rPr>
        <w:t>¿Cuál es el plazo para enervar una causal de disolución?</w:t>
      </w:r>
      <w:r>
        <w:rPr>
          <w:rFonts w:ascii="Times New Roman" w:hAnsi="Times New Roman"/>
          <w:b w:val="0"/>
          <w:i w:val="0"/>
          <w:u w:val="none"/>
        </w:rPr>
        <w:t xml:space="preserve"> Seis meses como regla general, contados desde que la asamblea reconoce el acaecimiento de la causal (artículo 35 de la Ley 1258). Ese plazo sube a </w:t>
      </w:r>
      <w:r>
        <w:rPr>
          <w:rFonts w:ascii="Times New Roman" w:hAnsi="Times New Roman"/>
          <w:b/>
          <w:i w:val="0"/>
          <w:u w:val="none"/>
        </w:rPr>
        <w:t>dieciocho meses</w:t>
      </w:r>
      <w:r>
        <w:rPr>
          <w:rFonts w:ascii="Times New Roman" w:hAnsi="Times New Roman"/>
          <w:b w:val="0"/>
          <w:i w:val="0"/>
          <w:u w:val="none"/>
        </w:rPr>
        <w:t xml:space="preserve"> únicamente para la causal de no cumplimiento de la hipótesis de negocio en marcha, porque el inciso segundo del artículo 35 lo preveía para la derogada causal de pérdidas y el parágrafo primero del artículo 4.º de la Ley 2069 de 2020 ordena entender toda mención a aquella referida a esta.</w:t>
      </w:r>
    </w:p>
    <w:p>
      <w:r>
        <w:rPr>
          <w:rFonts w:ascii="Times New Roman" w:hAnsi="Times New Roman"/>
          <w:b/>
          <w:i w:val="0"/>
          <w:u w:val="none"/>
        </w:rPr>
        <w:t>¿Qué pasa si la sociedad empieza a atender pacientes antes de habilitarse?</w:t>
      </w:r>
      <w:r>
        <w:rPr>
          <w:rFonts w:ascii="Times New Roman" w:hAnsi="Times New Roman"/>
          <w:b w:val="0"/>
          <w:i w:val="0"/>
          <w:u w:val="none"/>
        </w:rPr>
        <w:t xml:space="preserve"> Incurre en prestación irregular de servicios de salud, con riesgo de cierre y sanción, y los administradores incumplen el deber de diligencia del artículo 23 de la Ley 222 de 1995.</w:t>
      </w:r>
    </w:p>
    <w:p>
      <w:r>
        <w:rPr>
          <w:rFonts w:ascii="Times New Roman" w:hAnsi="Times New Roman"/>
          <w:b/>
          <w:i w:val="0"/>
          <w:u w:val="none"/>
        </w:rPr>
        <w:t>¿Es válido que la accionista mayoritaria sea a la vez representante legal?</w:t>
      </w:r>
      <w:r>
        <w:rPr>
          <w:rFonts w:ascii="Times New Roman" w:hAnsi="Times New Roman"/>
          <w:b w:val="0"/>
          <w:i w:val="0"/>
          <w:u w:val="none"/>
        </w:rPr>
        <w:t xml:space="preserve"> Sí, no existe incompatibilidad. Pero por ello se pactó la limitación de cuantía de 100 SMLMV y se recogió la sanción de ineficacia por abuso del derecho de voto del artículo 43 de la Ley 1258.</w:t>
      </w:r>
    </w:p>
    <w:p>
      <w:pPr>
        <w:keepNext/>
        <w:spacing w:before="320" w:after="160"/>
        <w:jc w:val="center"/>
      </w:pPr>
      <w:r>
        <w:rPr>
          <w:rFonts w:ascii="Times New Roman" w:hAnsi="Times New Roman"/>
          <w:b/>
          <w:i w:val="0"/>
          <w:sz w:val="24"/>
          <w:u w:val="none"/>
        </w:rPr>
        <w:t>IX. FUENTES CONSULTADAS</w:t>
      </w:r>
    </w:p>
    <w:p>
      <w:pPr>
        <w:keepNext/>
        <w:spacing w:before="240" w:after="80"/>
        <w:jc w:val="left"/>
      </w:pPr>
      <w:r>
        <w:rPr>
          <w:rFonts w:ascii="Times New Roman" w:hAnsi="Times New Roman"/>
          <w:b/>
          <w:i w:val="0"/>
          <w:sz w:val="24"/>
          <w:u w:val="none"/>
        </w:rPr>
        <w:t>Normativa</w:t>
      </w:r>
    </w:p>
    <w:p>
      <w:pPr>
        <w:pStyle w:val="ListBullet"/>
        <w:spacing w:after="80"/>
        <w:ind w:left="567"/>
        <w:jc w:val="both"/>
      </w:pPr>
      <w:r>
        <w:rPr>
          <w:rFonts w:ascii="Times New Roman" w:hAnsi="Times New Roman"/>
          <w:b w:val="0"/>
          <w:i w:val="0"/>
          <w:u w:val="none"/>
        </w:rPr>
        <w:t>Ley 1258 de 2008, "por medio de la cual se crea la sociedad por acciones simplificada".</w:t>
      </w:r>
    </w:p>
    <w:p>
      <w:pPr>
        <w:pStyle w:val="ListBullet"/>
        <w:spacing w:after="80"/>
        <w:ind w:left="567"/>
        <w:jc w:val="both"/>
      </w:pPr>
      <w:r>
        <w:rPr>
          <w:rFonts w:ascii="Times New Roman" w:hAnsi="Times New Roman"/>
          <w:b w:val="0"/>
          <w:i w:val="0"/>
          <w:u w:val="none"/>
        </w:rPr>
        <w:t>Decreto 410 de 1971, Código de Comercio, artículos 28, 31, 35, 37, 40, 99, 110, 111, 145, 151, 155, 164, 185, 189, 195, 200, 222 y siguientes, 379, 397, 398, 401, 406, 452, 457 y 515.</w:t>
      </w:r>
    </w:p>
    <w:p>
      <w:pPr>
        <w:pStyle w:val="ListBullet"/>
        <w:spacing w:after="80"/>
        <w:ind w:left="567"/>
        <w:jc w:val="both"/>
      </w:pPr>
      <w:r>
        <w:rPr>
          <w:rFonts w:ascii="Times New Roman" w:hAnsi="Times New Roman"/>
          <w:b w:val="0"/>
          <w:i w:val="0"/>
          <w:u w:val="none"/>
        </w:rPr>
        <w:t>Ley 222 de 1995, artículos 19 a 23 y 48.</w:t>
      </w:r>
    </w:p>
    <w:p>
      <w:pPr>
        <w:pStyle w:val="ListBullet"/>
        <w:spacing w:after="80"/>
        <w:ind w:left="567"/>
        <w:jc w:val="both"/>
      </w:pPr>
      <w:r>
        <w:rPr>
          <w:rFonts w:ascii="Times New Roman" w:hAnsi="Times New Roman"/>
          <w:b w:val="0"/>
          <w:i w:val="0"/>
          <w:u w:val="none"/>
        </w:rPr>
        <w:t>Decreto Ley 2150 de 1995, artículo 42.</w:t>
      </w:r>
    </w:p>
    <w:p>
      <w:pPr>
        <w:pStyle w:val="ListBullet"/>
        <w:spacing w:after="80"/>
        <w:ind w:left="567"/>
        <w:jc w:val="both"/>
      </w:pPr>
      <w:r>
        <w:rPr>
          <w:rFonts w:ascii="Times New Roman" w:hAnsi="Times New Roman"/>
          <w:b w:val="0"/>
          <w:i w:val="0"/>
          <w:u w:val="none"/>
        </w:rPr>
        <w:t>Decreto Ley 019 de 2012, artículo 175.</w:t>
      </w:r>
    </w:p>
    <w:p>
      <w:pPr>
        <w:pStyle w:val="ListBullet"/>
        <w:spacing w:after="80"/>
        <w:ind w:left="567"/>
        <w:jc w:val="both"/>
      </w:pPr>
      <w:r>
        <w:rPr>
          <w:rFonts w:ascii="Times New Roman" w:hAnsi="Times New Roman"/>
          <w:b w:val="0"/>
          <w:i w:val="0"/>
          <w:u w:val="none"/>
        </w:rPr>
        <w:t>Ley 43 de 1990, artículo 13, parágrafo 2.º.</w:t>
      </w:r>
    </w:p>
    <w:p>
      <w:pPr>
        <w:pStyle w:val="ListBullet"/>
        <w:spacing w:after="80"/>
        <w:ind w:left="567"/>
        <w:jc w:val="both"/>
      </w:pPr>
      <w:r>
        <w:rPr>
          <w:rFonts w:ascii="Times New Roman" w:hAnsi="Times New Roman"/>
          <w:b w:val="0"/>
          <w:i w:val="0"/>
          <w:u w:val="none"/>
        </w:rPr>
        <w:t>Ley 1780 de 2016, artículos 2.º y 3.º, reglamentada por el Decreto 639 de 2017.</w:t>
      </w:r>
    </w:p>
    <w:p>
      <w:pPr>
        <w:pStyle w:val="ListBullet"/>
        <w:spacing w:after="80"/>
        <w:ind w:left="567"/>
        <w:jc w:val="both"/>
      </w:pPr>
      <w:r>
        <w:rPr>
          <w:rFonts w:ascii="Times New Roman" w:hAnsi="Times New Roman"/>
          <w:b w:val="0"/>
          <w:i w:val="0"/>
          <w:u w:val="none"/>
        </w:rPr>
        <w:t>Ley 2069 de 2020, artículo 4.º.</w:t>
      </w:r>
    </w:p>
    <w:p>
      <w:pPr>
        <w:pStyle w:val="ListBullet"/>
        <w:spacing w:after="80"/>
        <w:ind w:left="567"/>
        <w:jc w:val="both"/>
      </w:pPr>
      <w:r>
        <w:rPr>
          <w:rFonts w:ascii="Times New Roman" w:hAnsi="Times New Roman"/>
          <w:b w:val="0"/>
          <w:i w:val="0"/>
          <w:u w:val="none"/>
        </w:rPr>
        <w:t>Ley 223 de 1995, artículos 226 a 235, y Decreto 650 de 1996, artículo 6.º.</w:t>
      </w:r>
    </w:p>
    <w:p>
      <w:pPr>
        <w:pStyle w:val="ListBullet"/>
        <w:spacing w:after="80"/>
        <w:ind w:left="567"/>
        <w:jc w:val="both"/>
      </w:pPr>
      <w:r>
        <w:rPr>
          <w:rFonts w:ascii="Times New Roman" w:hAnsi="Times New Roman"/>
          <w:b w:val="0"/>
          <w:i w:val="0"/>
          <w:u w:val="none"/>
        </w:rPr>
        <w:t>Decreto 1074 de 2015, artículos 2.2.2.46.1.1 y siguientes, modificados por el Decreto 045 de 2024.</w:t>
      </w:r>
    </w:p>
    <w:p>
      <w:pPr>
        <w:pStyle w:val="ListBullet"/>
        <w:spacing w:after="80"/>
        <w:ind w:left="567"/>
        <w:jc w:val="both"/>
      </w:pPr>
      <w:r>
        <w:rPr>
          <w:rFonts w:ascii="Times New Roman" w:hAnsi="Times New Roman"/>
          <w:b w:val="0"/>
          <w:i w:val="0"/>
          <w:u w:val="none"/>
        </w:rPr>
        <w:t>Ley 1563 de 2012; Ley 1581 de 2012; Ley 1314 de 2009; Ley 28 de 1932; Código Civil, artículo 1781.</w:t>
      </w:r>
    </w:p>
    <w:p>
      <w:pPr>
        <w:pStyle w:val="ListBullet"/>
        <w:spacing w:after="80"/>
        <w:ind w:left="567"/>
        <w:jc w:val="both"/>
      </w:pPr>
      <w:r>
        <w:rPr>
          <w:rFonts w:ascii="Times New Roman" w:hAnsi="Times New Roman"/>
          <w:b w:val="0"/>
          <w:i w:val="0"/>
          <w:u w:val="none"/>
        </w:rPr>
        <w:t>Resolución 3100 de 2019 del Ministerio de Salud y Protección Social.</w:t>
      </w:r>
    </w:p>
    <w:p>
      <w:pPr>
        <w:pStyle w:val="ListBullet"/>
        <w:spacing w:after="80"/>
        <w:ind w:left="567"/>
        <w:jc w:val="both"/>
      </w:pPr>
      <w:r>
        <w:rPr>
          <w:rFonts w:ascii="Times New Roman" w:hAnsi="Times New Roman"/>
          <w:b w:val="0"/>
          <w:i w:val="0"/>
          <w:u w:val="none"/>
        </w:rPr>
        <w:t>Resolución 3488 de 2025 del Ministerio de Hacienda y Crédito Público (valor de la UVB para 2026: $12.110).</w:t>
      </w:r>
    </w:p>
    <w:p>
      <w:pPr>
        <w:keepNext/>
        <w:spacing w:before="240" w:after="80"/>
        <w:jc w:val="left"/>
      </w:pPr>
      <w:r>
        <w:rPr>
          <w:rFonts w:ascii="Times New Roman" w:hAnsi="Times New Roman"/>
          <w:b/>
          <w:i w:val="0"/>
          <w:sz w:val="24"/>
          <w:u w:val="none"/>
        </w:rPr>
        <w:t>Doctrina administrativa</w:t>
      </w:r>
    </w:p>
    <w:p>
      <w:pPr>
        <w:pStyle w:val="ListBullet"/>
        <w:spacing w:after="80"/>
        <w:ind w:left="567"/>
        <w:jc w:val="both"/>
      </w:pPr>
      <w:r>
        <w:rPr>
          <w:rFonts w:ascii="Times New Roman" w:hAnsi="Times New Roman"/>
          <w:b w:val="0"/>
          <w:i w:val="0"/>
          <w:u w:val="none"/>
        </w:rPr>
        <w:t>Superintendencia de Sociedades, Oficio 220-069664 del 27 de marzo de 2017 (reserva legal en la S.A.S.).</w:t>
      </w:r>
    </w:p>
    <w:p>
      <w:pPr>
        <w:pStyle w:val="ListBullet"/>
        <w:spacing w:after="80"/>
        <w:ind w:left="567"/>
        <w:jc w:val="both"/>
      </w:pPr>
      <w:r>
        <w:rPr>
          <w:rFonts w:ascii="Times New Roman" w:hAnsi="Times New Roman"/>
          <w:b w:val="0"/>
          <w:i w:val="0"/>
          <w:u w:val="none"/>
        </w:rPr>
        <w:t>Superintendencia de Sociedades, Oficio 220-056371 de 2021 (hipótesis de negocio en marcha, artículo 4.º de la Ley 2069 de 2020).</w:t>
      </w:r>
    </w:p>
    <w:p>
      <w:pPr>
        <w:pStyle w:val="ListBullet"/>
        <w:spacing w:after="80"/>
        <w:ind w:left="567"/>
        <w:jc w:val="both"/>
      </w:pPr>
      <w:r>
        <w:rPr>
          <w:rFonts w:ascii="Times New Roman" w:hAnsi="Times New Roman"/>
          <w:b w:val="0"/>
          <w:i w:val="0"/>
          <w:u w:val="none"/>
        </w:rPr>
        <w:t>Superintendencia de Sociedades, Circular Externa 100-000016 de 2020 (SAGRILAFT).</w:t>
      </w:r>
    </w:p>
    <w:p>
      <w:pPr>
        <w:keepNext/>
        <w:spacing w:before="240" w:after="80"/>
        <w:jc w:val="left"/>
      </w:pPr>
      <w:r>
        <w:rPr>
          <w:rFonts w:ascii="Times New Roman" w:hAnsi="Times New Roman"/>
          <w:b/>
          <w:i w:val="0"/>
          <w:sz w:val="24"/>
          <w:u w:val="none"/>
        </w:rPr>
        <w:t>Fuentes registrales</w:t>
      </w:r>
    </w:p>
    <w:p>
      <w:pPr>
        <w:pStyle w:val="ListBullet"/>
        <w:spacing w:after="80"/>
        <w:ind w:left="567"/>
        <w:jc w:val="both"/>
      </w:pPr>
      <w:r>
        <w:rPr>
          <w:rFonts w:ascii="Times New Roman" w:hAnsi="Times New Roman"/>
          <w:b w:val="0"/>
          <w:i w:val="0"/>
          <w:u w:val="none"/>
        </w:rPr>
        <w:t>Cámara de Comercio de Medellín para Antioquia, guía registral sobre el registro de la constitución de una sociedad por acciones simplificada.</w:t>
      </w:r>
    </w:p>
    <w:p>
      <w:pPr>
        <w:pStyle w:val="ListBullet"/>
        <w:spacing w:after="80"/>
        <w:ind w:left="567"/>
        <w:jc w:val="both"/>
      </w:pPr>
      <w:r>
        <w:rPr>
          <w:rFonts w:ascii="Times New Roman" w:hAnsi="Times New Roman"/>
          <w:b w:val="0"/>
          <w:i w:val="0"/>
          <w:u w:val="none"/>
        </w:rPr>
        <w:t>Cámara de Comercio de Medellín para Antioquia, instructivo de diligenciamiento del formulario RUES.</w:t>
      </w:r>
    </w:p>
    <w:p>
      <w:pPr>
        <w:pStyle w:val="ListBullet"/>
        <w:spacing w:after="80"/>
        <w:ind w:left="567"/>
        <w:jc w:val="both"/>
      </w:pPr>
      <w:r>
        <w:rPr>
          <w:rFonts w:ascii="Times New Roman" w:hAnsi="Times New Roman"/>
          <w:b w:val="0"/>
          <w:i w:val="0"/>
          <w:u w:val="none"/>
        </w:rPr>
        <w:t>Tabla de tarifas de los registros públicos para el año 2026, calculadas en Unidades de Valor Básico.</w:t>
      </w:r>
    </w:p>
    <w:p>
      <w:pPr>
        <w:pStyle w:val="ListBullet"/>
        <w:spacing w:after="80"/>
        <w:ind w:left="567"/>
        <w:jc w:val="both"/>
      </w:pPr>
      <w:r>
        <w:rPr>
          <w:rFonts w:ascii="Times New Roman" w:hAnsi="Times New Roman"/>
          <w:b w:val="0"/>
          <w:i w:val="0"/>
          <w:u w:val="none"/>
        </w:rPr>
        <w:t>Clasificación Industrial Internacional Uniforme, revisión 4 adaptada para Colombia (DANE), clases 8692, 9311 y 9609.</w:t>
      </w:r>
    </w:p>
    <w:sectPr w:rsidR="00FC693F" w:rsidRPr="0006063C" w:rsidSect="00034616">
      <w:headerReference w:type="default" r:id="rId9"/>
      <w:footerReference w:type="default" r:id="rId10"/>
      <w:pgSz w:w="12240" w:h="15840"/>
      <w:pgMar w:top="1701" w:right="1417" w:bottom="1417" w:left="1701"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555555"/>
        <w:sz w:val="16"/>
      </w:rPr>
      <w:t xml:space="preserve">Memorando jurídico justificativo  |  </w:t>
    </w:r>
    <w:r>
      <w:rPr>
        <w:rFonts w:ascii="Times New Roman" w:hAnsi="Times New Roman"/>
        <w:color w:val="555555"/>
        <w:sz w:val="16"/>
      </w:rPr>
      <w:t xml:space="preserve">Página </w:t>
    </w:r>
    <w:r>
      <w:rPr>
        <w:rFonts w:ascii="Times New Roman" w:hAnsi="Times New Roman"/>
        <w:color w:val="555555"/>
        <w:sz w:val="16"/>
      </w:rPr>
      <w:fldChar w:fldCharType="begin"/>
      <w:instrText xml:space="preserve"> PAGE </w:instrText>
      <w:fldChar w:fldCharType="end"/>
    </w:r>
    <w:r>
      <w:rPr>
        <w:rFonts w:ascii="Times New Roman" w:hAnsi="Times New Roman"/>
        <w:color w:val="555555"/>
        <w:sz w:val="16"/>
      </w:rPr>
      <w:t xml:space="preserve"> de </w:t>
    </w:r>
    <w:r>
      <w:rPr>
        <w:rFonts w:ascii="Times New Roman" w:hAnsi="Times New Roman"/>
        <w:color w:val="555555"/>
        <w:sz w:val="16"/>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1" w:color="AAAAAA"/>
      </w:pBdr>
    </w:pPr>
    <w:r>
      <w:rPr>
        <w:rFonts w:ascii="Times New Roman" w:hAnsi="Times New Roman"/>
        <w:i/>
        <w:color w:val="555555"/>
        <w:sz w:val="16"/>
      </w:rPr>
      <w:t>Memorando jurídico justificativo — Constitución de NOVA BIENESTAR INTEGRAL S.A.S.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