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rP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Normas no faltan, desde la Ley 1270 de 2009 y la Ley 1445 de 2011 hasta el Código Penal, pero la persecución se estrella con la identificación de los agresores, y por eso hay tantas muertes y tan pocas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rP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porque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rPr/>
        <w:t>Por ser estructural, el fenómeno pide ser mirado desde tres planos, que separamos solo para exponerlos con orden, porque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A esos tres planos sumamos el derecho comparado, con el que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rPr/>
        <w:t>Nuestra hipótesis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Sostenemos que ninguna política exclusivamente punitiva va a bajar de manera sostenible esta violencia, que en Colombia no se queda en los estadios y aparece también en sus alrededores, en el transporte público y en los trayectos de regreso, como lo muestra uno de los casos que examinamos más adelante.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pasó, qué ocurrió y en qué va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14:paraId="51F91E50" w14:textId="77777777" w:rsidR="005E4666" w:rsidRDefault="005E4666" w:rsidP="00EB144C">
      <w:pPr>
        <w:pStyle w:val="Textoindependiente"/>
        <w:spacing w:line="360" w:lineRule="auto"/>
        <w:ind w:left="0" w:firstLine="707"/>
      </w:pPr>
      <w:r>
        <w:rPr/>
        <w:t>Tres casos no son una muestra del barrismo colombiano, y no sacamos de ellos conclusiones estadísticas; los usamos para probar el análisis jurídico contra hechos reales. En cada uno nos preguntamos qué régimen de responsabilidad se activa, contra quién y qué impide que funcione. Las respuestas salen de sentencias de la Corte Constitucional, como la C-065 de 2021, y de las Salas de Casación Penal y Civil de la Corte Suprema de Justicia, como la SC2905-2021, y de revisar lo que le corresponde a cada actor: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rPr/>
        <w:t>Los casos también muestran cómo funciona la respuesta del Estado, pues en ellos se ve qué obstáculos dejan los hechos sin castigo, en qué lugares y momentos pasan los más graves y cuánta distancia hay entre la sanción disciplinaria del fútbol y la pena. Debemos advertir, además, que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rPr/>
        <w:t>Presentamos los resultados en cuatro partes: primero el perfil de la violencia en el fútbol colombiano, luego la responsabilidad jurídica de cada actor, después el impacto económico y al final la comparación con otros países. La división sirve solo para ordenar la lectura, porque en la realidad estos aspectos están conectados: las causas sociales producen violencia, la violencia genera pérdidas que les quitan a los clubes margen para invertir en seguridad, y la respuesta jurídica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rPr/>
        <w:t>El primer rasgo del fenómeno es su magnitud, pues a pesar de las sanciones disciplinarias de la Dimayor y de los dispositivos de la Policía Nacional, las cifras disponibles no permiten afirmar que la violencia asociada al fútbol haya disminuido. El relevamiento de El País de Cali (2020), 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rPr/>
        <w:t>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nuestro juicio,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left"/>
      </w:pPr>
      <w:r>
        <w:rP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rP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rPr/>
        <w:t>En 2018 fueron detenidos unos quince integrantes de la barra del Atlético Nacional por participar en una red que enviaba droga a Argentina, donde la distribuía la barra del club Laferrere (Caracol Radio, 2020). Que dos hinchadas de países distintos se articularan para un negocio ilegal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rPr/>
        <w:t>Este caso muestra hasta dónde llegan las herramientas nacionales, porque la responsabilidad vuelve a ser penal e individual, pero perseguirla depende de que colaboren jueces y policías de dos Estados, ya que la conducta empieza en Colombia y termina en Argentina. También nos interesa por lo que adelanta de la comparación: el programa argentino Tribuna Segura, que estudiamos más adelante, cruza la identidad de quien entra al estadio con las bases de personas con orden de captura, de modo que un integrante de una red como esta podría ser detectado en la puerta. En Colombia eso no ocurre, porque en los accesos nadie verifica quién entra, salvo en los pilotos que describimos luego. Del lado del club no vemos base para una responsabilidad civil o disciplinaria, pues el negocio ilegal no tiene relación con la organización del partido.</w:t>
      </w:r>
    </w:p>
    <w:p w14:paraId="09B7752B" w14:textId="77777777" w:rsidR="0084558A" w:rsidRDefault="00000000" w:rsidP="00EB144C">
      <w:pPr>
        <w:pStyle w:val="Textoindependiente"/>
        <w:spacing w:line="360" w:lineRule="auto"/>
        <w:ind w:left="0" w:firstLine="707"/>
        <w:jc w:val="left"/>
      </w:pPr>
      <w:r>
        <w:rP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rPr/>
        <w:t>En el papel, el marco normativo colombiano es amplio, aunque falla en su ejecución. La Constitución Política protege la vida, la integridad, la seguridad, la libre asociación y el derecho al deporte, y sobre esa base la Ley 1270 de 2009 creó la Comisión Nacional para la Seguridad, Comodidad y Convivencia en el Fútbol y las comisiones locales. Después, la Ley 1445 de 2011, modificada por la Ley 1453 del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rP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Estas sanciones no requieren que haya delito y funcionan como una restricción personal de entrada al estadio, que solo sirve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en los que lo difícil no es saber qué delito se cometió, sino probar quién lo cometió. Sobre otra providencia conviene hacer una aclaración, para no atribuirle más de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rPr/>
        <w:t>Con las cifras hay que ir con cuidado, porque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y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left"/>
      </w:pPr>
      <w:r>
        <w:rPr/>
        <w:t>Clubes y organizadores del espectáculo tienen deberes civiles, disciplinarios y administrativos. Nos detenemos en los civiles, porque son la puerta que el ordenamiento deja abierta a las víctimas, y para analizarlos hay que empezar por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rP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14:paraId="08854832" w14:textId="77777777" w:rsidR="0084558A" w:rsidRDefault="00000000" w:rsidP="00EB144C">
      <w:pPr>
        <w:pStyle w:val="Textoindependiente"/>
        <w:spacing w:line="360" w:lineRule="auto"/>
        <w:ind w:left="0" w:firstLine="720"/>
        <w:jc w:val="left"/>
      </w:pPr>
      <w:r>
        <w:rP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rPr/>
        <w:t>Otra cosa pasa con el vecino al que se le daña la casa, con el peatón al que le cae un objeto lanzado desde la tribuna o con quien, sin boleta, sufre un daño dentro del perímetro que controla el organizador. Como el club no tiene contrato con ellos,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rPr/>
        <w:t>La línea viene de atrás: en la sentencia del 8 de septiembre de 2011, expediente 73449-3103-001-2006-00049-01, la Sala decidió el caso de una persona que murió al tocar una red de energía eléctrica. Nos importa un detalle de ese caso: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rP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pues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rP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En el fútbol profesional, esa regla sirve para los terceros sin contrato con el club, como el vecino al que se le daña la casa o el peatón al que le cae un objeto lanzado desde la tribuna. Al asistente que compró boleta, en cambio, lo cobija el contrato, y ahí la prueba de la diligencia conserva el papel que el artículo 2356 le quita. Los dos regímenes comparten un problema práctico, porque en los estadios el daño más frecuente lo causa otro hincha, y hay que definir cuándo esa agresión rompe el nexo entre el daño y la organización del partido.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rP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porque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14:paraId="71C72833" w14:textId="77777777" w:rsidR="0084558A" w:rsidRDefault="00000000" w:rsidP="00EB144C">
      <w:pPr>
        <w:pStyle w:val="Textoindependiente"/>
        <w:spacing w:line="360" w:lineRule="auto"/>
        <w:ind w:left="0" w:firstLine="720"/>
        <w:jc w:val="left"/>
      </w:pPr>
      <w:r>
        <w:rP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left"/>
      </w:pPr>
      <w:r>
        <w:rPr/>
        <w:t>La Dimayor y la Federación Colombiana de Fútbol también tienen deberes jurídicos, que les vienen de su condición de reguladores privados del fútbol profesional. Sus decisiones disciplinarias sobre clubes, jugadores o asistentes tienen que respetar el debido proceso, estar motivadas, ser proporcionales y razonables y admitir doble instancia. En la Sentencia SU-386 de 2023, que se ocupó del deber de inspección y vigilancia del Ministerio del Deporte y del acceso a la justicia de los futbolistas, la Corte Constitucional dejó una regla que nos sirve: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rP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left"/>
        <w:rPr>
          <w:spacing w:val="-2"/>
        </w:rPr>
      </w:pPr>
      <w:r>
        <w:rP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o si sale en las noticias por hechos violentos. Y un operador de televisión puede usar la imagen de inseguridad del torneo para negociar a la baja, porque un fútbol violento vale menos en el mercado audiovisual que uno que la familia puede ver tranquila.</w:t>
      </w:r>
    </w:p>
    <w:p w14:paraId="321A6EAA" w14:textId="6E93EE59" w:rsidR="00347D59" w:rsidRPr="00FF0028" w:rsidRDefault="00E94736" w:rsidP="00EB144C">
      <w:pPr>
        <w:pStyle w:val="Textoindependiente"/>
        <w:spacing w:line="360" w:lineRule="auto"/>
        <w:ind w:left="0" w:firstLine="707"/>
        <w:jc w:val="left"/>
        <w:rPr>
          <w:spacing w:val="-2"/>
        </w:rPr>
      </w:pPr>
      <w:r>
        <w:rP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rPr/>
        <w:t>En Inglaterra, el punto de quiebre fue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A mediados de los noventa la reforma se había completado y los vallados perimetrales ya no existían, y sobre esa base se aplicaron las football banning orders de la Football Spectators Act de 1989, que impiden el ingreso al estadio de quienes están vinculados a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rP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nuestro juicio,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rPr/>
        <w:t>La jurisprudencia apunta en la misma dirección: según la Sentencia C-065 de 2021, las barras no pueden quedar por fuera del diálogo entre entidades, aunque tampoco pueden ocupar el lugar de las autoridades. En lo penal, la Sala de Casación Penal pide prueba concreta del hecho y un autor identificado, y no acepta que el incidente colectivo reemplace la conducta individual (Corte Suprema de Justicia, Sala de Casación Penal, 2022). En lo civil, quien tiene boleta demanda por contrato con base en el deber de seguridad, y el tercero demanda por fuera del contrato con apoyo en la actividad peligrosa; para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left"/>
      </w:pPr>
      <w:r>
        <w:rPr/>
        <w:t>Lo que muestran los otros países aterriza el diagnóstico. En nuestra opinión, lo decisivo en los tres fue poner a todos los actores bajo una misma dirección institucional, más que la tecnología o una ley aislada. En Inglaterra, Hillsborough obligó a coordinar a actores que antes andaban cada uno por su lado, y Dunning (1999) sostiene que el cambio cultural en las gradas, que volvió la violencia algo mal visto socialmente, pesó tanto como la reforma física de los estadios, porque atacó la causa y no solo el síntoma. Argentina y Uruguay, en cambio, no esperaron una tragedia semejante: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y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left"/>
      </w:pPr>
      <w:r>
        <w:rP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Es cierto que una asociación no prueba causalidad,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rP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Planteamos,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rP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nuestro juicio,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rPr/>
        <w:t>Presentamos seis conclusiones, y en cada una distinguimos lo que el trabajo demostró con las fuentes, los casos y la jurisprudencia, la manera como lo interpretamos jurídicamente y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left"/>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rPr/>
        <w:t>La violencia en el fútbol colombiano tiene causas que no son deportivas. Clavijo (2004) encontró que las barras acogen a jóvenes que no hallan reconocimiento en otros espacios, y Pécaut (2001) vincula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left"/>
      </w:pPr>
      <w:r>
        <w:rPr>
          <w:i/>
        </w:rPr>
        <w:t xml:space="preserve">Nuestra interpretación.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w:t>
      </w:r>
    </w:p>
    <w:p w14:paraId="535F6711" w14:textId="77777777" w:rsidR="005F1D22" w:rsidRDefault="006E6BE4" w:rsidP="00EB144C">
      <w:pPr>
        <w:pStyle w:val="Textoindependiente"/>
        <w:spacing w:line="360" w:lineRule="auto"/>
        <w:ind w:left="0" w:firstLine="707"/>
        <w:jc w:val="left"/>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rPr/>
        <w:t>Colombia cuenta con numerosas normas sobre el tema, entre ellas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w:t>
      </w:r>
    </w:p>
    <w:p w14:paraId="0E01C8B3" w14:textId="77777777" w:rsidR="006E6BE4" w:rsidRDefault="006E6BE4" w:rsidP="00EB144C">
      <w:pPr>
        <w:pStyle w:val="Textoindependiente"/>
        <w:spacing w:line="360" w:lineRule="auto"/>
        <w:ind w:left="0" w:firstLine="707"/>
      </w:pPr>
      <w:r>
        <w:rPr>
          <w:i/>
        </w:rPr>
        <w:t xml:space="preserve">Nuestra interpretación. </w:t>
      </w:r>
      <w:r>
        <w:rPr/>
        <w:t>El problema no parece ser la falta de normas, sino su aplicación sostenida, lectura que coincide con lo que plantea Pécaut (2001) sobre la debilidad institucional como causa de fondo de la violencia en Colombia.</w:t>
      </w:r>
    </w:p>
    <w:p w14:paraId="0E01C8B3" w14:textId="77777777" w:rsidR="006E6BE4" w:rsidRDefault="006E6BE4" w:rsidP="00EB144C">
      <w:pPr>
        <w:pStyle w:val="Textoindependiente"/>
        <w:spacing w:line="360" w:lineRule="auto"/>
        <w:ind w:left="0" w:firstLine="707"/>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14:paraId="757D467A" w14:textId="77777777" w:rsidR="006E6BE4" w:rsidRDefault="006E6BE4" w:rsidP="00EB144C">
      <w:pPr>
        <w:pStyle w:val="Textoindependiente"/>
        <w:spacing w:line="360" w:lineRule="auto"/>
        <w:ind w:left="0" w:firstLine="707"/>
        <w:jc w:val="left"/>
      </w:pPr>
      <w:r>
        <w:rPr>
          <w:i/>
        </w:rPr>
        <w:t xml:space="preserve">Nuestra interpretación. </w:t>
      </w:r>
      <w:r>
        <w:rPr/>
        <w:t>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14:paraId="757D467A" w14:textId="77777777" w:rsidR="006E6BE4" w:rsidRDefault="006E6BE4" w:rsidP="00EB144C">
      <w:pPr>
        <w:pStyle w:val="Textoindependiente"/>
        <w:spacing w:line="360" w:lineRule="auto"/>
        <w:ind w:left="0" w:firstLine="707"/>
        <w:jc w:val="left"/>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rPr/>
        <w:t>Los países comparados muestran resultados verificables, resumidos en la Tabla 3: en Uruguay bajaron las detenciones después de instalar el reconocimiento facial, y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pPr>
      <w:r>
        <w:rPr>
          <w:i/>
        </w:rPr>
        <w:t xml:space="preserve">Nuestra interpretación. </w:t>
      </w:r>
      <w:r>
        <w:rPr/>
        <w:t>Con estos datos no se puede separar el efecto de la identificación del de otros factores, aunque es la medida cuyos resultados se ven más directamente. Lo que pasó con la carnetización sugiere que en Colombia los problemas han sido más de instituciones que de tecnología; que también sean políticos es una hipótesis que planteamos sin haberla demostrado.</w:t>
      </w:r>
    </w:p>
    <w:p w14:paraId="6205B326" w14:textId="77777777" w:rsidR="006E6BE4" w:rsidRDefault="006E6BE4" w:rsidP="00EB144C">
      <w:pPr>
        <w:pStyle w:val="Textoindependiente"/>
        <w:spacing w:line="360" w:lineRule="auto"/>
        <w:ind w:left="0" w:firstLine="382"/>
      </w:pPr>
      <w:r>
        <w:rPr>
          <w:i/>
        </w:rPr>
        <w:t xml:space="preserve">Propuesta. </w:t>
      </w:r>
      <w:r>
        <w:rPr/>
        <w:t>Proponemos 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rPr/>
        <w:t>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14:paraId="0FB6AA53" w14:textId="77777777" w:rsidR="008F59D7" w:rsidRDefault="006E6BE4" w:rsidP="00EB144C">
      <w:pPr>
        <w:pStyle w:val="Textoindependiente"/>
        <w:spacing w:line="360" w:lineRule="auto"/>
        <w:ind w:left="0" w:firstLine="382"/>
        <w:jc w:val="left"/>
      </w:pPr>
      <w:r>
        <w:rPr>
          <w:i/>
        </w:rPr>
        <w:t xml:space="preserve">Nuestra interpretación. </w:t>
      </w:r>
      <w:r>
        <w:rPr/>
        <w:t>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14:paraId="0FB6AA53" w14:textId="77777777" w:rsidR="008F59D7" w:rsidRDefault="006E6BE4" w:rsidP="00EB144C">
      <w:pPr>
        <w:pStyle w:val="Textoindependiente"/>
        <w:spacing w:line="360" w:lineRule="auto"/>
        <w:ind w:left="0" w:firstLine="382"/>
        <w:jc w:val="left"/>
      </w:pPr>
      <w:r>
        <w:rPr>
          <w:i/>
        </w:rPr>
        <w:t xml:space="preserve">Propuesta. </w:t>
      </w:r>
      <w:r>
        <w:rPr/>
        <w:t>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rPr/>
        <w:t>En Inglaterra la violencia bajó cuando coincidieron la transformación de los estadios después del Informe Taylor (1990), el régimen de prohibiciones de ingreso de la Football Spectators Act (Reino Unido, 1989) y, según Dunning (1999), un cambio en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left"/>
      </w:pPr>
      <w:r>
        <w:rPr>
          <w:i/>
        </w:rPr>
        <w:t xml:space="preserve">Nuestra interpretación. </w:t>
      </w:r>
      <w:r>
        <w:rPr/>
        <w:t>Coincidimos con Dunning en que el cambio cultural pesó tanto como las normas y la tecnología, aunque con las fuentes revisadas no es posible medir cuánto pesó cada factor.</w:t>
      </w:r>
    </w:p>
    <w:p w14:paraId="0F7D48E6" w14:textId="394FEAE9" w:rsidR="00FF0028" w:rsidRDefault="00000000" w:rsidP="00EB144C">
      <w:pPr>
        <w:pStyle w:val="Textoindependiente"/>
        <w:spacing w:line="360" w:lineRule="auto"/>
        <w:ind w:left="0" w:firstLine="382"/>
        <w:jc w:val="left"/>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También hace falta que jugadores, técnicos y directivos asuman públicamente un papel activo, porque en Colombia el fútbol mueve una cultura enorme, y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