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100" w:line="300"/>
        <w:jc w:val="center"/>
      </w:pPr>
      <w:r>
        <w:rPr>
          <w:rFonts w:ascii="Times New Roman" w:cs="Times New Roman" w:eastAsia="Times New Roman" w:hAnsi="Times New Roman"/>
          <w:b/>
          <w:bCs/>
          <w:i w:val="false"/>
          <w:iCs w:val="false"/>
          <w:color w:val="1F3864"/>
          <w:sz w:val="34"/>
          <w:szCs w:val="34"/>
        </w:rPr>
        <w:t xml:space="preserve">CÓMO SE CUMPLIÓ CADA PUNTO</w:t>
      </w:r>
    </w:p>
    <w:p>
      <w:pPr>
        <w:spacing w:after="320" w:line="300"/>
        <w:jc w:val="center"/>
      </w:pPr>
      <w:r>
        <w:rPr>
          <w:rFonts w:ascii="Times New Roman" w:cs="Times New Roman" w:eastAsia="Times New Roman" w:hAnsi="Times New Roman"/>
          <w:b/>
          <w:bCs/>
          <w:i w:val="false"/>
          <w:iCs w:val="false"/>
          <w:color w:val="000000"/>
          <w:sz w:val="26"/>
          <w:szCs w:val="26"/>
        </w:rPr>
        <w:t xml:space="preserve">Lo que solicitó la dirección del proyecto y los pasos seguidos en cada tarea</w:t>
      </w:r>
    </w:p>
    <w:p>
      <w:pPr>
        <w:spacing w:after="300" w:line="300"/>
        <w:jc w:val="center"/>
      </w:pPr>
      <w:r>
        <w:rPr>
          <w:rFonts w:ascii="Times New Roman" w:cs="Times New Roman" w:eastAsia="Times New Roman" w:hAnsi="Times New Roman"/>
          <w:b w:val="false"/>
          <w:bCs w:val="false"/>
          <w:i/>
          <w:iCs/>
          <w:color w:val="000000"/>
          <w:sz w:val="22"/>
          <w:szCs w:val="22"/>
        </w:rPr>
        <w:t xml:space="preserve">Uso del índice Blue/Red para la caracterización espacio temporal del fitoplancton en la Bahía de Cartagena y su relación con variables ambientales y climáticas</w:t>
      </w:r>
    </w:p>
    <w:p>
      <w:pPr>
        <w:spacing w:after="60" w:line="300"/>
        <w:jc w:val="center"/>
      </w:pPr>
      <w:r>
        <w:rPr>
          <w:rFonts w:ascii="Times New Roman" w:cs="Times New Roman" w:eastAsia="Times New Roman" w:hAnsi="Times New Roman"/>
          <w:b/>
          <w:bCs/>
          <w:i w:val="false"/>
          <w:iCs w:val="false"/>
          <w:color w:val="000000"/>
          <w:sz w:val="24"/>
          <w:szCs w:val="24"/>
        </w:rPr>
        <w:t xml:space="preserve">Omar Enrique Gamboa Posada</w:t>
      </w:r>
    </w:p>
    <w:p>
      <w:pPr>
        <w:spacing w:after="60" w:line="300"/>
        <w:jc w:val="center"/>
      </w:pPr>
      <w:r>
        <w:rPr>
          <w:rFonts w:ascii="Times New Roman" w:cs="Times New Roman" w:eastAsia="Times New Roman" w:hAnsi="Times New Roman"/>
          <w:b w:val="false"/>
          <w:bCs w:val="false"/>
          <w:i w:val="false"/>
          <w:iCs w:val="false"/>
          <w:color w:val="000000"/>
          <w:sz w:val="22"/>
          <w:szCs w:val="22"/>
        </w:rPr>
        <w:t xml:space="preserve">Maestría en Oceanografía. Escuela Naval de Cadetes Almirante Padilla</w:t>
      </w:r>
    </w:p>
    <w:p>
      <w:pPr>
        <w:spacing w:after="320" w:line="300"/>
        <w:jc w:val="center"/>
      </w:pPr>
      <w:r>
        <w:rPr>
          <w:rFonts w:ascii="Times New Roman" w:cs="Times New Roman" w:eastAsia="Times New Roman" w:hAnsi="Times New Roman"/>
          <w:b w:val="false"/>
          <w:bCs w:val="false"/>
          <w:i w:val="false"/>
          <w:iCs w:val="false"/>
          <w:color w:val="000000"/>
          <w:sz w:val="22"/>
          <w:szCs w:val="22"/>
        </w:rPr>
        <w:t xml:space="preserve">Agosto de 2026</w:t>
      </w:r>
    </w:p>
    <w:p>
      <w:pPr>
        <w:pBdr>
          <w:top w:val="single" w:color="1F3864" w:sz="6"/>
        </w:pBdr>
        <w:spacing w:after="200"/>
      </w:pPr>
    </w:p>
    <w:p>
      <w:pPr>
        <w:spacing w:after="140" w:line="300"/>
        <w:jc w:val="center"/>
      </w:pPr>
      <w:r>
        <w:rPr>
          <w:rFonts w:ascii="Times New Roman" w:cs="Times New Roman" w:eastAsia="Times New Roman" w:hAnsi="Times New Roman"/>
          <w:b w:val="false"/>
          <w:bCs w:val="false"/>
          <w:i/>
          <w:iCs/>
          <w:color w:val="000000"/>
          <w:sz w:val="21"/>
          <w:szCs w:val="21"/>
        </w:rPr>
        <w:t xml:space="preserve">Este documento recorre las ocho tareas señaladas sobre el apartado de tratamiento estadístico del anteproyecto. Cada una se presenta con lo que se pidió, el procedimiento seguido paso a paso y el resultado obtenido.</w:t>
      </w:r>
    </w:p>
    <w:p>
      <w:pPr>
        <w:pageBreakBefore/>
      </w:pPr>
    </w:p>
    <w:p>
      <w:pPr>
        <w:pBdr>
          <w:bottom w:val="single" w:color="1F3864" w:sz="6"/>
        </w:pBdr>
        <w:spacing w:after="60" w:before="360"/>
      </w:pPr>
      <w:r>
        <w:rPr>
          <w:rFonts w:ascii="Times New Roman" w:cs="Times New Roman" w:eastAsia="Times New Roman" w:hAnsi="Times New Roman"/>
          <w:b/>
          <w:bCs/>
          <w:color w:val="1F3864"/>
          <w:sz w:val="28"/>
          <w:szCs w:val="28"/>
        </w:rPr>
        <w:t xml:space="preserve">Estado general</w:t>
      </w:r>
    </w:p>
    <w:tbl>
      <w:tblPr>
        <w:tblW w:type="dxa" w:w="9100"/>
        <w:tblBorders>
          <w:top w:val="single" w:color="999999" w:sz="4"/>
          <w:left w:val="single" w:color="999999" w:sz="4"/>
          <w:bottom w:val="single" w:color="999999" w:sz="4"/>
          <w:right w:val="single" w:color="999999" w:sz="4"/>
          <w:insideH w:val="single" w:color="CCCCCC" w:sz="2"/>
          <w:insideV w:val="single" w:color="CCCCCC" w:sz="2"/>
        </w:tblBorders>
      </w:tblPr>
      <w:tblGrid>
        <w:gridCol w:w="700"/>
        <w:gridCol w:w="4600"/>
        <w:gridCol w:w="3800"/>
      </w:tblGrid>
      <w:tr>
        <w:tc>
          <w:tcPr>
            <w:tcW w:type="dxa" w:w="700"/>
            <w:shd w:fill="1F3864" w:color="auto" w:val="clear"/>
            <w:tcMar>
              <w:top w:type="dxa" w:w="70"/>
              <w:left w:type="dxa" w:w="100"/>
              <w:bottom w:type="dxa" w:w="70"/>
              <w:right w:type="dxa" w:w="100"/>
            </w:tcMar>
          </w:tcPr>
          <w:p>
            <w:pPr>
              <w:spacing w:after="0" w:line="260"/>
            </w:pPr>
            <w:r>
              <w:rPr>
                <w:rFonts w:ascii="Times New Roman" w:cs="Times New Roman" w:eastAsia="Times New Roman" w:hAnsi="Times New Roman"/>
                <w:b/>
                <w:bCs/>
                <w:color w:val="FFFFFF"/>
                <w:sz w:val="21"/>
                <w:szCs w:val="21"/>
              </w:rPr>
              <w:t xml:space="preserve">Nº</w:t>
            </w:r>
          </w:p>
        </w:tc>
        <w:tc>
          <w:tcPr>
            <w:tcW w:type="dxa" w:w="4600"/>
            <w:shd w:fill="1F3864" w:color="auto" w:val="clear"/>
            <w:tcMar>
              <w:top w:type="dxa" w:w="70"/>
              <w:left w:type="dxa" w:w="100"/>
              <w:bottom w:type="dxa" w:w="70"/>
              <w:right w:type="dxa" w:w="100"/>
            </w:tcMar>
          </w:tcPr>
          <w:p>
            <w:pPr>
              <w:spacing w:after="0" w:line="260"/>
            </w:pPr>
            <w:r>
              <w:rPr>
                <w:rFonts w:ascii="Times New Roman" w:cs="Times New Roman" w:eastAsia="Times New Roman" w:hAnsi="Times New Roman"/>
                <w:b/>
                <w:bCs/>
                <w:color w:val="FFFFFF"/>
                <w:sz w:val="21"/>
                <w:szCs w:val="21"/>
              </w:rPr>
              <w:t xml:space="preserve">Tarea</w:t>
            </w:r>
          </w:p>
        </w:tc>
        <w:tc>
          <w:tcPr>
            <w:tcW w:type="dxa" w:w="3800"/>
            <w:shd w:fill="1F3864" w:color="auto" w:val="clear"/>
            <w:tcMar>
              <w:top w:type="dxa" w:w="70"/>
              <w:left w:type="dxa" w:w="100"/>
              <w:bottom w:type="dxa" w:w="70"/>
              <w:right w:type="dxa" w:w="100"/>
            </w:tcMar>
          </w:tcPr>
          <w:p>
            <w:pPr>
              <w:spacing w:after="0" w:line="260"/>
            </w:pPr>
            <w:r>
              <w:rPr>
                <w:rFonts w:ascii="Times New Roman" w:cs="Times New Roman" w:eastAsia="Times New Roman" w:hAnsi="Times New Roman"/>
                <w:b/>
                <w:bCs/>
                <w:color w:val="FFFFFF"/>
                <w:sz w:val="21"/>
                <w:szCs w:val="21"/>
              </w:rPr>
              <w:t xml:space="preserve">Estado</w:t>
            </w:r>
          </w:p>
        </w:tc>
      </w:tr>
      <w:tr>
        <w:tc>
          <w:tcPr>
            <w:tcW w:type="dxa" w:w="7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1</w:t>
            </w:r>
          </w:p>
        </w:tc>
        <w:tc>
          <w:tcPr>
            <w:tcW w:type="dxa" w:w="46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Organizar y depurar la base de datos</w:t>
            </w:r>
          </w:p>
        </w:tc>
        <w:tc>
          <w:tcPr>
            <w:tcW w:type="dxa" w:w="38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Cumplida</w:t>
            </w:r>
          </w:p>
        </w:tc>
      </w:tr>
      <w:tr>
        <w:tc>
          <w:tcPr>
            <w:tcW w:type="dxa" w:w="7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2</w:t>
            </w:r>
          </w:p>
        </w:tc>
        <w:tc>
          <w:tcPr>
            <w:tcW w:type="dxa" w:w="46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Calcular y verificar el índice Blue/Red</w:t>
            </w:r>
          </w:p>
        </w:tc>
        <w:tc>
          <w:tcPr>
            <w:tcW w:type="dxa" w:w="38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Cumplida</w:t>
            </w:r>
          </w:p>
        </w:tc>
      </w:tr>
      <w:tr>
        <w:tc>
          <w:tcPr>
            <w:tcW w:type="dxa" w:w="7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3</w:t>
            </w:r>
          </w:p>
        </w:tc>
        <w:tc>
          <w:tcPr>
            <w:tcW w:type="dxa" w:w="46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Análisis exploratorio de datos</w:t>
            </w:r>
          </w:p>
        </w:tc>
        <w:tc>
          <w:tcPr>
            <w:tcW w:type="dxa" w:w="38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Cumplida</w:t>
            </w:r>
          </w:p>
        </w:tc>
      </w:tr>
      <w:tr>
        <w:tc>
          <w:tcPr>
            <w:tcW w:type="dxa" w:w="7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4</w:t>
            </w:r>
          </w:p>
        </w:tc>
        <w:tc>
          <w:tcPr>
            <w:tcW w:type="dxa" w:w="46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Análisis estadístico bivariado</w:t>
            </w:r>
          </w:p>
        </w:tc>
        <w:tc>
          <w:tcPr>
            <w:tcW w:type="dxa" w:w="38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Cumplida</w:t>
            </w:r>
          </w:p>
        </w:tc>
      </w:tr>
      <w:tr>
        <w:tc>
          <w:tcPr>
            <w:tcW w:type="dxa" w:w="7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5</w:t>
            </w:r>
          </w:p>
        </w:tc>
        <w:tc>
          <w:tcPr>
            <w:tcW w:type="dxa" w:w="46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Análisis multivariado</w:t>
            </w:r>
          </w:p>
        </w:tc>
        <w:tc>
          <w:tcPr>
            <w:tcW w:type="dxa" w:w="38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Cumplida</w:t>
            </w:r>
          </w:p>
        </w:tc>
      </w:tr>
      <w:tr>
        <w:tc>
          <w:tcPr>
            <w:tcW w:type="dxa" w:w="7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6</w:t>
            </w:r>
          </w:p>
        </w:tc>
        <w:tc>
          <w:tcPr>
            <w:tcW w:type="dxa" w:w="46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Pruebas de hipótesis</w:t>
            </w:r>
          </w:p>
        </w:tc>
        <w:tc>
          <w:tcPr>
            <w:tcW w:type="dxa" w:w="38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Cumplida, con el diseño corregido</w:t>
            </w:r>
          </w:p>
        </w:tc>
      </w:tr>
      <w:tr>
        <w:tc>
          <w:tcPr>
            <w:tcW w:type="dxa" w:w="7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7</w:t>
            </w:r>
          </w:p>
        </w:tc>
        <w:tc>
          <w:tcPr>
            <w:tcW w:type="dxa" w:w="46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Modelo descriptivo y validación</w:t>
            </w:r>
          </w:p>
        </w:tc>
        <w:tc>
          <w:tcPr>
            <w:tcW w:type="dxa" w:w="38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Ajustada. La partición no se ejecutó, con justificación</w:t>
            </w:r>
          </w:p>
        </w:tc>
      </w:tr>
      <w:tr>
        <w:tc>
          <w:tcPr>
            <w:tcW w:type="dxa" w:w="7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8</w:t>
            </w:r>
          </w:p>
        </w:tc>
        <w:tc>
          <w:tcPr>
            <w:tcW w:type="dxa" w:w="46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Anomalías estandarizadas de temperatura</w:t>
            </w:r>
          </w:p>
        </w:tc>
        <w:tc>
          <w:tcPr>
            <w:tcW w:type="dxa" w:w="38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Cumplida</w:t>
            </w:r>
          </w:p>
        </w:tc>
      </w:tr>
    </w:tbl>
    <w:p>
      <w:pPr>
        <w:pBdr>
          <w:bottom w:val="single" w:color="1F3864" w:sz="6"/>
        </w:pBdr>
        <w:spacing w:after="60" w:before="360"/>
      </w:pPr>
      <w:r>
        <w:rPr>
          <w:rFonts w:ascii="Times New Roman" w:cs="Times New Roman" w:eastAsia="Times New Roman" w:hAnsi="Times New Roman"/>
          <w:b/>
          <w:bCs/>
          <w:color w:val="1F3864"/>
          <w:sz w:val="28"/>
          <w:szCs w:val="28"/>
        </w:rPr>
        <w:t xml:space="preserve">1. Organizar y depurar la base de datos</w:t>
      </w:r>
    </w:p>
    <w:p>
      <w:pPr>
        <w:spacing w:after="130" w:line="300"/>
        <w:jc w:val="both"/>
      </w:pPr>
      <w:r>
        <w:rPr>
          <w:rFonts w:ascii="Times New Roman" w:cs="Times New Roman" w:eastAsia="Times New Roman" w:hAnsi="Times New Roman"/>
          <w:b/>
          <w:bCs/>
          <w:color w:val="1F3864"/>
          <w:sz w:val="24"/>
          <w:szCs w:val="24"/>
        </w:rPr>
        <w:t xml:space="preserve">Se pidió:  </w:t>
      </w:r>
      <w:r>
        <w:rPr>
          <w:rFonts w:ascii="Times New Roman" w:cs="Times New Roman" w:eastAsia="Times New Roman" w:hAnsi="Times New Roman"/>
          <w:sz w:val="24"/>
          <w:szCs w:val="24"/>
        </w:rPr>
        <w:t xml:space="preserve">organizar las bases de datos in situ del monitoreo y dejarlas listas para el análisis.</w:t>
      </w:r>
    </w:p>
    <w:p>
      <w:pPr>
        <w:spacing w:after="130" w:line="300"/>
        <w:jc w:val="both"/>
      </w:pPr>
      <w:r>
        <w:rPr>
          <w:rFonts w:ascii="Times New Roman" w:cs="Times New Roman" w:eastAsia="Times New Roman" w:hAnsi="Times New Roman"/>
          <w:b/>
          <w:bCs/>
          <w:color w:val="1F3864"/>
          <w:sz w:val="24"/>
          <w:szCs w:val="24"/>
        </w:rPr>
        <w:t xml:space="preserve">Procedimiento:  </w:t>
      </w:r>
      <w:r>
        <w:rPr>
          <w:rFonts w:ascii="Times New Roman" w:cs="Times New Roman" w:eastAsia="Times New Roman" w:hAnsi="Times New Roman"/>
          <w:sz w:val="24"/>
          <w:szCs w:val="24"/>
        </w:rPr>
        <w:t xml:space="preserve">tomé el compendio, que traía las cinco campañas repartidas en bloques dentro de dos hojas, y las uní en una sola tabla de 131 estaciones, con una fila por estación y columnas de época, año, código, temperatura, salinidad, turbidez e índice. Normalicé los códigos de estación para que todos tuvieran el mismo formato. Después revisé la integridad registro por registro: busqué celdas con error de cálculo, valores fuera de rango físico y ceros que en realidad eran datos ausentes.</w:t>
      </w:r>
    </w:p>
    <w:p>
      <w:pPr>
        <w:spacing w:after="130" w:line="300"/>
        <w:jc w:val="both"/>
      </w:pPr>
      <w:r>
        <w:rPr>
          <w:rFonts w:ascii="Times New Roman" w:cs="Times New Roman" w:eastAsia="Times New Roman" w:hAnsi="Times New Roman"/>
          <w:b/>
          <w:bCs/>
          <w:color w:val="1F3864"/>
          <w:sz w:val="24"/>
          <w:szCs w:val="24"/>
        </w:rPr>
        <w:t xml:space="preserve">Resultado:  </w:t>
      </w:r>
      <w:r>
        <w:rPr>
          <w:rFonts w:ascii="Times New Roman" w:cs="Times New Roman" w:eastAsia="Times New Roman" w:hAnsi="Times New Roman"/>
          <w:sz w:val="24"/>
          <w:szCs w:val="24"/>
        </w:rPr>
        <w:t xml:space="preserve">encontré 11 estaciones sin índice por errores de división en la hoja de origen, 8 con valores imposibles, entre ellos uno de 9,52 y otro de 10,20, una temperatura de 38,7 grados que ningún agua superficial de la bahía alcanza, y tres ceros que eran ausencias. La base de trabajo quedó en 112 registros válidos, es decir, se descartó el 14,5 por ciento. Los criterios de exclusión quedaron escritos en una subsección nueva de la metodología.</w:t>
      </w:r>
    </w:p>
    <w:p>
      <w:pPr>
        <w:pBdr>
          <w:bottom w:val="single" w:color="1F3864" w:sz="6"/>
        </w:pBdr>
        <w:spacing w:after="60" w:before="360"/>
      </w:pPr>
      <w:r>
        <w:rPr>
          <w:rFonts w:ascii="Times New Roman" w:cs="Times New Roman" w:eastAsia="Times New Roman" w:hAnsi="Times New Roman"/>
          <w:b/>
          <w:bCs/>
          <w:color w:val="1F3864"/>
          <w:sz w:val="28"/>
          <w:szCs w:val="28"/>
        </w:rPr>
        <w:t xml:space="preserve">2. Calcular y verificar el índice Blue/Red</w:t>
      </w:r>
    </w:p>
    <w:p>
      <w:pPr>
        <w:spacing w:after="130" w:line="300"/>
        <w:jc w:val="both"/>
      </w:pPr>
      <w:r>
        <w:rPr>
          <w:rFonts w:ascii="Times New Roman" w:cs="Times New Roman" w:eastAsia="Times New Roman" w:hAnsi="Times New Roman"/>
          <w:b/>
          <w:bCs/>
          <w:color w:val="1F3864"/>
          <w:sz w:val="24"/>
          <w:szCs w:val="24"/>
        </w:rPr>
        <w:t xml:space="preserve">Se pidió:  </w:t>
      </w:r>
      <w:r>
        <w:rPr>
          <w:rFonts w:ascii="Times New Roman" w:cs="Times New Roman" w:eastAsia="Times New Roman" w:hAnsi="Times New Roman"/>
          <w:sz w:val="24"/>
          <w:szCs w:val="24"/>
        </w:rPr>
        <w:t xml:space="preserve">aplicar el índice sobre los coeficientes de absorción del fitoplancton y clasificar por tamaños según Ciotti y Bricaud.</w:t>
      </w:r>
    </w:p>
    <w:p>
      <w:pPr>
        <w:spacing w:after="130" w:line="300"/>
        <w:jc w:val="both"/>
      </w:pPr>
      <w:r>
        <w:rPr>
          <w:rFonts w:ascii="Times New Roman" w:cs="Times New Roman" w:eastAsia="Times New Roman" w:hAnsi="Times New Roman"/>
          <w:b/>
          <w:bCs/>
          <w:color w:val="1F3864"/>
          <w:sz w:val="24"/>
          <w:szCs w:val="24"/>
        </w:rPr>
        <w:t xml:space="preserve">Procedimiento:  </w:t>
      </w:r>
      <w:r>
        <w:rPr>
          <w:rFonts w:ascii="Times New Roman" w:cs="Times New Roman" w:eastAsia="Times New Roman" w:hAnsi="Times New Roman"/>
          <w:sz w:val="24"/>
          <w:szCs w:val="24"/>
        </w:rPr>
        <w:t xml:space="preserve">en lugar de dar por bueno el índice que traía el compendio, lo recalculé desde el origen. Abrí los cuatro libros de espectros, extraje el valor de la absorción del fitoplancton en cada longitud de onda y realicé el cociente. Comparé mi resultado con la columna del compendio estación por estación. Después probé cinco combinaciones distintas de longitudes de onda y conté cuántas estaciones cambiaban de clase de tamaño con cada una.</w:t>
      </w:r>
    </w:p>
    <w:p>
      <w:pPr>
        <w:spacing w:after="130" w:line="300"/>
        <w:jc w:val="both"/>
      </w:pPr>
      <w:r>
        <w:rPr>
          <w:rFonts w:ascii="Times New Roman" w:cs="Times New Roman" w:eastAsia="Times New Roman" w:hAnsi="Times New Roman"/>
          <w:b/>
          <w:bCs/>
          <w:color w:val="1F3864"/>
          <w:sz w:val="24"/>
          <w:szCs w:val="24"/>
        </w:rPr>
        <w:t xml:space="preserve">Resultado:  </w:t>
      </w:r>
      <w:r>
        <w:rPr>
          <w:rFonts w:ascii="Times New Roman" w:cs="Times New Roman" w:eastAsia="Times New Roman" w:hAnsi="Times New Roman"/>
          <w:sz w:val="24"/>
          <w:szCs w:val="24"/>
        </w:rPr>
        <w:t xml:space="preserve">los valores coinciden de forma exacta, lo que confirma que la base está bien construida. Detecté que las columnas rotuladas como cociente entre 443 y 677 en tres campañas están calculadas en realidad con 676, un error de rótulo que debe corregirse en el archivo. Y comprobé que la elección del par no es un detalle menor: el par que figuraba en mi metodología, 443 y 675, reclasifica 14 de 83 estaciones, casi una de cada seis. Por eso fijé un único par, 440 y 676, y lo justifiqué en el texto.</w:t>
      </w:r>
    </w:p>
    <w:p>
      <w:pPr>
        <w:pBdr>
          <w:bottom w:val="single" w:color="1F3864" w:sz="6"/>
        </w:pBdr>
        <w:spacing w:after="60" w:before="360"/>
      </w:pPr>
      <w:r>
        <w:rPr>
          <w:rFonts w:ascii="Times New Roman" w:cs="Times New Roman" w:eastAsia="Times New Roman" w:hAnsi="Times New Roman"/>
          <w:b/>
          <w:bCs/>
          <w:color w:val="1F3864"/>
          <w:sz w:val="28"/>
          <w:szCs w:val="28"/>
        </w:rPr>
        <w:t xml:space="preserve">3. Análisis exploratorio de datos</w:t>
      </w:r>
    </w:p>
    <w:p>
      <w:pPr>
        <w:spacing w:after="130" w:line="300"/>
        <w:jc w:val="both"/>
      </w:pPr>
      <w:r>
        <w:rPr>
          <w:rFonts w:ascii="Times New Roman" w:cs="Times New Roman" w:eastAsia="Times New Roman" w:hAnsi="Times New Roman"/>
          <w:b/>
          <w:bCs/>
          <w:color w:val="1F3864"/>
          <w:sz w:val="24"/>
          <w:szCs w:val="24"/>
        </w:rPr>
        <w:t xml:space="preserve">Se pidió:  </w:t>
      </w:r>
      <w:r>
        <w:rPr>
          <w:rFonts w:ascii="Times New Roman" w:cs="Times New Roman" w:eastAsia="Times New Roman" w:hAnsi="Times New Roman"/>
          <w:sz w:val="24"/>
          <w:szCs w:val="24"/>
        </w:rPr>
        <w:t xml:space="preserve">histogramas, diagramas de caja y gráficos de dispersión, separados por época climática y por zonas de influencia del Canal del Dique.</w:t>
      </w:r>
    </w:p>
    <w:p>
      <w:pPr>
        <w:spacing w:after="130" w:line="300"/>
        <w:jc w:val="both"/>
      </w:pPr>
      <w:r>
        <w:rPr>
          <w:rFonts w:ascii="Times New Roman" w:cs="Times New Roman" w:eastAsia="Times New Roman" w:hAnsi="Times New Roman"/>
          <w:b/>
          <w:bCs/>
          <w:color w:val="1F3864"/>
          <w:sz w:val="24"/>
          <w:szCs w:val="24"/>
        </w:rPr>
        <w:t xml:space="preserve">Procedimiento:  </w:t>
      </w:r>
      <w:r>
        <w:rPr>
          <w:rFonts w:ascii="Times New Roman" w:cs="Times New Roman" w:eastAsia="Times New Roman" w:hAnsi="Times New Roman"/>
          <w:sz w:val="24"/>
          <w:szCs w:val="24"/>
        </w:rPr>
        <w:t xml:space="preserve">calculé la estadística descriptiva por campaña y construí las tres clases de gráfica solicitadas. Diagramas de caja del índice por campaña con los umbrales de clasificación marcados, gráfico de dispersión del índice contra la salinidad con la turbidez representada en color, e histogramas del índice, la salinidad y el logaritmo de la turbidez, en dos filas, una separando por época climática y otra por zona.</w:t>
      </w:r>
    </w:p>
    <w:p>
      <w:pPr>
        <w:spacing w:after="130" w:line="300"/>
        <w:jc w:val="both"/>
      </w:pPr>
      <w:r>
        <w:rPr>
          <w:rFonts w:ascii="Times New Roman" w:cs="Times New Roman" w:eastAsia="Times New Roman" w:hAnsi="Times New Roman"/>
          <w:b/>
          <w:bCs/>
          <w:color w:val="1F3864"/>
          <w:sz w:val="24"/>
          <w:szCs w:val="24"/>
        </w:rPr>
        <w:t xml:space="preserve">Resultado:  </w:t>
      </w:r>
      <w:r>
        <w:rPr>
          <w:rFonts w:ascii="Times New Roman" w:cs="Times New Roman" w:eastAsia="Times New Roman" w:hAnsi="Times New Roman"/>
          <w:sz w:val="24"/>
          <w:szCs w:val="24"/>
        </w:rPr>
        <w:t xml:space="preserve">la variabilidad entre campañas de una misma época resultó del mismo orden que la variabilidad entre épocas, hecho que condiciona toda la lectura posterior. La turbidez mostró una asimetría de 4,52, que baja a menos 0,51 al transformarla a logaritmo, y por eso se usa transformada en los análisis multivariados. Además, 66 de las 112 estaciones quedan por debajo del umbral del microfitoplancton.</w:t>
      </w:r>
    </w:p>
    <w:p>
      <w:pPr>
        <w:pBdr>
          <w:bottom w:val="single" w:color="1F3864" w:sz="6"/>
        </w:pBdr>
        <w:spacing w:after="60" w:before="360"/>
      </w:pPr>
      <w:r>
        <w:rPr>
          <w:rFonts w:ascii="Times New Roman" w:cs="Times New Roman" w:eastAsia="Times New Roman" w:hAnsi="Times New Roman"/>
          <w:b/>
          <w:bCs/>
          <w:color w:val="1F3864"/>
          <w:sz w:val="28"/>
          <w:szCs w:val="28"/>
        </w:rPr>
        <w:t xml:space="preserve">4. Análisis estadístico bivariado</w:t>
      </w:r>
    </w:p>
    <w:p>
      <w:pPr>
        <w:spacing w:after="130" w:line="300"/>
        <w:jc w:val="both"/>
      </w:pPr>
      <w:r>
        <w:rPr>
          <w:rFonts w:ascii="Times New Roman" w:cs="Times New Roman" w:eastAsia="Times New Roman" w:hAnsi="Times New Roman"/>
          <w:b/>
          <w:bCs/>
          <w:color w:val="1F3864"/>
          <w:sz w:val="24"/>
          <w:szCs w:val="24"/>
        </w:rPr>
        <w:t xml:space="preserve">Se pidió:  </w:t>
      </w:r>
      <w:r>
        <w:rPr>
          <w:rFonts w:ascii="Times New Roman" w:cs="Times New Roman" w:eastAsia="Times New Roman" w:hAnsi="Times New Roman"/>
          <w:sz w:val="24"/>
          <w:szCs w:val="24"/>
        </w:rPr>
        <w:t xml:space="preserve">coeficientes de correlación de Pearson o de Spearman, según el cumplimiento del supuesto de normalidad.</w:t>
      </w:r>
    </w:p>
    <w:p>
      <w:pPr>
        <w:spacing w:after="130" w:line="300"/>
        <w:jc w:val="both"/>
      </w:pPr>
      <w:r>
        <w:rPr>
          <w:rFonts w:ascii="Times New Roman" w:cs="Times New Roman" w:eastAsia="Times New Roman" w:hAnsi="Times New Roman"/>
          <w:b/>
          <w:bCs/>
          <w:color w:val="1F3864"/>
          <w:sz w:val="24"/>
          <w:szCs w:val="24"/>
        </w:rPr>
        <w:t xml:space="preserve">Procedimiento:  </w:t>
      </w:r>
      <w:r>
        <w:rPr>
          <w:rFonts w:ascii="Times New Roman" w:cs="Times New Roman" w:eastAsia="Times New Roman" w:hAnsi="Times New Roman"/>
          <w:sz w:val="24"/>
          <w:szCs w:val="24"/>
        </w:rPr>
        <w:t xml:space="preserve">lo primero fue resolver la elección que quedaba abierta. Apliqué la prueba de Shapiro Wilk a las cuatro variables y la prueba de Levene para la homogeneidad de varianzas entre épocas. Con ese resultado quedó decidido el uso de pruebas no paramétricas. Después calculé las correlaciones de Spearman sobre el conjunto completo y, por separado, dentro de cada época climática.</w:t>
      </w:r>
    </w:p>
    <w:p>
      <w:pPr>
        <w:spacing w:after="130" w:line="300"/>
        <w:jc w:val="both"/>
      </w:pPr>
      <w:r>
        <w:rPr>
          <w:rFonts w:ascii="Times New Roman" w:cs="Times New Roman" w:eastAsia="Times New Roman" w:hAnsi="Times New Roman"/>
          <w:b/>
          <w:bCs/>
          <w:color w:val="1F3864"/>
          <w:sz w:val="24"/>
          <w:szCs w:val="24"/>
        </w:rPr>
        <w:t xml:space="preserve">Resultado:  </w:t>
      </w:r>
      <w:r>
        <w:rPr>
          <w:rFonts w:ascii="Times New Roman" w:cs="Times New Roman" w:eastAsia="Times New Roman" w:hAnsi="Times New Roman"/>
          <w:sz w:val="24"/>
          <w:szCs w:val="24"/>
        </w:rPr>
        <w:t xml:space="preserve">la temperatura es compatible con la normalidad, con probabilidad de 0,298, pero la salinidad, la turbidez y el índice no lo son. El índice desciende cuando sube la temperatura, con rho de menos 0,273 y probabilidad de 0,004, y asciende con la salinidad, con rho de 0,240. Con la turbidez no hay relación significativa. El hallazgo más fino es que la relación con la salinidad desaparece dentro de la época seca y se convierte en la más fuerte del conjunto en la época lluviosa, con rho de 0,463: el gradiente de agua dulce actúa sobre la estructura de tamaños sobre todo cuando el canal descarga con mayor intensidad.</w:t>
      </w:r>
    </w:p>
    <w:p>
      <w:pPr>
        <w:pBdr>
          <w:bottom w:val="single" w:color="1F3864" w:sz="6"/>
        </w:pBdr>
        <w:spacing w:after="60" w:before="360"/>
      </w:pPr>
      <w:r>
        <w:rPr>
          <w:rFonts w:ascii="Times New Roman" w:cs="Times New Roman" w:eastAsia="Times New Roman" w:hAnsi="Times New Roman"/>
          <w:b/>
          <w:bCs/>
          <w:color w:val="1F3864"/>
          <w:sz w:val="28"/>
          <w:szCs w:val="28"/>
        </w:rPr>
        <w:t xml:space="preserve">5. Análisis multivariado</w:t>
      </w:r>
    </w:p>
    <w:p>
      <w:pPr>
        <w:spacing w:after="130" w:line="300"/>
        <w:jc w:val="both"/>
      </w:pPr>
      <w:r>
        <w:rPr>
          <w:rFonts w:ascii="Times New Roman" w:cs="Times New Roman" w:eastAsia="Times New Roman" w:hAnsi="Times New Roman"/>
          <w:b/>
          <w:bCs/>
          <w:color w:val="1F3864"/>
          <w:sz w:val="24"/>
          <w:szCs w:val="24"/>
        </w:rPr>
        <w:t xml:space="preserve">Se pidió:  </w:t>
      </w:r>
      <w:r>
        <w:rPr>
          <w:rFonts w:ascii="Times New Roman" w:cs="Times New Roman" w:eastAsia="Times New Roman" w:hAnsi="Times New Roman"/>
          <w:sz w:val="24"/>
          <w:szCs w:val="24"/>
        </w:rPr>
        <w:t xml:space="preserve">análisis de componentes principales y análisis de conglomerados sobre las estaciones de muestreo.</w:t>
      </w:r>
    </w:p>
    <w:p>
      <w:pPr>
        <w:spacing w:after="130" w:line="300"/>
        <w:jc w:val="both"/>
      </w:pPr>
      <w:r>
        <w:rPr>
          <w:rFonts w:ascii="Times New Roman" w:cs="Times New Roman" w:eastAsia="Times New Roman" w:hAnsi="Times New Roman"/>
          <w:b/>
          <w:bCs/>
          <w:color w:val="1F3864"/>
          <w:sz w:val="24"/>
          <w:szCs w:val="24"/>
        </w:rPr>
        <w:t xml:space="preserve">Procedimiento:  </w:t>
      </w:r>
      <w:r>
        <w:rPr>
          <w:rFonts w:ascii="Times New Roman" w:cs="Times New Roman" w:eastAsia="Times New Roman" w:hAnsi="Times New Roman"/>
          <w:sz w:val="24"/>
          <w:szCs w:val="24"/>
        </w:rPr>
        <w:t xml:space="preserve">estandaricé las cuatro variables, con la turbidez en logaritmo decimal, y apliqué componentes principales sobre las 109 estaciones con información completa. Después agrupé las estaciones con el método de Ward y calculé la correlación cofenética para verificar que el dendrograma representara bien las distancias originales.</w:t>
      </w:r>
    </w:p>
    <w:p>
      <w:pPr>
        <w:spacing w:after="130" w:line="300"/>
        <w:jc w:val="both"/>
      </w:pPr>
      <w:r>
        <w:rPr>
          <w:rFonts w:ascii="Times New Roman" w:cs="Times New Roman" w:eastAsia="Times New Roman" w:hAnsi="Times New Roman"/>
          <w:b/>
          <w:bCs/>
          <w:color w:val="1F3864"/>
          <w:sz w:val="24"/>
          <w:szCs w:val="24"/>
        </w:rPr>
        <w:t xml:space="preserve">Resultado:  </w:t>
      </w:r>
      <w:r>
        <w:rPr>
          <w:rFonts w:ascii="Times New Roman" w:cs="Times New Roman" w:eastAsia="Times New Roman" w:hAnsi="Times New Roman"/>
          <w:sz w:val="24"/>
          <w:szCs w:val="24"/>
        </w:rPr>
        <w:t xml:space="preserve">los dos primeros componentes reúnen el 69,4 por ciento de la varianza. El primero es un eje estuarino que opone la salinidad a la temperatura y la turbidez, y en el que el índice casi no participa. El segundo sí ordena el índice, en oposición a la turbidez. Los conglomerados separan tres ambientes: aguas marinas poco alteradas, pluma activa del canal y bahía interior. Este último grupo, el más numeroso con 52 estaciones, concentra el predominio del microfitoplancton con 44 de ellas. Ninguno de los tres grupos es exclusivo de una época climática.</w:t>
      </w:r>
    </w:p>
    <w:p>
      <w:pPr>
        <w:pBdr>
          <w:bottom w:val="single" w:color="1F3864" w:sz="6"/>
        </w:pBdr>
        <w:spacing w:after="60" w:before="360"/>
      </w:pPr>
      <w:r>
        <w:rPr>
          <w:rFonts w:ascii="Times New Roman" w:cs="Times New Roman" w:eastAsia="Times New Roman" w:hAnsi="Times New Roman"/>
          <w:b/>
          <w:bCs/>
          <w:color w:val="1F3864"/>
          <w:sz w:val="28"/>
          <w:szCs w:val="28"/>
        </w:rPr>
        <w:t xml:space="preserve">6. Pruebas de hipótesis</w:t>
      </w:r>
    </w:p>
    <w:p>
      <w:pPr>
        <w:spacing w:after="130" w:line="300"/>
        <w:jc w:val="both"/>
      </w:pPr>
      <w:r>
        <w:rPr>
          <w:rFonts w:ascii="Times New Roman" w:cs="Times New Roman" w:eastAsia="Times New Roman" w:hAnsi="Times New Roman"/>
          <w:b/>
          <w:bCs/>
          <w:color w:val="1F3864"/>
          <w:sz w:val="24"/>
          <w:szCs w:val="24"/>
        </w:rPr>
        <w:t xml:space="preserve">Se pidió:  </w:t>
      </w:r>
      <w:r>
        <w:rPr>
          <w:rFonts w:ascii="Times New Roman" w:cs="Times New Roman" w:eastAsia="Times New Roman" w:hAnsi="Times New Roman"/>
          <w:sz w:val="24"/>
          <w:szCs w:val="24"/>
        </w:rPr>
        <w:t xml:space="preserve">un análisis de varianza de medidas repetidas o la prueba de Kruskal Wallis para comparar las clases de tamaño entre épocas climáticas y entre zonas.</w:t>
      </w:r>
    </w:p>
    <w:p>
      <w:pPr>
        <w:spacing w:after="130" w:line="300"/>
        <w:jc w:val="both"/>
      </w:pPr>
      <w:r>
        <w:rPr>
          <w:rFonts w:ascii="Times New Roman" w:cs="Times New Roman" w:eastAsia="Times New Roman" w:hAnsi="Times New Roman"/>
          <w:b/>
          <w:bCs/>
          <w:color w:val="1F3864"/>
          <w:sz w:val="24"/>
          <w:szCs w:val="24"/>
        </w:rPr>
        <w:t xml:space="preserve">Procedimiento:  </w:t>
      </w:r>
      <w:r>
        <w:rPr>
          <w:rFonts w:ascii="Times New Roman" w:cs="Times New Roman" w:eastAsia="Times New Roman" w:hAnsi="Times New Roman"/>
          <w:sz w:val="24"/>
          <w:szCs w:val="24"/>
        </w:rPr>
        <w:t xml:space="preserve">antes de correr nada corregí el diseño. Las estaciones no se repiten de forma completa entre campañas, que van de 32 a 15, de modo que no se trata de medidas repetidas sino de muestras independientes desbalanceadas. Apliqué la prueba de Mann Whitney para las comparaciones entre dos grupos, la de Kruskal Wallis para las cinco campañas con corrección de Bonferroni en las comparaciones por pares, y la de chi cuadrado para la asociación entre clase de tamaño y época. Definí además la zona de alta influencia del canal como aquella con salinidad inferior a 25, porque la base entregada no incluye las coordenadas de las estaciones.</w:t>
      </w:r>
    </w:p>
    <w:p>
      <w:pPr>
        <w:spacing w:after="130" w:line="300"/>
        <w:jc w:val="both"/>
      </w:pPr>
      <w:r>
        <w:rPr>
          <w:rFonts w:ascii="Times New Roman" w:cs="Times New Roman" w:eastAsia="Times New Roman" w:hAnsi="Times New Roman"/>
          <w:b/>
          <w:bCs/>
          <w:color w:val="1F3864"/>
          <w:sz w:val="24"/>
          <w:szCs w:val="24"/>
        </w:rPr>
        <w:t xml:space="preserve">Resultado:  </w:t>
      </w:r>
      <w:r>
        <w:rPr>
          <w:rFonts w:ascii="Times New Roman" w:cs="Times New Roman" w:eastAsia="Times New Roman" w:hAnsi="Times New Roman"/>
          <w:sz w:val="24"/>
          <w:szCs w:val="24"/>
        </w:rPr>
        <w:t xml:space="preserve">entre la época seca y la lluviosa no hay diferencia significativa, con probabilidad de 0,126, y tampoco hay asociación entre la clase de tamaño y la época, con 0,806. Sí hay diferencia entre campañas, con 0,001, incluso entre dos campañas de la misma época seca. Y sí la hay entre zonas, con 0,004, con células de mayor tamaño donde el agua es menos salada. Estos resultados obligaron a reformular la hipótesis del anteproyecto: lo que ordena la estructura de tamaños es el gradiente del canal y la variabilidad interanual, no la alternancia entre épocas.</w:t>
      </w:r>
    </w:p>
    <w:p>
      <w:pPr>
        <w:pBdr>
          <w:bottom w:val="single" w:color="1F3864" w:sz="6"/>
        </w:pBdr>
        <w:spacing w:after="60" w:before="360"/>
      </w:pPr>
      <w:r>
        <w:rPr>
          <w:rFonts w:ascii="Times New Roman" w:cs="Times New Roman" w:eastAsia="Times New Roman" w:hAnsi="Times New Roman"/>
          <w:b/>
          <w:bCs/>
          <w:color w:val="1F3864"/>
          <w:sz w:val="28"/>
          <w:szCs w:val="28"/>
        </w:rPr>
        <w:t xml:space="preserve">Validación del índice con una medida independiente</w:t>
      </w:r>
    </w:p>
    <w:p>
      <w:pPr>
        <w:spacing w:after="130" w:line="300"/>
        <w:jc w:val="both"/>
      </w:pPr>
      <w:r>
        <w:rPr>
          <w:rFonts w:ascii="Times New Roman" w:cs="Times New Roman" w:eastAsia="Times New Roman" w:hAnsi="Times New Roman"/>
          <w:b/>
          <w:bCs/>
          <w:color w:val="1F3864"/>
          <w:sz w:val="24"/>
          <w:szCs w:val="24"/>
        </w:rPr>
        <w:t xml:space="preserve">Procedimiento:  </w:t>
      </w:r>
      <w:r>
        <w:rPr>
          <w:rFonts w:ascii="Times New Roman" w:cs="Times New Roman" w:eastAsia="Times New Roman" w:hAnsi="Times New Roman"/>
          <w:sz w:val="24"/>
          <w:szCs w:val="24"/>
        </w:rPr>
        <w:t xml:space="preserve">al revisar a fondo los libros de espectros encontré, en un bloque lateral de la hoja aphy, la concentración de clorofila a de la campaña de época seca de 2021, y comprobé que la hoja del aphy específico es precisamente el cociente entre la absorción del fitoplancton y esa clorofila. Con ese dato calculé el coeficiente de absorción específico a 440 nm, que es la medida clásica del efecto de empaquetamiento celular, y lo contrasté con el índice y con la clasificación por tamaños. Extraje además el reparto de la absorción a 443 nm entre detritus, fitoplancton y materia orgánica disuelta, disponible para todas las campañas.</w:t>
      </w:r>
    </w:p>
    <w:p>
      <w:pPr>
        <w:spacing w:after="130" w:line="300"/>
        <w:jc w:val="both"/>
      </w:pPr>
      <w:r>
        <w:rPr>
          <w:rFonts w:ascii="Times New Roman" w:cs="Times New Roman" w:eastAsia="Times New Roman" w:hAnsi="Times New Roman"/>
          <w:b/>
          <w:bCs/>
          <w:color w:val="1F3864"/>
          <w:sz w:val="24"/>
          <w:szCs w:val="24"/>
        </w:rPr>
        <w:t xml:space="preserve">Resultado:  </w:t>
      </w:r>
      <w:r>
        <w:rPr>
          <w:rFonts w:ascii="Times New Roman" w:cs="Times New Roman" w:eastAsia="Times New Roman" w:hAnsi="Times New Roman"/>
          <w:sz w:val="24"/>
          <w:szCs w:val="24"/>
        </w:rPr>
        <w:t xml:space="preserve">sobre las 19 estaciones con clorofila que superan el control de calidad, la correlación entre el coeficiente específico y el índice es de 0,789, con probabilidad de 0,0001, y la mediana del coeficiente crece de forma ordenada desde el microfitoplancton, con 0,0786, hasta el picofitoplancton, con 0,2269, diferencia significativa con probabilidad de 0,037. Es exactamente lo que predice la teoría bio óptica y constituye una validación del índice por una vía independiente. En cuanto al reparto de la absorción, en las campañas de época seca dominan el detritus y el fitoplancton, mientras que en la campaña lluviosa de 2023 la materia orgánica disuelta aporta casi la mitad. La campaña lluviosa de 2022 quedó excluida de ese reparto porque su libro repite los valores del aphy en la fila del aCDOM, lo que delata un error de fórmula en el archivo de origen.</w:t>
      </w:r>
    </w:p>
    <w:p>
      <w:pPr>
        <w:pBdr>
          <w:bottom w:val="single" w:color="1F3864" w:sz="6"/>
        </w:pBdr>
        <w:spacing w:after="60" w:before="360"/>
      </w:pPr>
      <w:r>
        <w:rPr>
          <w:rFonts w:ascii="Times New Roman" w:cs="Times New Roman" w:eastAsia="Times New Roman" w:hAnsi="Times New Roman"/>
          <w:b/>
          <w:bCs/>
          <w:color w:val="1F3864"/>
          <w:sz w:val="28"/>
          <w:szCs w:val="28"/>
        </w:rPr>
        <w:t xml:space="preserve">7. Modelo descriptivo y validación</w:t>
      </w:r>
    </w:p>
    <w:p>
      <w:pPr>
        <w:spacing w:after="130" w:line="300"/>
        <w:jc w:val="both"/>
      </w:pPr>
      <w:r>
        <w:rPr>
          <w:rFonts w:ascii="Times New Roman" w:cs="Times New Roman" w:eastAsia="Times New Roman" w:hAnsi="Times New Roman"/>
          <w:b/>
          <w:bCs/>
          <w:color w:val="1F3864"/>
          <w:sz w:val="24"/>
          <w:szCs w:val="24"/>
        </w:rPr>
        <w:t xml:space="preserve">Se pidió:  </w:t>
      </w:r>
      <w:r>
        <w:rPr>
          <w:rFonts w:ascii="Times New Roman" w:cs="Times New Roman" w:eastAsia="Times New Roman" w:hAnsi="Times New Roman"/>
          <w:sz w:val="24"/>
          <w:szCs w:val="24"/>
        </w:rPr>
        <w:t xml:space="preserve">un modelo empírico descriptivo, con partición de 75 por ciento para entrenamiento y 25 para validación interna, evaluado con residuos, coeficiente de determinación y error cuadrático medio.</w:t>
      </w:r>
    </w:p>
    <w:p>
      <w:pPr>
        <w:spacing w:after="130" w:line="300"/>
        <w:jc w:val="both"/>
      </w:pPr>
      <w:r>
        <w:rPr>
          <w:rFonts w:ascii="Times New Roman" w:cs="Times New Roman" w:eastAsia="Times New Roman" w:hAnsi="Times New Roman"/>
          <w:b/>
          <w:bCs/>
          <w:color w:val="1F3864"/>
          <w:sz w:val="24"/>
          <w:szCs w:val="24"/>
        </w:rPr>
        <w:t xml:space="preserve">Procedimiento:  </w:t>
      </w:r>
      <w:r>
        <w:rPr>
          <w:rFonts w:ascii="Times New Roman" w:cs="Times New Roman" w:eastAsia="Times New Roman" w:hAnsi="Times New Roman"/>
          <w:sz w:val="24"/>
          <w:szCs w:val="24"/>
        </w:rPr>
        <w:t xml:space="preserve">ajusté una regresión múltiple del logaritmo del índice sobre la temperatura, la salinidad y el logaritmo de la turbidez, con las 109 estaciones completas, y evalué la calidad del ajuste antes de dividir el conjunto.</w:t>
      </w:r>
    </w:p>
    <w:p>
      <w:pPr>
        <w:spacing w:after="130" w:line="300"/>
        <w:jc w:val="both"/>
      </w:pPr>
      <w:r>
        <w:rPr>
          <w:rFonts w:ascii="Times New Roman" w:cs="Times New Roman" w:eastAsia="Times New Roman" w:hAnsi="Times New Roman"/>
          <w:b/>
          <w:bCs/>
          <w:color w:val="1F3864"/>
          <w:sz w:val="24"/>
          <w:szCs w:val="24"/>
        </w:rPr>
        <w:t xml:space="preserve">Resultado:  </w:t>
      </w:r>
      <w:r>
        <w:rPr>
          <w:rFonts w:ascii="Times New Roman" w:cs="Times New Roman" w:eastAsia="Times New Roman" w:hAnsi="Times New Roman"/>
          <w:sz w:val="24"/>
          <w:szCs w:val="24"/>
        </w:rPr>
        <w:t xml:space="preserve">el modelo explica menos del diez por ciento de la variabilidad del índice, con un coeficiente de determinación de 0,096, y solo la temperatura resulta significativa. Ante ese resultado decidí no ejecutar la partición, porque entrenar y validar sobre un ajuste tan bajo produce indicadores sin significado. Dejé escrito en la metodología el criterio de respaldo: si con el conjunto ampliado de variables el ajuste no alcanza un coeficiente de 0,4, se optará por un modelo de clasificación de la clase de tamaño dominante, con validación cruzada y matriz de confusión. Esta es una decisión que someto a consideración de la dirección del proyecto.</w:t>
      </w:r>
    </w:p>
    <w:p>
      <w:pPr>
        <w:pBdr>
          <w:bottom w:val="single" w:color="1F3864" w:sz="6"/>
        </w:pBdr>
        <w:spacing w:after="60" w:before="360"/>
      </w:pPr>
      <w:r>
        <w:rPr>
          <w:rFonts w:ascii="Times New Roman" w:cs="Times New Roman" w:eastAsia="Times New Roman" w:hAnsi="Times New Roman"/>
          <w:b/>
          <w:bCs/>
          <w:color w:val="1F3864"/>
          <w:sz w:val="28"/>
          <w:szCs w:val="28"/>
        </w:rPr>
        <w:t xml:space="preserve">8. Anomalías estandarizadas de temperatura superficial</w:t>
      </w:r>
    </w:p>
    <w:p>
      <w:pPr>
        <w:spacing w:after="130" w:line="300"/>
        <w:jc w:val="both"/>
      </w:pPr>
      <w:r>
        <w:rPr>
          <w:rFonts w:ascii="Times New Roman" w:cs="Times New Roman" w:eastAsia="Times New Roman" w:hAnsi="Times New Roman"/>
          <w:b/>
          <w:bCs/>
          <w:color w:val="1F3864"/>
          <w:sz w:val="24"/>
          <w:szCs w:val="24"/>
        </w:rPr>
        <w:t xml:space="preserve">Se pidió:  </w:t>
      </w:r>
      <w:r>
        <w:rPr>
          <w:rFonts w:ascii="Times New Roman" w:cs="Times New Roman" w:eastAsia="Times New Roman" w:hAnsi="Times New Roman"/>
          <w:sz w:val="24"/>
          <w:szCs w:val="24"/>
        </w:rPr>
        <w:t xml:space="preserve">construir la climatología mensual de la temperatura superficial del mar y su transformación en anomalías estandarizadas, para el periodo comprendido entre junio de 2002 y septiembre de 2024, en las ocho posiciones geográficas de la tabla de coordenadas.</w:t>
      </w:r>
    </w:p>
    <w:p>
      <w:pPr>
        <w:spacing w:after="130" w:line="300"/>
        <w:jc w:val="both"/>
      </w:pPr>
      <w:r>
        <w:rPr>
          <w:rFonts w:ascii="Times New Roman" w:cs="Times New Roman" w:eastAsia="Times New Roman" w:hAnsi="Times New Roman"/>
          <w:b/>
          <w:bCs/>
          <w:color w:val="1F3864"/>
          <w:sz w:val="24"/>
          <w:szCs w:val="24"/>
        </w:rPr>
        <w:t xml:space="preserve">Procedimiento:  </w:t>
      </w:r>
      <w:r>
        <w:rPr>
          <w:rFonts w:ascii="Times New Roman" w:cs="Times New Roman" w:eastAsia="Times New Roman" w:hAnsi="Times New Roman"/>
          <w:sz w:val="24"/>
          <w:szCs w:val="24"/>
        </w:rPr>
        <w:t xml:space="preserve">busqué el producto en el catálogo del servidor y descarté el de MODIS Aqua, que figura como obsoleto y se corta en 2019. Elegí el análisis MUR, versión fv04.1, con resolución de 0,01 grados, que corresponde a la resolución cercana a un kilómetro que describe mi metodología y cuya serie arranca en junio de 2002. Descargué un recuadro que cubre la bahía completa, verifiqué qué celdas correspondían a agua y cuáles estaban enmascaradas como tierra, asigné a cada estación su celda y apliqué los tres pasos del método: climatología de cada mes con su desviación típica, anomalía como diferencia frente a esa climatología, y estandarización dividiendo por la desviación típica del mes.</w:t>
      </w:r>
    </w:p>
    <w:p>
      <w:pPr>
        <w:spacing w:after="130" w:line="300"/>
        <w:jc w:val="both"/>
      </w:pPr>
      <w:r>
        <w:rPr>
          <w:rFonts w:ascii="Times New Roman" w:cs="Times New Roman" w:eastAsia="Times New Roman" w:hAnsi="Times New Roman"/>
          <w:b/>
          <w:bCs/>
          <w:color w:val="1F3864"/>
          <w:sz w:val="24"/>
          <w:szCs w:val="24"/>
        </w:rPr>
        <w:t xml:space="preserve">Resultado:  </w:t>
      </w:r>
      <w:r>
        <w:rPr>
          <w:rFonts w:ascii="Times New Roman" w:cs="Times New Roman" w:eastAsia="Times New Roman" w:hAnsi="Times New Roman"/>
          <w:sz w:val="24"/>
          <w:szCs w:val="24"/>
        </w:rPr>
        <w:t xml:space="preserve">se procesaron 267 compuestas mensuales y las ocho posiciones coincidieron con celdas de agua, sin necesidad de desplazarlas. La climatología tiene su mínimo en marzo, con 27,27 grados Celsius, y su máximo en septiembre, con 29,78. La serie se divide en dos regímenes, con predominio de anomalías negativas hasta 2010 y positivas desde 2015. El resultado de mayor consecuencia para el proyecto es que el muestreo se realizó en una fase cálida: entre 2021 y 2023 la anomalía estandarizada promedió 0,606, frente a menos 0,091 en el resto de la serie, con una probabilidad de 0,0001. Las cinco campañas no retratan una bahía en condiciones climáticas medias.</w:t>
      </w:r>
    </w:p>
    <w:tbl>
      <w:tblPr>
        <w:tblW w:type="dxa" w:w="101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1900"/>
        <w:gridCol w:w="2100"/>
        <w:gridCol w:w="1600"/>
        <w:gridCol w:w="2100"/>
      </w:tblGrid>
      <w:tr>
        <w:tc>
          <w:tcPr>
            <w:tcW w:type="dxa" w:w="2400"/>
            <w:shd w:fill="1F3864" w:color="auto" w:val="clear"/>
            <w:tcMar>
              <w:top w:type="dxa" w:w="70"/>
              <w:left w:type="dxa" w:w="100"/>
              <w:bottom w:type="dxa" w:w="70"/>
              <w:right w:type="dxa" w:w="100"/>
            </w:tcMar>
          </w:tcPr>
          <w:p>
            <w:pPr>
              <w:spacing w:after="0" w:line="260"/>
            </w:pPr>
            <w:r>
              <w:rPr>
                <w:rFonts w:ascii="Times New Roman" w:cs="Times New Roman" w:eastAsia="Times New Roman" w:hAnsi="Times New Roman"/>
                <w:b/>
                <w:bCs/>
                <w:color w:val="FFFFFF"/>
                <w:sz w:val="21"/>
                <w:szCs w:val="21"/>
              </w:rPr>
              <w:t xml:space="preserve">Campaña</w:t>
            </w:r>
          </w:p>
        </w:tc>
        <w:tc>
          <w:tcPr>
            <w:tcW w:type="dxa" w:w="1900"/>
            <w:shd w:fill="1F3864" w:color="auto" w:val="clear"/>
            <w:tcMar>
              <w:top w:type="dxa" w:w="70"/>
              <w:left w:type="dxa" w:w="100"/>
              <w:bottom w:type="dxa" w:w="70"/>
              <w:right w:type="dxa" w:w="100"/>
            </w:tcMar>
          </w:tcPr>
          <w:p>
            <w:pPr>
              <w:spacing w:after="0" w:line="260"/>
            </w:pPr>
            <w:r>
              <w:rPr>
                <w:rFonts w:ascii="Times New Roman" w:cs="Times New Roman" w:eastAsia="Times New Roman" w:hAnsi="Times New Roman"/>
                <w:b/>
                <w:bCs/>
                <w:color w:val="FFFFFF"/>
                <w:sz w:val="21"/>
                <w:szCs w:val="21"/>
              </w:rPr>
              <w:t xml:space="preserve">Mes</w:t>
            </w:r>
          </w:p>
        </w:tc>
        <w:tc>
          <w:tcPr>
            <w:tcW w:type="dxa" w:w="2100"/>
            <w:shd w:fill="1F3864" w:color="auto" w:val="clear"/>
            <w:tcMar>
              <w:top w:type="dxa" w:w="70"/>
              <w:left w:type="dxa" w:w="100"/>
              <w:bottom w:type="dxa" w:w="70"/>
              <w:right w:type="dxa" w:w="100"/>
            </w:tcMar>
          </w:tcPr>
          <w:p>
            <w:pPr>
              <w:spacing w:after="0" w:line="260"/>
            </w:pPr>
            <w:r>
              <w:rPr>
                <w:rFonts w:ascii="Times New Roman" w:cs="Times New Roman" w:eastAsia="Times New Roman" w:hAnsi="Times New Roman"/>
                <w:b/>
                <w:bCs/>
                <w:color w:val="FFFFFF"/>
                <w:sz w:val="21"/>
                <w:szCs w:val="21"/>
              </w:rPr>
              <w:t xml:space="preserve">Temperatura observada</w:t>
            </w:r>
          </w:p>
        </w:tc>
        <w:tc>
          <w:tcPr>
            <w:tcW w:type="dxa" w:w="1600"/>
            <w:shd w:fill="1F3864" w:color="auto" w:val="clear"/>
            <w:tcMar>
              <w:top w:type="dxa" w:w="70"/>
              <w:left w:type="dxa" w:w="100"/>
              <w:bottom w:type="dxa" w:w="70"/>
              <w:right w:type="dxa" w:w="100"/>
            </w:tcMar>
          </w:tcPr>
          <w:p>
            <w:pPr>
              <w:spacing w:after="0" w:line="260"/>
            </w:pPr>
            <w:r>
              <w:rPr>
                <w:rFonts w:ascii="Times New Roman" w:cs="Times New Roman" w:eastAsia="Times New Roman" w:hAnsi="Times New Roman"/>
                <w:b/>
                <w:bCs/>
                <w:color w:val="FFFFFF"/>
                <w:sz w:val="21"/>
                <w:szCs w:val="21"/>
              </w:rPr>
              <w:t xml:space="preserve">Anomalía</w:t>
            </w:r>
          </w:p>
        </w:tc>
        <w:tc>
          <w:tcPr>
            <w:tcW w:type="dxa" w:w="2100"/>
            <w:shd w:fill="1F3864" w:color="auto" w:val="clear"/>
            <w:tcMar>
              <w:top w:type="dxa" w:w="70"/>
              <w:left w:type="dxa" w:w="100"/>
              <w:bottom w:type="dxa" w:w="70"/>
              <w:right w:type="dxa" w:w="100"/>
            </w:tcMar>
          </w:tcPr>
          <w:p>
            <w:pPr>
              <w:spacing w:after="0" w:line="260"/>
            </w:pPr>
            <w:r>
              <w:rPr>
                <w:rFonts w:ascii="Times New Roman" w:cs="Times New Roman" w:eastAsia="Times New Roman" w:hAnsi="Times New Roman"/>
                <w:b/>
                <w:bCs/>
                <w:color w:val="FFFFFF"/>
                <w:sz w:val="21"/>
                <w:szCs w:val="21"/>
              </w:rPr>
              <w:t xml:space="preserve">Anomalía estandarizada</w:t>
            </w:r>
          </w:p>
        </w:tc>
      </w:tr>
      <w:tr>
        <w:tc>
          <w:tcPr>
            <w:tcW w:type="dxa" w:w="24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Época seca 2021</w:t>
            </w:r>
          </w:p>
        </w:tc>
        <w:tc>
          <w:tcPr>
            <w:tcW w:type="dxa" w:w="19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abril de 2021</w:t>
            </w:r>
          </w:p>
        </w:tc>
        <w:tc>
          <w:tcPr>
            <w:tcW w:type="dxa" w:w="21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28,22</w:t>
            </w:r>
          </w:p>
        </w:tc>
        <w:tc>
          <w:tcPr>
            <w:tcW w:type="dxa" w:w="16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+0,35</w:t>
            </w:r>
          </w:p>
        </w:tc>
        <w:tc>
          <w:tcPr>
            <w:tcW w:type="dxa" w:w="21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+0,82</w:t>
            </w:r>
          </w:p>
        </w:tc>
      </w:tr>
      <w:tr>
        <w:tc>
          <w:tcPr>
            <w:tcW w:type="dxa" w:w="24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Época seca 2022</w:t>
            </w:r>
          </w:p>
        </w:tc>
        <w:tc>
          <w:tcPr>
            <w:tcW w:type="dxa" w:w="19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marzo de 2022</w:t>
            </w:r>
          </w:p>
        </w:tc>
        <w:tc>
          <w:tcPr>
            <w:tcW w:type="dxa" w:w="21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27,62</w:t>
            </w:r>
          </w:p>
        </w:tc>
        <w:tc>
          <w:tcPr>
            <w:tcW w:type="dxa" w:w="16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+0,35</w:t>
            </w:r>
          </w:p>
        </w:tc>
        <w:tc>
          <w:tcPr>
            <w:tcW w:type="dxa" w:w="21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+0,61</w:t>
            </w:r>
          </w:p>
        </w:tc>
      </w:tr>
      <w:tr>
        <w:tc>
          <w:tcPr>
            <w:tcW w:type="dxa" w:w="24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Época lluviosa 2022</w:t>
            </w:r>
          </w:p>
        </w:tc>
        <w:tc>
          <w:tcPr>
            <w:tcW w:type="dxa" w:w="19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octubre de 2022</w:t>
            </w:r>
          </w:p>
        </w:tc>
        <w:tc>
          <w:tcPr>
            <w:tcW w:type="dxa" w:w="21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29,49</w:t>
            </w:r>
          </w:p>
        </w:tc>
        <w:tc>
          <w:tcPr>
            <w:tcW w:type="dxa" w:w="16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−0,08</w:t>
            </w:r>
          </w:p>
        </w:tc>
        <w:tc>
          <w:tcPr>
            <w:tcW w:type="dxa" w:w="21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−0,21</w:t>
            </w:r>
          </w:p>
        </w:tc>
      </w:tr>
      <w:tr>
        <w:tc>
          <w:tcPr>
            <w:tcW w:type="dxa" w:w="24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Campaña de 2023</w:t>
            </w:r>
          </w:p>
        </w:tc>
        <w:tc>
          <w:tcPr>
            <w:tcW w:type="dxa" w:w="19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diciembre de 2023</w:t>
            </w:r>
          </w:p>
        </w:tc>
        <w:tc>
          <w:tcPr>
            <w:tcW w:type="dxa" w:w="21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29,32</w:t>
            </w:r>
          </w:p>
        </w:tc>
        <w:tc>
          <w:tcPr>
            <w:tcW w:type="dxa" w:w="16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+0,52</w:t>
            </w:r>
          </w:p>
        </w:tc>
        <w:tc>
          <w:tcPr>
            <w:tcW w:type="dxa" w:w="21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+1,17</w:t>
            </w:r>
          </w:p>
        </w:tc>
      </w:tr>
    </w:tbl>
    <w:p>
      <w:pPr>
        <w:pBdr>
          <w:bottom w:val="single" w:color="1F3864" w:sz="6"/>
        </w:pBdr>
        <w:spacing w:after="60" w:before="360"/>
      </w:pPr>
      <w:r>
        <w:rPr>
          <w:rFonts w:ascii="Times New Roman" w:cs="Times New Roman" w:eastAsia="Times New Roman" w:hAnsi="Times New Roman"/>
          <w:b/>
          <w:bCs/>
          <w:color w:val="1F3864"/>
          <w:sz w:val="28"/>
          <w:szCs w:val="28"/>
        </w:rPr>
        <w:t xml:space="preserve">Formato del documento</w:t>
      </w:r>
    </w:p>
    <w:p>
      <w:pPr>
        <w:spacing w:after="140" w:line="300"/>
        <w:jc w:val="both"/>
      </w:pPr>
      <w:r>
        <w:rPr>
          <w:rFonts w:ascii="Times New Roman" w:cs="Times New Roman" w:eastAsia="Times New Roman" w:hAnsi="Times New Roman"/>
          <w:b w:val="false"/>
          <w:bCs w:val="false"/>
          <w:i w:val="false"/>
          <w:iCs w:val="false"/>
          <w:color w:val="000000"/>
          <w:sz w:val="24"/>
          <w:szCs w:val="24"/>
        </w:rPr>
        <w:t xml:space="preserve">Sobre el documento completo se aplicaron las normas APA en su séptima edición. Los márgenes quedaron en 2,54 centímetros por los cuatro lados, el interlineado en doble para el cuerpo, los pies y la bibliografía, y la alineación a la izquierda con sangría de primera línea de 1,27 centímetros. Los títulos de nivel uno quedaron centrados y en negrita, y 32 subtítulos que estaban como negrita suelta pasaron a ser títulos de nivel dos, con lo que ahora aparecen en la tabla de contenido. Las tablas quedaron con número en negrita, título en cursiva debajo, únicamente líneas horizontales, sin sombreado y con su nota al pie. Las figuras llevan número y título encima de la imagen y la fuente como nota debajo. La bibliografía quedó con sangría francesa y el número de página arriba a la derecha.</w:t>
      </w:r>
    </w:p>
    <w:p>
      <w:pPr>
        <w:pBdr>
          <w:bottom w:val="single" w:color="1F3864" w:sz="6"/>
        </w:pBdr>
        <w:spacing w:after="60" w:before="360"/>
      </w:pPr>
      <w:r>
        <w:rPr>
          <w:rFonts w:ascii="Times New Roman" w:cs="Times New Roman" w:eastAsia="Times New Roman" w:hAnsi="Times New Roman"/>
          <w:b/>
          <w:bCs/>
          <w:color w:val="1F3864"/>
          <w:sz w:val="28"/>
          <w:szCs w:val="28"/>
        </w:rPr>
        <w:t xml:space="preserve">Límites que conviene declarar</w:t>
      </w:r>
    </w:p>
    <w:p>
      <w:pPr>
        <w:spacing w:after="140" w:line="300"/>
        <w:jc w:val="both"/>
      </w:pPr>
      <w:r>
        <w:rPr>
          <w:rFonts w:ascii="Times New Roman" w:cs="Times New Roman" w:eastAsia="Times New Roman" w:hAnsi="Times New Roman"/>
          <w:b w:val="false"/>
          <w:bCs w:val="false"/>
          <w:i w:val="false"/>
          <w:iCs w:val="false"/>
          <w:color w:val="000000"/>
          <w:sz w:val="24"/>
          <w:szCs w:val="24"/>
        </w:rPr>
        <w:t xml:space="preserve">Tres asuntos quedan abiertos y es preferible plantearlos de forma explícita.</w:t>
      </w:r>
    </w:p>
    <w:p>
      <w:pPr>
        <w:spacing w:after="110" w:line="300"/>
        <w:ind w:left="504" w:hanging="288"/>
      </w:pPr>
      <w:r>
        <w:rPr>
          <w:rFonts w:ascii="Times New Roman" w:cs="Times New Roman" w:eastAsia="Times New Roman" w:hAnsi="Times New Roman"/>
          <w:sz w:val="24"/>
          <w:szCs w:val="24"/>
        </w:rPr>
        <w:t xml:space="preserve">•  De las siete variables ambientales que enumera la metodología, la base traía tres: temperatura, salinidad y turbidez. La clorofila a estaba también en los libros de espectros, aunque únicamente para la campaña de época seca de 2021, y se aprovechó para validar el índice. Faltan los nutrientes, los sólidos suspendidos totales y la clorofila de las otras cuatro campañas, y esa ausencia es la causa directa de que el modelo descriptivo no alcance un ajuste útil. Gestionar esas variables ante el Centro de Investigaciones Oceanográficas e Hidrográficas del Caribe es la acción de mayor prioridad.</w:t>
      </w:r>
    </w:p>
    <w:p>
      <w:pPr>
        <w:spacing w:after="110" w:line="300"/>
        <w:ind w:left="504" w:hanging="288"/>
      </w:pPr>
      <w:r>
        <w:rPr>
          <w:rFonts w:ascii="Times New Roman" w:cs="Times New Roman" w:eastAsia="Times New Roman" w:hAnsi="Times New Roman"/>
          <w:sz w:val="24"/>
          <w:szCs w:val="24"/>
        </w:rPr>
        <w:t xml:space="preserve">•  La partición de 75 y 25 por ciento no se ejecutó, por la razón expuesta en la tarea siete.</w:t>
      </w:r>
    </w:p>
    <w:p>
      <w:pPr>
        <w:spacing w:after="110" w:line="300"/>
        <w:ind w:left="504" w:hanging="288"/>
      </w:pPr>
      <w:r>
        <w:rPr>
          <w:rFonts w:ascii="Times New Roman" w:cs="Times New Roman" w:eastAsia="Times New Roman" w:hAnsi="Times New Roman"/>
          <w:sz w:val="24"/>
          <w:szCs w:val="24"/>
        </w:rPr>
        <w:t xml:space="preserve">•  Quedan dos verificaciones sobre los datos: cuál de las dos campañas de 2023 corresponde a junio y cuál a diciembre, porque la numeración consecutiva de las muestras contradice las etiquetas de la base, y las coordenadas de cada estación, que por ahora se sustituyen por el criterio de salinidad para separar las zonas. Además, el producto satelital no incluye compuesta mensual para junio de 2023, lo cual es un vacío de la fuente.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66666"/>
        <w:sz w:val="18"/>
        <w:szCs w:val="18"/>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Cómo se cumplió cada punto solicitado por la dirección del proyecto</dc:title>
  <dc:creator>Omar Enrique Gamboa Posada</dc:creator>
  <dc:description>Procedimiento seguido en cada una de las ocho tareas del apartado de tratamiento estadístico</dc:description>
  <cp:lastModifiedBy>Un-named</cp:lastModifiedBy>
  <cp:revision>1</cp:revision>
  <dcterms:created xsi:type="dcterms:W3CDTF">2026-08-12T01:02:16.432Z</dcterms:created>
  <dcterms:modified xsi:type="dcterms:W3CDTF">2026-08-12T01:02:16.432Z</dcterms:modified>
</cp:coreProperties>
</file>

<file path=docProps/custom.xml><?xml version="1.0" encoding="utf-8"?>
<Properties xmlns="http://schemas.openxmlformats.org/officeDocument/2006/custom-properties" xmlns:vt="http://schemas.openxmlformats.org/officeDocument/2006/docPropsVTypes"/>
</file>