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i w:val="0"/>
          <w:sz w:val="28"/>
          <w:u w:val="none"/>
        </w:rPr>
        <w:t>SOLICITUD DE INSCRIPCIÓN DE LIBROS DE COMERCIO</w:t>
      </w:r>
    </w:p>
    <w:p>
      <w:pPr>
        <w:spacing w:after="280"/>
        <w:jc w:val="center"/>
      </w:pPr>
      <w:r>
        <w:rPr>
          <w:rFonts w:ascii="Times New Roman" w:hAnsi="Times New Roman"/>
          <w:b/>
          <w:i w:val="0"/>
          <w:sz w:val="24"/>
          <w:u w:val="none"/>
        </w:rPr>
        <w:t>NOVA BIENESTAR INTEGRAL S.A.S.</w:t>
      </w:r>
    </w:p>
    <w:p>
      <w:pPr>
        <w:jc w:val="right"/>
      </w:pPr>
      <w:r>
        <w:rPr>
          <w:rFonts w:ascii="Times New Roman" w:hAnsi="Times New Roman"/>
          <w:b w:val="0"/>
          <w:i w:val="0"/>
          <w:u w:val="none"/>
        </w:rPr>
        <w:t>Medellín (Antioquia), primero (1) de octubre de dos mil veintiséis (2026)</w:t>
      </w:r>
    </w:p>
    <w:p>
      <w:pPr>
        <w:spacing w:after="0"/>
      </w:pPr>
    </w:p>
    <w:p>
      <w:r>
        <w:rPr>
          <w:rFonts w:ascii="Times New Roman" w:hAnsi="Times New Roman"/>
          <w:b/>
          <w:i w:val="0"/>
          <w:u w:val="none"/>
        </w:rPr>
        <w:t>Señores</w:t>
      </w:r>
    </w:p>
    <w:p>
      <w:r>
        <w:rPr>
          <w:rFonts w:ascii="Times New Roman" w:hAnsi="Times New Roman"/>
          <w:b/>
          <w:i w:val="0"/>
          <w:u w:val="none"/>
        </w:rPr>
        <w:t>CÁMARA DE COMERCIO DE MEDELLÍN PARA ANTIOQUIA</w:t>
      </w:r>
    </w:p>
    <w:p>
      <w:r>
        <w:rPr>
          <w:rFonts w:ascii="Times New Roman" w:hAnsi="Times New Roman"/>
          <w:b w:val="0"/>
          <w:i w:val="0"/>
          <w:u w:val="none"/>
        </w:rPr>
        <w:t>Departamento de Registros Públicos</w:t>
      </w:r>
    </w:p>
    <w:p>
      <w:r>
        <w:rPr>
          <w:rFonts w:ascii="Times New Roman" w:hAnsi="Times New Roman"/>
          <w:b w:val="0"/>
          <w:i w:val="0"/>
          <w:u w:val="none"/>
        </w:rPr>
        <w:t>Medellín (Antioquia)</w:t>
      </w:r>
    </w:p>
    <w:p>
      <w:pPr>
        <w:spacing w:after="0"/>
      </w:pPr>
    </w:p>
    <w:p>
      <w:r>
        <w:rPr>
          <w:rFonts w:ascii="Times New Roman" w:hAnsi="Times New Roman"/>
          <w:b/>
          <w:i w:val="0"/>
          <w:u w:val="none"/>
        </w:rPr>
        <w:t>Referencia:</w:t>
      </w:r>
      <w:r>
        <w:rPr>
          <w:rFonts w:ascii="Times New Roman" w:hAnsi="Times New Roman"/>
          <w:b w:val="0"/>
          <w:i w:val="0"/>
          <w:u w:val="none"/>
        </w:rPr>
        <w:t xml:space="preserve"> Solicitud de inscripción de los libros de comercio sujetos a registro, </w:t>
      </w:r>
      <w:r>
        <w:rPr>
          <w:rFonts w:ascii="Times New Roman" w:hAnsi="Times New Roman"/>
          <w:b/>
          <w:i w:val="0"/>
          <w:u w:val="none"/>
        </w:rPr>
        <w:t>NOVA BIENESTAR INTEGRAL S.A.S.</w:t>
      </w:r>
    </w:p>
    <w:p>
      <w:pPr>
        <w:spacing w:after="0"/>
      </w:pPr>
    </w:p>
    <w:p>
      <w:r>
        <w:rPr>
          <w:rFonts w:ascii="Times New Roman" w:hAnsi="Times New Roman"/>
          <w:b w:val="0"/>
          <w:i w:val="0"/>
          <w:u w:val="none"/>
        </w:rPr>
        <w:t>Respetados señores:</w:t>
      </w:r>
    </w:p>
    <w:p>
      <w:r>
        <w:rPr>
          <w:rFonts w:ascii="Times New Roman" w:hAnsi="Times New Roman"/>
          <w:b/>
          <w:i w:val="0"/>
          <w:u w:val="none"/>
        </w:rPr>
        <w:t>MARIANA LÓPEZ CASTAÑO</w:t>
      </w:r>
      <w:r>
        <w:rPr>
          <w:rFonts w:ascii="Times New Roman" w:hAnsi="Times New Roman"/>
          <w:b w:val="0"/>
          <w:i w:val="0"/>
          <w:u w:val="none"/>
        </w:rPr>
        <w:t xml:space="preserve">, mayor de edad, identificada con la cédula de ciudadanía número </w:t>
      </w:r>
      <w:r>
        <w:rPr>
          <w:rFonts w:ascii="Times New Roman" w:hAnsi="Times New Roman"/>
          <w:b/>
          <w:i w:val="0"/>
          <w:u w:val="none"/>
        </w:rPr>
        <w:t>1.039.672.481</w:t>
      </w:r>
      <w:r>
        <w:rPr>
          <w:rFonts w:ascii="Times New Roman" w:hAnsi="Times New Roman"/>
          <w:b w:val="0"/>
          <w:i w:val="0"/>
          <w:u w:val="none"/>
        </w:rPr>
        <w:t xml:space="preserve"> expedida en Medellín (Antioquia), obrando en calidad de </w:t>
      </w:r>
      <w:r>
        <w:rPr>
          <w:rFonts w:ascii="Times New Roman" w:hAnsi="Times New Roman"/>
          <w:b/>
          <w:i w:val="0"/>
          <w:u w:val="none"/>
        </w:rPr>
        <w:t>representante legal</w:t>
      </w:r>
      <w:r>
        <w:rPr>
          <w:rFonts w:ascii="Times New Roman" w:hAnsi="Times New Roman"/>
          <w:b w:val="0"/>
          <w:i w:val="0"/>
          <w:u w:val="none"/>
        </w:rPr>
        <w:t xml:space="preserve"> de la sociedad </w:t>
      </w:r>
      <w:r>
        <w:rPr>
          <w:rFonts w:ascii="Times New Roman" w:hAnsi="Times New Roman"/>
          <w:b/>
          <w:i w:val="0"/>
          <w:u w:val="none"/>
        </w:rPr>
        <w:t>NOVA BIENESTAR INTEGRAL S.A.S.</w:t>
      </w:r>
      <w:r>
        <w:rPr>
          <w:rFonts w:ascii="Times New Roman" w:hAnsi="Times New Roman"/>
          <w:b w:val="0"/>
          <w:i w:val="0"/>
          <w:u w:val="none"/>
        </w:rPr>
        <w:t xml:space="preserve">, calidad que se acredita con el certificado de existencia y representación legal expedido por esa Cámara, me permito solicitar la </w:t>
      </w:r>
      <w:r>
        <w:rPr>
          <w:rFonts w:ascii="Times New Roman" w:hAnsi="Times New Roman"/>
          <w:b/>
          <w:i w:val="0"/>
          <w:u w:val="none"/>
        </w:rPr>
        <w:t>inscripción en el registro mercantil</w:t>
      </w:r>
      <w:r>
        <w:rPr>
          <w:rFonts w:ascii="Times New Roman" w:hAnsi="Times New Roman"/>
          <w:b w:val="0"/>
          <w:i w:val="0"/>
          <w:u w:val="none"/>
        </w:rPr>
        <w:t xml:space="preserve"> de los libros que a continuación se relacionan:</w:t>
      </w:r>
    </w:p>
    <w:tbl>
      <w:tblPr>
        <w:tblStyle w:val="TableGrid"/>
        <w:tblW w:type="auto" w:w="0"/>
        <w:jc w:val="center"/>
        <w:tblLayout w:type="fixed"/>
        <w:tblLook w:firstColumn="1" w:firstRow="1" w:lastColumn="0" w:lastRow="0" w:noHBand="0" w:noVBand="1" w:val="04A0"/>
        <w:tblW w:w="9122" w:type="dxa"/>
        <w:tblLayout w:type="fixed"/>
      </w:tblPr>
      <w:tblGrid>
        <w:gridCol w:w="730"/>
        <w:gridCol w:w="2372"/>
        <w:gridCol w:w="1277"/>
        <w:gridCol w:w="1277"/>
        <w:gridCol w:w="1824"/>
        <w:gridCol w:w="1642"/>
      </w:tblGrid>
      <w:tr>
        <w:tc>
          <w:tcPr>
            <w:tcW w:type="dxa" w:w="730"/>
            <w:shd w:val="clear" w:color="auto" w:fill="D9D9D9"/>
          </w:tcPr>
          <w:p>
            <w:pPr>
              <w:spacing w:after="40" w:before="40" w:line="240" w:lineRule="auto"/>
              <w:jc w:val="center"/>
            </w:pPr>
            <w:r>
              <w:rPr>
                <w:rFonts w:ascii="Times New Roman" w:hAnsi="Times New Roman"/>
                <w:b/>
                <w:i w:val="0"/>
                <w:sz w:val="20"/>
                <w:u w:val="none"/>
              </w:rPr>
              <w:t>N.º</w:t>
            </w:r>
          </w:p>
        </w:tc>
        <w:tc>
          <w:tcPr>
            <w:tcW w:type="dxa" w:w="2372"/>
            <w:shd w:val="clear" w:color="auto" w:fill="D9D9D9"/>
          </w:tcPr>
          <w:p>
            <w:pPr>
              <w:spacing w:after="40" w:before="40" w:line="240" w:lineRule="auto"/>
              <w:jc w:val="center"/>
            </w:pPr>
            <w:r>
              <w:rPr>
                <w:rFonts w:ascii="Times New Roman" w:hAnsi="Times New Roman"/>
                <w:b/>
                <w:i w:val="0"/>
                <w:sz w:val="20"/>
                <w:u w:val="none"/>
              </w:rPr>
              <w:t>Nombre del libro</w:t>
            </w:r>
          </w:p>
        </w:tc>
        <w:tc>
          <w:tcPr>
            <w:tcW w:type="dxa" w:w="1277"/>
            <w:shd w:val="clear" w:color="auto" w:fill="D9D9D9"/>
          </w:tcPr>
          <w:p>
            <w:pPr>
              <w:spacing w:after="40" w:before="40" w:line="240" w:lineRule="auto"/>
              <w:jc w:val="center"/>
            </w:pPr>
            <w:r>
              <w:rPr>
                <w:rFonts w:ascii="Times New Roman" w:hAnsi="Times New Roman"/>
                <w:b/>
                <w:i w:val="0"/>
                <w:sz w:val="20"/>
                <w:u w:val="none"/>
              </w:rPr>
              <w:t>Uso destinado</w:t>
            </w:r>
          </w:p>
        </w:tc>
        <w:tc>
          <w:tcPr>
            <w:tcW w:type="dxa" w:w="1277"/>
            <w:shd w:val="clear" w:color="auto" w:fill="D9D9D9"/>
          </w:tcPr>
          <w:p>
            <w:pPr>
              <w:spacing w:after="40" w:before="40" w:line="240" w:lineRule="auto"/>
              <w:jc w:val="center"/>
            </w:pPr>
            <w:r>
              <w:rPr>
                <w:rFonts w:ascii="Times New Roman" w:hAnsi="Times New Roman"/>
                <w:b/>
                <w:i w:val="0"/>
                <w:sz w:val="20"/>
                <w:u w:val="none"/>
              </w:rPr>
              <w:t>N.º de hojas</w:t>
            </w:r>
          </w:p>
        </w:tc>
        <w:tc>
          <w:tcPr>
            <w:tcW w:type="dxa" w:w="1824"/>
            <w:shd w:val="clear" w:color="auto" w:fill="D9D9D9"/>
          </w:tcPr>
          <w:p>
            <w:pPr>
              <w:spacing w:after="40" w:before="40" w:line="240" w:lineRule="auto"/>
              <w:jc w:val="center"/>
            </w:pPr>
            <w:r>
              <w:rPr>
                <w:rFonts w:ascii="Times New Roman" w:hAnsi="Times New Roman"/>
                <w:b/>
                <w:i w:val="0"/>
                <w:sz w:val="20"/>
                <w:u w:val="none"/>
              </w:rPr>
              <w:t>Numeración</w:t>
            </w:r>
          </w:p>
        </w:tc>
        <w:tc>
          <w:tcPr>
            <w:tcW w:type="dxa" w:w="1642"/>
            <w:shd w:val="clear" w:color="auto" w:fill="D9D9D9"/>
          </w:tcPr>
          <w:p>
            <w:pPr>
              <w:spacing w:after="40" w:before="40" w:line="240" w:lineRule="auto"/>
              <w:jc w:val="center"/>
            </w:pPr>
            <w:r>
              <w:rPr>
                <w:rFonts w:ascii="Times New Roman" w:hAnsi="Times New Roman"/>
                <w:b/>
                <w:i w:val="0"/>
                <w:sz w:val="20"/>
                <w:u w:val="none"/>
              </w:rPr>
              <w:t>Soporte</w:t>
            </w:r>
          </w:p>
        </w:tc>
      </w:tr>
      <w:tr>
        <w:tc>
          <w:tcPr>
            <w:tcW w:type="dxa" w:w="730"/>
          </w:tcPr>
          <w:p>
            <w:pPr>
              <w:spacing w:after="40" w:before="40" w:line="240" w:lineRule="auto"/>
              <w:jc w:val="left"/>
            </w:pPr>
            <w:r>
              <w:rPr>
                <w:rFonts w:ascii="Times New Roman" w:hAnsi="Times New Roman"/>
                <w:b w:val="0"/>
                <w:i w:val="0"/>
                <w:sz w:val="20"/>
                <w:u w:val="none"/>
              </w:rPr>
              <w:t>1</w:t>
            </w:r>
          </w:p>
        </w:tc>
        <w:tc>
          <w:tcPr>
            <w:tcW w:type="dxa" w:w="2372"/>
          </w:tcPr>
          <w:p>
            <w:pPr>
              <w:spacing w:after="40" w:before="40" w:line="240" w:lineRule="auto"/>
              <w:jc w:val="left"/>
            </w:pPr>
            <w:r>
              <w:rPr>
                <w:rFonts w:ascii="Times New Roman" w:hAnsi="Times New Roman"/>
                <w:b w:val="0"/>
                <w:i w:val="0"/>
                <w:sz w:val="20"/>
                <w:u w:val="none"/>
              </w:rPr>
              <w:t>Libro de registro de accionistas</w:t>
            </w:r>
          </w:p>
        </w:tc>
        <w:tc>
          <w:tcPr>
            <w:tcW w:type="dxa" w:w="1277"/>
          </w:tcPr>
          <w:p>
            <w:pPr>
              <w:spacing w:after="40" w:before="40" w:line="240" w:lineRule="auto"/>
              <w:jc w:val="left"/>
            </w:pPr>
            <w:r>
              <w:rPr>
                <w:rFonts w:ascii="Times New Roman" w:hAnsi="Times New Roman"/>
                <w:b w:val="0"/>
                <w:i w:val="0"/>
                <w:sz w:val="20"/>
                <w:u w:val="none"/>
              </w:rPr>
              <w:t>Registro de la titularidad de las acciones, sus enajenaciones, gravámenes y limitaciones de dominio</w:t>
            </w:r>
          </w:p>
        </w:tc>
        <w:tc>
          <w:tcPr>
            <w:tcW w:type="dxa" w:w="1277"/>
          </w:tcPr>
          <w:p>
            <w:pPr>
              <w:spacing w:after="40" w:before="40" w:line="240" w:lineRule="auto"/>
              <w:jc w:val="left"/>
            </w:pPr>
            <w:r>
              <w:rPr>
                <w:rFonts w:ascii="Times New Roman" w:hAnsi="Times New Roman"/>
                <w:b w:val="0"/>
                <w:i w:val="0"/>
                <w:sz w:val="20"/>
                <w:u w:val="none"/>
              </w:rPr>
              <w:t>100</w:t>
            </w:r>
          </w:p>
        </w:tc>
        <w:tc>
          <w:tcPr>
            <w:tcW w:type="dxa" w:w="1824"/>
          </w:tcPr>
          <w:p>
            <w:pPr>
              <w:spacing w:after="40" w:before="40" w:line="240" w:lineRule="auto"/>
              <w:jc w:val="left"/>
            </w:pPr>
            <w:r>
              <w:rPr>
                <w:rFonts w:ascii="Times New Roman" w:hAnsi="Times New Roman"/>
                <w:b w:val="0"/>
                <w:i w:val="0"/>
                <w:sz w:val="20"/>
                <w:u w:val="none"/>
              </w:rPr>
              <w:t>De 1 a 100</w:t>
            </w:r>
          </w:p>
        </w:tc>
        <w:tc>
          <w:tcPr>
            <w:tcW w:type="dxa" w:w="1642"/>
          </w:tcPr>
          <w:p>
            <w:pPr>
              <w:spacing w:after="40" w:before="40" w:line="240" w:lineRule="auto"/>
              <w:jc w:val="left"/>
            </w:pPr>
            <w:r>
              <w:rPr>
                <w:rFonts w:ascii="Times New Roman" w:hAnsi="Times New Roman"/>
                <w:b w:val="0"/>
                <w:i w:val="0"/>
                <w:sz w:val="20"/>
                <w:u w:val="none"/>
              </w:rPr>
              <w:t>Hojas continuas</w:t>
            </w:r>
          </w:p>
        </w:tc>
      </w:tr>
      <w:tr>
        <w:tc>
          <w:tcPr>
            <w:tcW w:type="dxa" w:w="730"/>
          </w:tcPr>
          <w:p>
            <w:pPr>
              <w:spacing w:after="40" w:before="40" w:line="240" w:lineRule="auto"/>
              <w:jc w:val="left"/>
            </w:pPr>
            <w:r>
              <w:rPr>
                <w:rFonts w:ascii="Times New Roman" w:hAnsi="Times New Roman"/>
                <w:b w:val="0"/>
                <w:i w:val="0"/>
                <w:sz w:val="20"/>
                <w:u w:val="none"/>
              </w:rPr>
              <w:t>2</w:t>
            </w:r>
          </w:p>
        </w:tc>
        <w:tc>
          <w:tcPr>
            <w:tcW w:type="dxa" w:w="2372"/>
          </w:tcPr>
          <w:p>
            <w:pPr>
              <w:spacing w:after="40" w:before="40" w:line="240" w:lineRule="auto"/>
              <w:jc w:val="left"/>
            </w:pPr>
            <w:r>
              <w:rPr>
                <w:rFonts w:ascii="Times New Roman" w:hAnsi="Times New Roman"/>
                <w:b w:val="0"/>
                <w:i w:val="0"/>
                <w:sz w:val="20"/>
                <w:u w:val="none"/>
              </w:rPr>
              <w:t>Libro de actas de la asamblea general de accionistas</w:t>
            </w:r>
          </w:p>
        </w:tc>
        <w:tc>
          <w:tcPr>
            <w:tcW w:type="dxa" w:w="1277"/>
          </w:tcPr>
          <w:p>
            <w:pPr>
              <w:spacing w:after="40" w:before="40" w:line="240" w:lineRule="auto"/>
              <w:jc w:val="left"/>
            </w:pPr>
            <w:r>
              <w:rPr>
                <w:rFonts w:ascii="Times New Roman" w:hAnsi="Times New Roman"/>
                <w:b w:val="0"/>
                <w:i w:val="0"/>
                <w:sz w:val="20"/>
                <w:u w:val="none"/>
              </w:rPr>
              <w:t>Registro de las actas de las reuniones ordinarias, extraordinarias, universales y no presenciales</w:t>
            </w:r>
          </w:p>
        </w:tc>
        <w:tc>
          <w:tcPr>
            <w:tcW w:type="dxa" w:w="1277"/>
          </w:tcPr>
          <w:p>
            <w:pPr>
              <w:spacing w:after="40" w:before="40" w:line="240" w:lineRule="auto"/>
              <w:jc w:val="left"/>
            </w:pPr>
            <w:r>
              <w:rPr>
                <w:rFonts w:ascii="Times New Roman" w:hAnsi="Times New Roman"/>
                <w:b w:val="0"/>
                <w:i w:val="0"/>
                <w:sz w:val="20"/>
                <w:u w:val="none"/>
              </w:rPr>
              <w:t>200</w:t>
            </w:r>
          </w:p>
        </w:tc>
        <w:tc>
          <w:tcPr>
            <w:tcW w:type="dxa" w:w="1824"/>
          </w:tcPr>
          <w:p>
            <w:pPr>
              <w:spacing w:after="40" w:before="40" w:line="240" w:lineRule="auto"/>
              <w:jc w:val="left"/>
            </w:pPr>
            <w:r>
              <w:rPr>
                <w:rFonts w:ascii="Times New Roman" w:hAnsi="Times New Roman"/>
                <w:b w:val="0"/>
                <w:i w:val="0"/>
                <w:sz w:val="20"/>
                <w:u w:val="none"/>
              </w:rPr>
              <w:t>De 1 a 200</w:t>
            </w:r>
          </w:p>
        </w:tc>
        <w:tc>
          <w:tcPr>
            <w:tcW w:type="dxa" w:w="1642"/>
          </w:tcPr>
          <w:p>
            <w:pPr>
              <w:spacing w:after="40" w:before="40" w:line="240" w:lineRule="auto"/>
              <w:jc w:val="left"/>
            </w:pPr>
            <w:r>
              <w:rPr>
                <w:rFonts w:ascii="Times New Roman" w:hAnsi="Times New Roman"/>
                <w:b w:val="0"/>
                <w:i w:val="0"/>
                <w:sz w:val="20"/>
                <w:u w:val="none"/>
              </w:rPr>
              <w:t>Hojas continuas</w:t>
            </w:r>
          </w:p>
        </w:tc>
      </w:tr>
    </w:tbl>
    <w:p>
      <w:pPr>
        <w:spacing w:after="80"/>
      </w:pPr>
    </w:p>
    <w:p>
      <w:r>
        <w:rPr>
          <w:rFonts w:ascii="Times New Roman" w:hAnsi="Times New Roman"/>
          <w:b/>
          <w:i w:val="0"/>
          <w:u w:val="none"/>
        </w:rPr>
        <w:t>Fundamento de la solicitud.</w:t>
      </w:r>
      <w:r>
        <w:rPr>
          <w:rFonts w:ascii="Times New Roman" w:hAnsi="Times New Roman"/>
          <w:b w:val="0"/>
          <w:i w:val="0"/>
          <w:u w:val="none"/>
        </w:rPr>
        <w:t xml:space="preserve"> El </w:t>
      </w:r>
      <w:r>
        <w:rPr>
          <w:rFonts w:ascii="Times New Roman" w:hAnsi="Times New Roman"/>
          <w:b/>
          <w:i w:val="0"/>
          <w:u w:val="none"/>
        </w:rPr>
        <w:t>artículo 175 del Decreto Ley 019 de 2012</w:t>
      </w:r>
      <w:r>
        <w:rPr>
          <w:rFonts w:ascii="Times New Roman" w:hAnsi="Times New Roman"/>
          <w:b w:val="0"/>
          <w:i w:val="0"/>
          <w:u w:val="none"/>
        </w:rPr>
        <w:t xml:space="preserve"> modificó el régimen de registro de libros y dispuso que solo deben inscribirse en el registro mercantil </w:t>
      </w:r>
      <w:r>
        <w:rPr>
          <w:rFonts w:ascii="Times New Roman" w:hAnsi="Times New Roman"/>
          <w:b/>
          <w:i w:val="0"/>
          <w:u w:val="none"/>
        </w:rPr>
        <w:t>el libro de registro de accionistas y el libro de actas de asamblea de accionistas</w:t>
      </w:r>
      <w:r>
        <w:rPr>
          <w:rFonts w:ascii="Times New Roman" w:hAnsi="Times New Roman"/>
          <w:b w:val="0"/>
          <w:i w:val="0"/>
          <w:u w:val="none"/>
        </w:rPr>
        <w:t>, quedando excluidos de esa formalidad los libros de contabilidad. La inscripción es requisito de eficacia probatoria: conforme a los artículos 195 y 406 del Código de Comercio, la calidad de accionista frente a la sociedad y frente a terceros se acredita mediante la inscripción en el libro de registro de accionistas, y las decisiones de la asamblea se prueban con las actas asentadas en el libro correspondiente.</w:t>
      </w:r>
    </w:p>
    <w:p>
      <w:r>
        <w:rPr>
          <w:rFonts w:ascii="Times New Roman" w:hAnsi="Times New Roman"/>
          <w:b/>
          <w:i w:val="0"/>
          <w:u w:val="none"/>
        </w:rPr>
        <w:t>Manifestaciones.</w:t>
      </w:r>
      <w:r>
        <w:rPr>
          <w:rFonts w:ascii="Times New Roman" w:hAnsi="Times New Roman"/>
          <w:b w:val="0"/>
          <w:i w:val="0"/>
          <w:u w:val="none"/>
        </w:rPr>
        <w:t xml:space="preserve"> Declaro que los libros cuya inscripción se solicita </w:t>
      </w:r>
      <w:r>
        <w:rPr>
          <w:rFonts w:ascii="Times New Roman" w:hAnsi="Times New Roman"/>
          <w:b/>
          <w:i w:val="0"/>
          <w:u w:val="none"/>
        </w:rPr>
        <w:t>no han sido utilizados</w:t>
      </w:r>
      <w:r>
        <w:rPr>
          <w:rFonts w:ascii="Times New Roman" w:hAnsi="Times New Roman"/>
          <w:b w:val="0"/>
          <w:i w:val="0"/>
          <w:u w:val="none"/>
        </w:rPr>
        <w:t xml:space="preserve"> y que sus hojas se encuentran en blanco y debidamente numeradas en forma continua y sucesiva; que la sociedad </w:t>
      </w:r>
      <w:r>
        <w:rPr>
          <w:rFonts w:ascii="Times New Roman" w:hAnsi="Times New Roman"/>
          <w:b/>
          <w:i w:val="0"/>
          <w:u w:val="none"/>
        </w:rPr>
        <w:t>no tiene libros previamente registrados</w:t>
      </w:r>
      <w:r>
        <w:rPr>
          <w:rFonts w:ascii="Times New Roman" w:hAnsi="Times New Roman"/>
          <w:b w:val="0"/>
          <w:i w:val="0"/>
          <w:u w:val="none"/>
        </w:rPr>
        <w:t xml:space="preserve"> que deban ser cancelados o reemplazados, por tratarse de su primera inscripción; y que se cancelarán los derechos de inscripción correspondientes, liquidados a razón de </w:t>
      </w:r>
      <w:r>
        <w:rPr>
          <w:rFonts w:ascii="Times New Roman" w:hAnsi="Times New Roman"/>
          <w:b/>
          <w:i w:val="0"/>
          <w:u w:val="none"/>
        </w:rPr>
        <w:t>dos (2) Unidades de Valor Básico</w:t>
      </w:r>
      <w:r>
        <w:rPr>
          <w:rFonts w:ascii="Times New Roman" w:hAnsi="Times New Roman"/>
          <w:b w:val="0"/>
          <w:i w:val="0"/>
          <w:u w:val="none"/>
        </w:rPr>
        <w:t xml:space="preserve"> por cada libro.</w:t>
      </w:r>
    </w:p>
    <w:p>
      <w:r>
        <w:rPr>
          <w:rFonts w:ascii="Times New Roman" w:hAnsi="Times New Roman"/>
          <w:b w:val="0"/>
          <w:i w:val="0"/>
          <w:u w:val="none"/>
        </w:rPr>
        <w:t>Agradezco la atención prestada a la presente solicitud.</w:t>
      </w:r>
    </w:p>
    <w:p>
      <w:r>
        <w:rPr>
          <w:rFonts w:ascii="Times New Roman" w:hAnsi="Times New Roman"/>
          <w:b w:val="0"/>
          <w:i w:val="0"/>
          <w:u w:val="none"/>
        </w:rPr>
        <w:t>Atentamente,</w:t>
      </w:r>
    </w:p>
    <w:p>
      <w:pPr>
        <w:spacing w:after="0"/>
      </w:pPr>
    </w:p>
    <w:p>
      <w:pPr>
        <w:spacing w:after="0"/>
      </w:pPr>
    </w:p>
    <w:p>
      <w:pPr>
        <w:spacing w:after="0"/>
        <w:jc w:val="left"/>
      </w:pPr>
      <w:r>
        <w:rPr>
          <w:rFonts w:ascii="Times New Roman" w:hAnsi="Times New Roman"/>
          <w:b w:val="0"/>
          <w:i w:val="0"/>
          <w:u w:val="none"/>
        </w:rPr>
        <w:t>________________________________________</w:t>
      </w:r>
    </w:p>
    <w:p>
      <w:pPr>
        <w:spacing w:after="0"/>
        <w:jc w:val="left"/>
      </w:pPr>
      <w:r>
        <w:rPr>
          <w:rFonts w:ascii="Times New Roman" w:hAnsi="Times New Roman"/>
          <w:b/>
          <w:i w:val="0"/>
          <w:sz w:val="22"/>
          <w:u w:val="none"/>
        </w:rPr>
        <w:t>MARIANA LÓPEZ CASTAÑO</w:t>
      </w:r>
    </w:p>
    <w:p>
      <w:pPr>
        <w:spacing w:after="0"/>
        <w:jc w:val="left"/>
      </w:pPr>
      <w:r>
        <w:rPr>
          <w:rFonts w:ascii="Times New Roman" w:hAnsi="Times New Roman"/>
          <w:b w:val="0"/>
          <w:i w:val="0"/>
          <w:sz w:val="22"/>
          <w:u w:val="none"/>
        </w:rPr>
        <w:t>C.C. 1.039.672.481 de Medellín</w:t>
      </w:r>
    </w:p>
    <w:p>
      <w:pPr>
        <w:spacing w:after="0"/>
        <w:jc w:val="left"/>
      </w:pPr>
      <w:r>
        <w:rPr>
          <w:rFonts w:ascii="Times New Roman" w:hAnsi="Times New Roman"/>
          <w:b w:val="0"/>
          <w:i w:val="0"/>
          <w:sz w:val="22"/>
          <w:u w:val="none"/>
        </w:rPr>
        <w:t>Representante legal</w:t>
      </w:r>
    </w:p>
    <w:p>
      <w:pPr>
        <w:spacing w:after="0"/>
        <w:jc w:val="left"/>
      </w:pPr>
      <w:r>
        <w:rPr>
          <w:rFonts w:ascii="Times New Roman" w:hAnsi="Times New Roman"/>
          <w:b w:val="0"/>
          <w:i w:val="0"/>
          <w:sz w:val="22"/>
          <w:u w:val="none"/>
        </w:rPr>
        <w:t>NOVA BIENESTAR INTEGRAL S.A.S.</w:t>
      </w:r>
    </w:p>
    <w:p>
      <w:r>
        <w:br w:type="page"/>
      </w:r>
    </w:p>
    <w:p>
      <w:pPr>
        <w:spacing w:before="0" w:after="80"/>
        <w:jc w:val="center"/>
      </w:pPr>
      <w:r>
        <w:rPr>
          <w:rFonts w:ascii="Times New Roman" w:hAnsi="Times New Roman"/>
          <w:b/>
          <w:i w:val="0"/>
          <w:sz w:val="28"/>
          <w:u w:val="none"/>
        </w:rPr>
        <w:t>LIBRO DE REGISTRO DE ACCIONISTAS</w:t>
      </w:r>
    </w:p>
    <w:p>
      <w:pPr>
        <w:spacing w:after="280"/>
        <w:jc w:val="center"/>
      </w:pPr>
      <w:r>
        <w:rPr>
          <w:rFonts w:ascii="Times New Roman" w:hAnsi="Times New Roman"/>
          <w:b/>
          <w:i w:val="0"/>
          <w:sz w:val="24"/>
          <w:u w:val="none"/>
        </w:rPr>
        <w:t>NOVA BIENESTAR INTEGRAL S.A.S. Folio n.º 1</w:t>
      </w:r>
    </w:p>
    <w:p>
      <w:r>
        <w:rPr>
          <w:rFonts w:ascii="Times New Roman" w:hAnsi="Times New Roman"/>
          <w:b/>
          <w:i w:val="0"/>
          <w:u w:val="none"/>
        </w:rPr>
        <w:t>Nota de apertura.</w:t>
      </w:r>
      <w:r>
        <w:rPr>
          <w:rFonts w:ascii="Times New Roman" w:hAnsi="Times New Roman"/>
          <w:b w:val="0"/>
          <w:i w:val="0"/>
          <w:u w:val="none"/>
        </w:rPr>
        <w:t xml:space="preserve"> El presente libro se abre el primero (1) de octubre de dos mil veintiséis (2026), previa su inscripción en el registro mercantil de la Cámara de Comercio de Medellín para Antioquia, con destino al registro de la titularidad de las acciones en que se divide el capital suscrito de la sociedad NOVA BIENESTAR INTEGRAL S.A.S., de sus enajenaciones, traspasos, embargos, prendas, usufructos, anticresis y demás gravámenes o limitaciones de dominio, de conformidad con los artículos 195 y 406 del Código de Comercio y el artículo 12 de los estatutos sociales.</w:t>
      </w:r>
    </w:p>
    <w:p>
      <w:pPr>
        <w:keepNext/>
        <w:spacing w:before="240" w:after="80"/>
        <w:jc w:val="left"/>
      </w:pPr>
      <w:r>
        <w:rPr>
          <w:rFonts w:ascii="Times New Roman" w:hAnsi="Times New Roman"/>
          <w:b/>
          <w:i w:val="0"/>
          <w:sz w:val="24"/>
          <w:u w:val="none"/>
        </w:rPr>
        <w:t>Inscripción n.º 1. Suscripción inicial de acciones</w:t>
      </w:r>
    </w:p>
    <w:tbl>
      <w:tblPr>
        <w:tblStyle w:val="TableGrid"/>
        <w:tblW w:type="auto" w:w="0"/>
        <w:jc w:val="center"/>
        <w:tblLayout w:type="fixed"/>
        <w:tblLook w:firstColumn="1" w:firstRow="1" w:lastColumn="0" w:lastRow="0" w:noHBand="0" w:noVBand="1" w:val="04A0"/>
        <w:tblW w:w="9122" w:type="dxa"/>
        <w:tblLayout w:type="fixed"/>
      </w:tblPr>
      <w:tblGrid>
        <w:gridCol w:w="2737"/>
        <w:gridCol w:w="6385"/>
      </w:tblGrid>
      <w:tr>
        <w:tc>
          <w:tcPr>
            <w:tcW w:type="dxa" w:w="2737"/>
            <w:shd w:val="clear" w:color="auto" w:fill="D9D9D9"/>
          </w:tcPr>
          <w:p>
            <w:pPr>
              <w:spacing w:after="40" w:before="40" w:line="240" w:lineRule="auto"/>
              <w:jc w:val="center"/>
            </w:pPr>
            <w:r>
              <w:rPr>
                <w:rFonts w:ascii="Times New Roman" w:hAnsi="Times New Roman"/>
                <w:b/>
                <w:i w:val="0"/>
                <w:sz w:val="20"/>
                <w:u w:val="none"/>
              </w:rPr>
              <w:t>Concepto</w:t>
            </w:r>
          </w:p>
        </w:tc>
        <w:tc>
          <w:tcPr>
            <w:tcW w:type="dxa" w:w="6385"/>
            <w:shd w:val="clear" w:color="auto" w:fill="D9D9D9"/>
          </w:tcPr>
          <w:p>
            <w:pPr>
              <w:spacing w:after="40" w:before="40" w:line="240" w:lineRule="auto"/>
              <w:jc w:val="center"/>
            </w:pPr>
            <w:r>
              <w:rPr>
                <w:rFonts w:ascii="Times New Roman" w:hAnsi="Times New Roman"/>
                <w:b/>
                <w:i w:val="0"/>
                <w:sz w:val="20"/>
                <w:u w:val="none"/>
              </w:rPr>
              <w:t>Contenido</w:t>
            </w:r>
          </w:p>
        </w:tc>
      </w:tr>
      <w:tr>
        <w:tc>
          <w:tcPr>
            <w:tcW w:type="dxa" w:w="2737"/>
          </w:tcPr>
          <w:p>
            <w:pPr>
              <w:spacing w:after="40" w:before="40" w:line="240" w:lineRule="auto"/>
              <w:jc w:val="left"/>
            </w:pPr>
            <w:r>
              <w:rPr>
                <w:rFonts w:ascii="Times New Roman" w:hAnsi="Times New Roman"/>
                <w:b w:val="0"/>
                <w:i w:val="0"/>
                <w:sz w:val="20"/>
                <w:u w:val="none"/>
              </w:rPr>
              <w:t>Fecha de la inscripción</w:t>
            </w:r>
          </w:p>
        </w:tc>
        <w:tc>
          <w:tcPr>
            <w:tcW w:type="dxa" w:w="6385"/>
          </w:tcPr>
          <w:p>
            <w:pPr>
              <w:spacing w:after="40" w:before="40" w:line="240" w:lineRule="auto"/>
              <w:jc w:val="left"/>
            </w:pPr>
            <w:r>
              <w:rPr>
                <w:rFonts w:ascii="Times New Roman" w:hAnsi="Times New Roman"/>
                <w:b w:val="0"/>
                <w:i w:val="0"/>
                <w:sz w:val="20"/>
                <w:u w:val="none"/>
              </w:rPr>
              <w:t>1.º de octubre de 2026</w:t>
            </w:r>
          </w:p>
        </w:tc>
      </w:tr>
      <w:tr>
        <w:tc>
          <w:tcPr>
            <w:tcW w:type="dxa" w:w="2737"/>
          </w:tcPr>
          <w:p>
            <w:pPr>
              <w:spacing w:after="40" w:before="40" w:line="240" w:lineRule="auto"/>
              <w:jc w:val="left"/>
            </w:pPr>
            <w:r>
              <w:rPr>
                <w:rFonts w:ascii="Times New Roman" w:hAnsi="Times New Roman"/>
                <w:b w:val="0"/>
                <w:i w:val="0"/>
                <w:sz w:val="20"/>
                <w:u w:val="none"/>
              </w:rPr>
              <w:t>Título que sirve de causa</w:t>
            </w:r>
          </w:p>
        </w:tc>
        <w:tc>
          <w:tcPr>
            <w:tcW w:type="dxa" w:w="6385"/>
          </w:tcPr>
          <w:p>
            <w:pPr>
              <w:spacing w:after="40" w:before="40" w:line="240" w:lineRule="auto"/>
              <w:jc w:val="left"/>
            </w:pPr>
            <w:r>
              <w:rPr>
                <w:rFonts w:ascii="Times New Roman" w:hAnsi="Times New Roman"/>
                <w:b w:val="0"/>
                <w:i w:val="0"/>
                <w:sz w:val="20"/>
                <w:u w:val="none"/>
              </w:rPr>
              <w:t>Documento privado de constitución del 1.º de octubre de 2026</w:t>
            </w:r>
          </w:p>
        </w:tc>
      </w:tr>
      <w:tr>
        <w:tc>
          <w:tcPr>
            <w:tcW w:type="dxa" w:w="2737"/>
          </w:tcPr>
          <w:p>
            <w:pPr>
              <w:spacing w:after="40" w:before="40" w:line="240" w:lineRule="auto"/>
              <w:jc w:val="left"/>
            </w:pPr>
            <w:r>
              <w:rPr>
                <w:rFonts w:ascii="Times New Roman" w:hAnsi="Times New Roman"/>
                <w:b w:val="0"/>
                <w:i w:val="0"/>
                <w:sz w:val="20"/>
                <w:u w:val="none"/>
              </w:rPr>
              <w:t>Capital suscrito</w:t>
            </w:r>
          </w:p>
        </w:tc>
        <w:tc>
          <w:tcPr>
            <w:tcW w:type="dxa" w:w="6385"/>
          </w:tcPr>
          <w:p>
            <w:pPr>
              <w:spacing w:after="40" w:before="40" w:line="240" w:lineRule="auto"/>
              <w:jc w:val="left"/>
            </w:pPr>
            <w:r>
              <w:rPr>
                <w:rFonts w:ascii="Times New Roman" w:hAnsi="Times New Roman"/>
                <w:b w:val="0"/>
                <w:i w:val="0"/>
                <w:sz w:val="20"/>
                <w:u w:val="none"/>
              </w:rPr>
              <w:t>$600.000.000</w:t>
            </w:r>
          </w:p>
        </w:tc>
      </w:tr>
      <w:tr>
        <w:tc>
          <w:tcPr>
            <w:tcW w:type="dxa" w:w="2737"/>
          </w:tcPr>
          <w:p>
            <w:pPr>
              <w:spacing w:after="40" w:before="40" w:line="240" w:lineRule="auto"/>
              <w:jc w:val="left"/>
            </w:pPr>
            <w:r>
              <w:rPr>
                <w:rFonts w:ascii="Times New Roman" w:hAnsi="Times New Roman"/>
                <w:b w:val="0"/>
                <w:i w:val="0"/>
                <w:sz w:val="20"/>
                <w:u w:val="none"/>
              </w:rPr>
              <w:t>Número total de acciones suscritas</w:t>
            </w:r>
          </w:p>
        </w:tc>
        <w:tc>
          <w:tcPr>
            <w:tcW w:type="dxa" w:w="6385"/>
          </w:tcPr>
          <w:p>
            <w:pPr>
              <w:spacing w:after="40" w:before="40" w:line="240" w:lineRule="auto"/>
              <w:jc w:val="left"/>
            </w:pPr>
            <w:r>
              <w:rPr>
                <w:rFonts w:ascii="Times New Roman" w:hAnsi="Times New Roman"/>
                <w:b w:val="0"/>
                <w:i w:val="0"/>
                <w:sz w:val="20"/>
                <w:u w:val="none"/>
              </w:rPr>
              <w:t>600.000 acciones ordinarias, nominativas y de capital</w:t>
            </w:r>
          </w:p>
        </w:tc>
      </w:tr>
      <w:tr>
        <w:tc>
          <w:tcPr>
            <w:tcW w:type="dxa" w:w="2737"/>
          </w:tcPr>
          <w:p>
            <w:pPr>
              <w:spacing w:after="40" w:before="40" w:line="240" w:lineRule="auto"/>
              <w:jc w:val="left"/>
            </w:pPr>
            <w:r>
              <w:rPr>
                <w:rFonts w:ascii="Times New Roman" w:hAnsi="Times New Roman"/>
                <w:b w:val="0"/>
                <w:i w:val="0"/>
                <w:sz w:val="20"/>
                <w:u w:val="none"/>
              </w:rPr>
              <w:t>Valor nominal por acción</w:t>
            </w:r>
          </w:p>
        </w:tc>
        <w:tc>
          <w:tcPr>
            <w:tcW w:type="dxa" w:w="6385"/>
          </w:tcPr>
          <w:p>
            <w:pPr>
              <w:spacing w:after="40" w:before="40" w:line="240" w:lineRule="auto"/>
              <w:jc w:val="left"/>
            </w:pPr>
            <w:r>
              <w:rPr>
                <w:rFonts w:ascii="Times New Roman" w:hAnsi="Times New Roman"/>
                <w:b w:val="0"/>
                <w:i w:val="0"/>
                <w:sz w:val="20"/>
                <w:u w:val="none"/>
              </w:rPr>
              <w:t>$1.000</w:t>
            </w:r>
          </w:p>
        </w:tc>
      </w:tr>
    </w:tbl>
    <w:p>
      <w:pPr>
        <w:spacing w:after="80"/>
      </w:pPr>
    </w:p>
    <w:p>
      <w:r>
        <w:rPr>
          <w:rFonts w:ascii="Times New Roman" w:hAnsi="Times New Roman"/>
          <w:b/>
          <w:i w:val="0"/>
          <w:u w:val="none"/>
        </w:rPr>
        <w:t>Titulares inscritos:</w:t>
      </w:r>
    </w:p>
    <w:tbl>
      <w:tblPr>
        <w:tblStyle w:val="TableGrid"/>
        <w:tblW w:type="auto" w:w="0"/>
        <w:jc w:val="center"/>
        <w:tblLayout w:type="fixed"/>
        <w:tblLook w:firstColumn="1" w:firstRow="1" w:lastColumn="0" w:lastRow="0" w:noHBand="0" w:noVBand="1" w:val="04A0"/>
        <w:tblW w:w="9123" w:type="dxa"/>
        <w:tblLayout w:type="fixed"/>
      </w:tblPr>
      <w:tblGrid>
        <w:gridCol w:w="2372"/>
        <w:gridCol w:w="1824"/>
        <w:gridCol w:w="1277"/>
        <w:gridCol w:w="1460"/>
        <w:gridCol w:w="1095"/>
        <w:gridCol w:w="1095"/>
      </w:tblGrid>
      <w:tr>
        <w:tc>
          <w:tcPr>
            <w:tcW w:type="dxa" w:w="2372"/>
            <w:shd w:val="clear" w:color="auto" w:fill="D9D9D9"/>
          </w:tcPr>
          <w:p>
            <w:pPr>
              <w:spacing w:after="40" w:before="40" w:line="240" w:lineRule="auto"/>
              <w:jc w:val="center"/>
            </w:pPr>
            <w:r>
              <w:rPr>
                <w:rFonts w:ascii="Times New Roman" w:hAnsi="Times New Roman"/>
                <w:b/>
                <w:i w:val="0"/>
                <w:sz w:val="20"/>
                <w:u w:val="none"/>
              </w:rPr>
              <w:t>Accionista</w:t>
            </w:r>
          </w:p>
        </w:tc>
        <w:tc>
          <w:tcPr>
            <w:tcW w:type="dxa" w:w="1824"/>
            <w:shd w:val="clear" w:color="auto" w:fill="D9D9D9"/>
          </w:tcPr>
          <w:p>
            <w:pPr>
              <w:spacing w:after="40" w:before="40" w:line="240" w:lineRule="auto"/>
              <w:jc w:val="center"/>
            </w:pPr>
            <w:r>
              <w:rPr>
                <w:rFonts w:ascii="Times New Roman" w:hAnsi="Times New Roman"/>
                <w:b/>
                <w:i w:val="0"/>
                <w:sz w:val="20"/>
                <w:u w:val="none"/>
              </w:rPr>
              <w:t>Documento de identidad</w:t>
            </w:r>
          </w:p>
        </w:tc>
        <w:tc>
          <w:tcPr>
            <w:tcW w:type="dxa" w:w="1277"/>
            <w:shd w:val="clear" w:color="auto" w:fill="D9D9D9"/>
          </w:tcPr>
          <w:p>
            <w:pPr>
              <w:spacing w:after="40" w:before="40" w:line="240" w:lineRule="auto"/>
              <w:jc w:val="center"/>
            </w:pPr>
            <w:r>
              <w:rPr>
                <w:rFonts w:ascii="Times New Roman" w:hAnsi="Times New Roman"/>
                <w:b/>
                <w:i w:val="0"/>
                <w:sz w:val="20"/>
                <w:u w:val="none"/>
              </w:rPr>
              <w:t>N.º de acciones</w:t>
            </w:r>
          </w:p>
        </w:tc>
        <w:tc>
          <w:tcPr>
            <w:tcW w:type="dxa" w:w="1460"/>
            <w:shd w:val="clear" w:color="auto" w:fill="D9D9D9"/>
          </w:tcPr>
          <w:p>
            <w:pPr>
              <w:spacing w:after="40" w:before="40" w:line="240" w:lineRule="auto"/>
              <w:jc w:val="center"/>
            </w:pPr>
            <w:r>
              <w:rPr>
                <w:rFonts w:ascii="Times New Roman" w:hAnsi="Times New Roman"/>
                <w:b/>
                <w:i w:val="0"/>
                <w:sz w:val="20"/>
                <w:u w:val="none"/>
              </w:rPr>
              <w:t>Valor</w:t>
            </w:r>
          </w:p>
        </w:tc>
        <w:tc>
          <w:tcPr>
            <w:tcW w:type="dxa" w:w="1095"/>
            <w:shd w:val="clear" w:color="auto" w:fill="D9D9D9"/>
          </w:tcPr>
          <w:p>
            <w:pPr>
              <w:spacing w:after="40" w:before="40" w:line="240" w:lineRule="auto"/>
              <w:jc w:val="center"/>
            </w:pPr>
            <w:r>
              <w:rPr>
                <w:rFonts w:ascii="Times New Roman" w:hAnsi="Times New Roman"/>
                <w:b/>
                <w:i w:val="0"/>
                <w:sz w:val="20"/>
                <w:u w:val="none"/>
              </w:rPr>
              <w:t>Participación</w:t>
            </w:r>
          </w:p>
        </w:tc>
        <w:tc>
          <w:tcPr>
            <w:tcW w:type="dxa" w:w="1095"/>
            <w:shd w:val="clear" w:color="auto" w:fill="D9D9D9"/>
          </w:tcPr>
          <w:p>
            <w:pPr>
              <w:spacing w:after="40" w:before="40" w:line="240" w:lineRule="auto"/>
              <w:jc w:val="center"/>
            </w:pPr>
            <w:r>
              <w:rPr>
                <w:rFonts w:ascii="Times New Roman" w:hAnsi="Times New Roman"/>
                <w:b/>
                <w:i w:val="0"/>
                <w:sz w:val="20"/>
                <w:u w:val="none"/>
              </w:rPr>
              <w:t>Título n.º</w:t>
            </w:r>
          </w:p>
        </w:tc>
      </w:tr>
      <w:tr>
        <w:tc>
          <w:tcPr>
            <w:tcW w:type="dxa" w:w="2372"/>
          </w:tcPr>
          <w:p>
            <w:pPr>
              <w:spacing w:after="40" w:before="40" w:line="240" w:lineRule="auto"/>
              <w:jc w:val="left"/>
            </w:pPr>
            <w:r>
              <w:rPr>
                <w:rFonts w:ascii="Times New Roman" w:hAnsi="Times New Roman"/>
                <w:b w:val="0"/>
                <w:i w:val="0"/>
                <w:sz w:val="20"/>
                <w:u w:val="none"/>
              </w:rPr>
              <w:t>Mariana López Castaño</w:t>
            </w:r>
          </w:p>
        </w:tc>
        <w:tc>
          <w:tcPr>
            <w:tcW w:type="dxa" w:w="1824"/>
          </w:tcPr>
          <w:p>
            <w:pPr>
              <w:spacing w:after="40" w:before="40" w:line="240" w:lineRule="auto"/>
              <w:jc w:val="left"/>
            </w:pPr>
            <w:r>
              <w:rPr>
                <w:rFonts w:ascii="Times New Roman" w:hAnsi="Times New Roman"/>
                <w:b w:val="0"/>
                <w:i w:val="0"/>
                <w:sz w:val="20"/>
                <w:u w:val="none"/>
              </w:rPr>
              <w:t>C.C. 1.039.672.481 de Medellín</w:t>
            </w:r>
          </w:p>
        </w:tc>
        <w:tc>
          <w:tcPr>
            <w:tcW w:type="dxa" w:w="1277"/>
          </w:tcPr>
          <w:p>
            <w:pPr>
              <w:spacing w:after="40" w:before="40" w:line="240" w:lineRule="auto"/>
              <w:jc w:val="left"/>
            </w:pPr>
            <w:r>
              <w:rPr>
                <w:rFonts w:ascii="Times New Roman" w:hAnsi="Times New Roman"/>
                <w:b w:val="0"/>
                <w:i w:val="0"/>
                <w:sz w:val="20"/>
                <w:u w:val="none"/>
              </w:rPr>
              <w:t>390.000</w:t>
            </w:r>
          </w:p>
        </w:tc>
        <w:tc>
          <w:tcPr>
            <w:tcW w:type="dxa" w:w="1460"/>
          </w:tcPr>
          <w:p>
            <w:pPr>
              <w:spacing w:after="40" w:before="40" w:line="240" w:lineRule="auto"/>
              <w:jc w:val="left"/>
            </w:pPr>
            <w:r>
              <w:rPr>
                <w:rFonts w:ascii="Times New Roman" w:hAnsi="Times New Roman"/>
                <w:b w:val="0"/>
                <w:i w:val="0"/>
                <w:sz w:val="20"/>
                <w:u w:val="none"/>
              </w:rPr>
              <w:t>$390.000.000</w:t>
            </w:r>
          </w:p>
        </w:tc>
        <w:tc>
          <w:tcPr>
            <w:tcW w:type="dxa" w:w="1095"/>
          </w:tcPr>
          <w:p>
            <w:pPr>
              <w:spacing w:after="40" w:before="40" w:line="240" w:lineRule="auto"/>
              <w:jc w:val="left"/>
            </w:pPr>
            <w:r>
              <w:rPr>
                <w:rFonts w:ascii="Times New Roman" w:hAnsi="Times New Roman"/>
                <w:b w:val="0"/>
                <w:i w:val="0"/>
                <w:sz w:val="20"/>
                <w:u w:val="none"/>
              </w:rPr>
              <w:t>65 %</w:t>
            </w:r>
          </w:p>
        </w:tc>
        <w:tc>
          <w:tcPr>
            <w:tcW w:type="dxa" w:w="1095"/>
          </w:tcPr>
          <w:p>
            <w:pPr>
              <w:spacing w:after="40" w:before="40" w:line="240" w:lineRule="auto"/>
              <w:jc w:val="left"/>
            </w:pPr>
            <w:r>
              <w:rPr>
                <w:rFonts w:ascii="Times New Roman" w:hAnsi="Times New Roman"/>
                <w:b w:val="0"/>
                <w:i w:val="0"/>
                <w:sz w:val="20"/>
                <w:u w:val="none"/>
              </w:rPr>
              <w:t>001</w:t>
            </w:r>
          </w:p>
        </w:tc>
      </w:tr>
      <w:tr>
        <w:tc>
          <w:tcPr>
            <w:tcW w:type="dxa" w:w="2372"/>
          </w:tcPr>
          <w:p>
            <w:pPr>
              <w:spacing w:after="40" w:before="40" w:line="240" w:lineRule="auto"/>
              <w:jc w:val="left"/>
            </w:pPr>
            <w:r>
              <w:rPr>
                <w:rFonts w:ascii="Times New Roman" w:hAnsi="Times New Roman"/>
                <w:b w:val="0"/>
                <w:i w:val="0"/>
                <w:sz w:val="20"/>
                <w:u w:val="none"/>
              </w:rPr>
              <w:t>Felipe Andrés Gómez Vélez</w:t>
            </w:r>
          </w:p>
        </w:tc>
        <w:tc>
          <w:tcPr>
            <w:tcW w:type="dxa" w:w="1824"/>
          </w:tcPr>
          <w:p>
            <w:pPr>
              <w:spacing w:after="40" w:before="40" w:line="240" w:lineRule="auto"/>
              <w:jc w:val="left"/>
            </w:pPr>
            <w:r>
              <w:rPr>
                <w:rFonts w:ascii="Times New Roman" w:hAnsi="Times New Roman"/>
                <w:b w:val="0"/>
                <w:i w:val="0"/>
                <w:sz w:val="20"/>
                <w:u w:val="none"/>
              </w:rPr>
              <w:t>C.C. 1.152.846.390 de Envigado</w:t>
            </w:r>
          </w:p>
        </w:tc>
        <w:tc>
          <w:tcPr>
            <w:tcW w:type="dxa" w:w="1277"/>
          </w:tcPr>
          <w:p>
            <w:pPr>
              <w:spacing w:after="40" w:before="40" w:line="240" w:lineRule="auto"/>
              <w:jc w:val="left"/>
            </w:pPr>
            <w:r>
              <w:rPr>
                <w:rFonts w:ascii="Times New Roman" w:hAnsi="Times New Roman"/>
                <w:b w:val="0"/>
                <w:i w:val="0"/>
                <w:sz w:val="20"/>
                <w:u w:val="none"/>
              </w:rPr>
              <w:t>210.000</w:t>
            </w:r>
          </w:p>
        </w:tc>
        <w:tc>
          <w:tcPr>
            <w:tcW w:type="dxa" w:w="1460"/>
          </w:tcPr>
          <w:p>
            <w:pPr>
              <w:spacing w:after="40" w:before="40" w:line="240" w:lineRule="auto"/>
              <w:jc w:val="left"/>
            </w:pPr>
            <w:r>
              <w:rPr>
                <w:rFonts w:ascii="Times New Roman" w:hAnsi="Times New Roman"/>
                <w:b w:val="0"/>
                <w:i w:val="0"/>
                <w:sz w:val="20"/>
                <w:u w:val="none"/>
              </w:rPr>
              <w:t>$210.000.000</w:t>
            </w:r>
          </w:p>
        </w:tc>
        <w:tc>
          <w:tcPr>
            <w:tcW w:type="dxa" w:w="1095"/>
          </w:tcPr>
          <w:p>
            <w:pPr>
              <w:spacing w:after="40" w:before="40" w:line="240" w:lineRule="auto"/>
              <w:jc w:val="left"/>
            </w:pPr>
            <w:r>
              <w:rPr>
                <w:rFonts w:ascii="Times New Roman" w:hAnsi="Times New Roman"/>
                <w:b w:val="0"/>
                <w:i w:val="0"/>
                <w:sz w:val="20"/>
                <w:u w:val="none"/>
              </w:rPr>
              <w:t>35 %</w:t>
            </w:r>
          </w:p>
        </w:tc>
        <w:tc>
          <w:tcPr>
            <w:tcW w:type="dxa" w:w="1095"/>
          </w:tcPr>
          <w:p>
            <w:pPr>
              <w:spacing w:after="40" w:before="40" w:line="240" w:lineRule="auto"/>
              <w:jc w:val="left"/>
            </w:pPr>
            <w:r>
              <w:rPr>
                <w:rFonts w:ascii="Times New Roman" w:hAnsi="Times New Roman"/>
                <w:b w:val="0"/>
                <w:i w:val="0"/>
                <w:sz w:val="20"/>
                <w:u w:val="none"/>
              </w:rPr>
              <w:t>002</w:t>
            </w:r>
          </w:p>
        </w:tc>
      </w:tr>
      <w:tr>
        <w:tc>
          <w:tcPr>
            <w:tcW w:type="dxa" w:w="2372"/>
            <w:shd w:val="clear" w:color="auto" w:fill="D9D9D9"/>
          </w:tcPr>
          <w:p>
            <w:pPr>
              <w:spacing w:after="40" w:before="40" w:line="240" w:lineRule="auto"/>
              <w:jc w:val="center"/>
            </w:pPr>
            <w:r>
              <w:rPr>
                <w:rFonts w:ascii="Times New Roman" w:hAnsi="Times New Roman"/>
                <w:b/>
                <w:i w:val="0"/>
                <w:sz w:val="20"/>
                <w:u w:val="none"/>
              </w:rPr>
              <w:t>TOTALES</w:t>
            </w:r>
          </w:p>
        </w:tc>
        <w:tc>
          <w:tcPr>
            <w:tcW w:type="dxa" w:w="1824"/>
            <w:shd w:val="clear" w:color="auto" w:fill="D9D9D9"/>
          </w:tcPr>
          <w:p>
            <w:pPr>
              <w:spacing w:after="40" w:before="40" w:line="240" w:lineRule="auto"/>
              <w:jc w:val="center"/>
            </w:pPr>
          </w:p>
        </w:tc>
        <w:tc>
          <w:tcPr>
            <w:tcW w:type="dxa" w:w="1277"/>
            <w:shd w:val="clear" w:color="auto" w:fill="D9D9D9"/>
          </w:tcPr>
          <w:p>
            <w:pPr>
              <w:spacing w:after="40" w:before="40" w:line="240" w:lineRule="auto"/>
              <w:jc w:val="center"/>
            </w:pPr>
            <w:r>
              <w:rPr>
                <w:rFonts w:ascii="Times New Roman" w:hAnsi="Times New Roman"/>
                <w:b/>
                <w:i w:val="0"/>
                <w:sz w:val="20"/>
                <w:u w:val="none"/>
              </w:rPr>
              <w:t>600.000</w:t>
            </w:r>
          </w:p>
        </w:tc>
        <w:tc>
          <w:tcPr>
            <w:tcW w:type="dxa" w:w="1460"/>
            <w:shd w:val="clear" w:color="auto" w:fill="D9D9D9"/>
          </w:tcPr>
          <w:p>
            <w:pPr>
              <w:spacing w:after="40" w:before="40" w:line="240" w:lineRule="auto"/>
              <w:jc w:val="center"/>
            </w:pPr>
            <w:r>
              <w:rPr>
                <w:rFonts w:ascii="Times New Roman" w:hAnsi="Times New Roman"/>
                <w:b/>
                <w:i w:val="0"/>
                <w:sz w:val="20"/>
                <w:u w:val="none"/>
              </w:rPr>
              <w:t>$600.000.000</w:t>
            </w:r>
          </w:p>
        </w:tc>
        <w:tc>
          <w:tcPr>
            <w:tcW w:type="dxa" w:w="1095"/>
            <w:shd w:val="clear" w:color="auto" w:fill="D9D9D9"/>
          </w:tcPr>
          <w:p>
            <w:pPr>
              <w:spacing w:after="40" w:before="40" w:line="240" w:lineRule="auto"/>
              <w:jc w:val="center"/>
            </w:pPr>
            <w:r>
              <w:rPr>
                <w:rFonts w:ascii="Times New Roman" w:hAnsi="Times New Roman"/>
                <w:b/>
                <w:i w:val="0"/>
                <w:sz w:val="20"/>
                <w:u w:val="none"/>
              </w:rPr>
              <w:t>100 %</w:t>
            </w:r>
          </w:p>
        </w:tc>
        <w:tc>
          <w:tcPr>
            <w:tcW w:type="dxa" w:w="1095"/>
            <w:shd w:val="clear" w:color="auto" w:fill="D9D9D9"/>
          </w:tcPr>
          <w:p>
            <w:pPr>
              <w:spacing w:after="40" w:before="40" w:line="240" w:lineRule="auto"/>
              <w:jc w:val="center"/>
            </w:pPr>
          </w:p>
        </w:tc>
      </w:tr>
    </w:tbl>
    <w:p>
      <w:pPr>
        <w:spacing w:after="80"/>
      </w:pPr>
    </w:p>
    <w:p>
      <w:r>
        <w:rPr>
          <w:rFonts w:ascii="Times New Roman" w:hAnsi="Times New Roman"/>
          <w:b/>
          <w:i w:val="0"/>
          <w:u w:val="none"/>
        </w:rPr>
        <w:t>Anotación sobre restricciones a la negociación.</w:t>
      </w:r>
      <w:r>
        <w:rPr>
          <w:rFonts w:ascii="Times New Roman" w:hAnsi="Times New Roman"/>
          <w:b w:val="0"/>
          <w:i w:val="0"/>
          <w:u w:val="none"/>
        </w:rPr>
        <w:t xml:space="preserve"> Se deja constancia, para efectos de su oponibilidad conforme al inciso final del artículo 13 de la Ley 1258 de 2008, de que las acciones inscritas en este libro se encuentran sujetas a las siguientes restricciones estatutarias: (i) </w:t>
      </w:r>
      <w:r>
        <w:rPr>
          <w:rFonts w:ascii="Times New Roman" w:hAnsi="Times New Roman"/>
          <w:b/>
          <w:i w:val="0"/>
          <w:u w:val="none"/>
        </w:rPr>
        <w:t>derecho de preferencia en la negociación</w:t>
      </w:r>
      <w:r>
        <w:rPr>
          <w:rFonts w:ascii="Times New Roman" w:hAnsi="Times New Roman"/>
          <w:b w:val="0"/>
          <w:i w:val="0"/>
          <w:u w:val="none"/>
        </w:rPr>
        <w:t xml:space="preserve"> a favor de la sociedad y de los demás accionistas, cuya inobservancia produce la </w:t>
      </w:r>
      <w:r>
        <w:rPr>
          <w:rFonts w:ascii="Times New Roman" w:hAnsi="Times New Roman"/>
          <w:b/>
          <w:i w:val="0"/>
          <w:u w:val="none"/>
        </w:rPr>
        <w:t>ineficacia de pleno derecho</w:t>
      </w:r>
      <w:r>
        <w:rPr>
          <w:rFonts w:ascii="Times New Roman" w:hAnsi="Times New Roman"/>
          <w:b w:val="0"/>
          <w:i w:val="0"/>
          <w:u w:val="none"/>
        </w:rPr>
        <w:t xml:space="preserve"> de la enajenación (artículo 14 de los estatutos); y (ii) </w:t>
      </w:r>
      <w:r>
        <w:rPr>
          <w:rFonts w:ascii="Times New Roman" w:hAnsi="Times New Roman"/>
          <w:b/>
          <w:i w:val="0"/>
          <w:u w:val="none"/>
        </w:rPr>
        <w:t>autorización previa de la asamblea general de accionistas</w:t>
      </w:r>
      <w:r>
        <w:rPr>
          <w:rFonts w:ascii="Times New Roman" w:hAnsi="Times New Roman"/>
          <w:b w:val="0"/>
          <w:i w:val="0"/>
          <w:u w:val="none"/>
        </w:rPr>
        <w:t>, adoptada con el voto favorable del setenta por ciento (70 %) de las acciones suscritas, para toda enajenación a favor de personas que no sean accionistas, restricción vigente por diez (10) años contados desde la inscripción del documento de constitución en el registro mercantil (artículo 15 de los estatutos). Estas restricciones se harán constar igualmente en los títulos representativos de las acciones.</w:t>
      </w:r>
    </w:p>
    <w:p>
      <w:r>
        <w:rPr>
          <w:rFonts w:ascii="Times New Roman" w:hAnsi="Times New Roman"/>
          <w:b/>
          <w:i w:val="0"/>
          <w:u w:val="none"/>
        </w:rPr>
        <w:t>Anotación sobre gravámenes.</w:t>
      </w:r>
      <w:r>
        <w:rPr>
          <w:rFonts w:ascii="Times New Roman" w:hAnsi="Times New Roman"/>
          <w:b w:val="0"/>
          <w:i w:val="0"/>
          <w:u w:val="none"/>
        </w:rPr>
        <w:t xml:space="preserve"> A la fecha de esta inscripción, las acciones no soportan embargo, prenda, usufructo, anticresis ni limitación alguna del dominio.</w:t>
      </w:r>
    </w:p>
    <w:p>
      <w:pPr>
        <w:spacing w:after="0"/>
      </w:pPr>
    </w:p>
    <w:p>
      <w:pPr>
        <w:spacing w:after="0"/>
      </w:pPr>
    </w:p>
    <w:p>
      <w:pPr>
        <w:spacing w:after="0"/>
        <w:jc w:val="left"/>
      </w:pPr>
      <w:r>
        <w:rPr>
          <w:rFonts w:ascii="Times New Roman" w:hAnsi="Times New Roman"/>
          <w:b w:val="0"/>
          <w:i w:val="0"/>
          <w:u w:val="none"/>
        </w:rPr>
        <w:t>________________________________________</w:t>
      </w:r>
    </w:p>
    <w:p>
      <w:pPr>
        <w:spacing w:after="0"/>
        <w:jc w:val="left"/>
      </w:pPr>
      <w:r>
        <w:rPr>
          <w:rFonts w:ascii="Times New Roman" w:hAnsi="Times New Roman"/>
          <w:b/>
          <w:i w:val="0"/>
          <w:sz w:val="22"/>
          <w:u w:val="none"/>
        </w:rPr>
        <w:t>MARIANA LÓPEZ CASTAÑO</w:t>
      </w:r>
    </w:p>
    <w:p>
      <w:pPr>
        <w:spacing w:after="0"/>
        <w:jc w:val="left"/>
      </w:pPr>
      <w:r>
        <w:rPr>
          <w:rFonts w:ascii="Times New Roman" w:hAnsi="Times New Roman"/>
          <w:b w:val="0"/>
          <w:i w:val="0"/>
          <w:sz w:val="22"/>
          <w:u w:val="none"/>
        </w:rPr>
        <w:t>C.C. 1.039.672.481 de Medellín</w:t>
      </w:r>
    </w:p>
    <w:p>
      <w:pPr>
        <w:spacing w:after="0"/>
        <w:jc w:val="left"/>
      </w:pPr>
      <w:r>
        <w:rPr>
          <w:rFonts w:ascii="Times New Roman" w:hAnsi="Times New Roman"/>
          <w:b w:val="0"/>
          <w:i w:val="0"/>
          <w:sz w:val="22"/>
          <w:u w:val="none"/>
        </w:rPr>
        <w:t>Representante legal</w:t>
      </w:r>
    </w:p>
    <w:p>
      <w:pPr>
        <w:spacing w:after="0"/>
        <w:jc w:val="left"/>
      </w:pPr>
      <w:r>
        <w:rPr>
          <w:rFonts w:ascii="Times New Roman" w:hAnsi="Times New Roman"/>
          <w:b w:val="0"/>
          <w:i w:val="0"/>
          <w:sz w:val="22"/>
          <w:u w:val="none"/>
        </w:rPr>
        <w:t>NOVA BIENESTAR INTEGRAL S.A.S.</w:t>
      </w:r>
    </w:p>
    <w:p>
      <w:pPr>
        <w:spacing w:after="0"/>
      </w:pPr>
    </w:p>
    <w:p>
      <w:pPr>
        <w:spacing w:after="160"/>
        <w:ind w:left="680" w:right="567"/>
      </w:pPr>
      <w:r>
        <w:rPr>
          <w:rFonts w:ascii="Times New Roman" w:hAnsi="Times New Roman"/>
          <w:b w:val="0"/>
          <w:i/>
          <w:sz w:val="22"/>
          <w:u w:val="none"/>
        </w:rPr>
        <w:t>Los folios siguientes quedan destinados a las inscripciones posteriores de traspasos, emisiones, gravámenes y limitaciones de dominio, las cuales deberán practicarse en estricto orden cronológico y numerarse en forma continua.</w:t>
      </w:r>
    </w:p>
    <w:sectPr w:rsidR="00FC693F" w:rsidRPr="0006063C" w:rsidSect="00034616">
      <w:headerReference w:type="default" r:id="rId9"/>
      <w:footerReference w:type="default" r:id="rId10"/>
      <w:pgSz w:w="12240" w:h="15840"/>
      <w:pgMar w:top="1701" w:right="1417" w:bottom="1417" w:left="1701"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555555"/>
        <w:sz w:val="16"/>
      </w:rPr>
      <w:t xml:space="preserve">Solicitud de inscripción de libros  |  </w:t>
    </w:r>
    <w:r>
      <w:rPr>
        <w:rFonts w:ascii="Times New Roman" w:hAnsi="Times New Roman"/>
        <w:color w:val="555555"/>
        <w:sz w:val="16"/>
      </w:rPr>
      <w:t xml:space="preserve">Página </w:t>
    </w:r>
    <w:r>
      <w:rPr>
        <w:rFonts w:ascii="Times New Roman" w:hAnsi="Times New Roman"/>
        <w:color w:val="555555"/>
        <w:sz w:val="16"/>
      </w:rPr>
      <w:fldChar w:fldCharType="begin"/>
      <w:instrText xml:space="preserve"> PAGE </w:instrText>
      <w:fldChar w:fldCharType="end"/>
    </w:r>
    <w:r>
      <w:rPr>
        <w:rFonts w:ascii="Times New Roman" w:hAnsi="Times New Roman"/>
        <w:color w:val="555555"/>
        <w:sz w:val="16"/>
      </w:rPr>
      <w:t xml:space="preserve"> de </w:t>
    </w:r>
    <w:r>
      <w:rPr>
        <w:rFonts w:ascii="Times New Roman" w:hAnsi="Times New Roman"/>
        <w:color w:val="555555"/>
        <w:sz w:val="16"/>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4" w:space="1" w:color="AAAAAA"/>
      </w:pBdr>
    </w:pPr>
    <w:r>
      <w:rPr>
        <w:rFonts w:ascii="Times New Roman" w:hAnsi="Times New Roman"/>
        <w:i/>
        <w:color w:val="555555"/>
        <w:sz w:val="16"/>
      </w:rPr>
      <w:t>NOVA BIENESTAR INTEGRAL S.A.S. Inscripción de libros de comercio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