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LIBRO DE ACTAS DE LA ASAMBLEA GENERAL DE ACCIONISTAS</w:t>
      </w:r>
    </w:p>
    <w:p>
      <w:pPr>
        <w:spacing w:after="280"/>
        <w:jc w:val="center"/>
      </w:pPr>
      <w:r>
        <w:rPr>
          <w:rFonts w:ascii="Times New Roman" w:hAnsi="Times New Roman"/>
          <w:b/>
          <w:i w:val="0"/>
          <w:sz w:val="24"/>
          <w:u w:val="none"/>
        </w:rPr>
        <w:t>NOVA BIENESTAR INTEGRAL S.A.S. Folio de apertura</w:t>
      </w:r>
    </w:p>
    <w:p>
      <w:r>
        <w:rPr>
          <w:rFonts w:ascii="Times New Roman" w:hAnsi="Times New Roman"/>
          <w:b/>
          <w:i w:val="0"/>
          <w:u w:val="none"/>
        </w:rPr>
        <w:t>Nota de apertura.</w:t>
      </w:r>
      <w:r>
        <w:rPr>
          <w:rFonts w:ascii="Times New Roman" w:hAnsi="Times New Roman"/>
          <w:b w:val="0"/>
          <w:i w:val="0"/>
          <w:u w:val="none"/>
        </w:rPr>
        <w:t xml:space="preserve"> El presente libro se abre el primero (1) de octubre de dos mil veintiséis (2026), previa su inscripción en el registro mercantil de la Cámara de Comercio de Medellín para Antioquia, con destino al asiento de las actas de las reuniones ordinarias, extraordinarias, universales y no presenciales de la asamblea general de accionistas de la sociedad NOVA BIENESTAR INTEGRAL S.A.S., de conformidad con los artículos 189 del Código de Comercio, 175 del Decreto Ley 019 de 2012 y 24 de los estatutos sociales.</w:t>
      </w:r>
    </w:p>
    <w:p>
      <w:r>
        <w:rPr>
          <w:rFonts w:ascii="Times New Roman" w:hAnsi="Times New Roman"/>
          <w:b/>
          <w:i w:val="0"/>
          <w:u w:val="none"/>
        </w:rPr>
        <w:t>Advertencia sobre la naturaleza de esta acta.</w:t>
      </w:r>
      <w:r>
        <w:rPr>
          <w:rFonts w:ascii="Times New Roman" w:hAnsi="Times New Roman"/>
          <w:b w:val="0"/>
          <w:i w:val="0"/>
          <w:u w:val="none"/>
        </w:rPr>
        <w:t xml:space="preserve"> El acta que sigue </w:t>
      </w:r>
      <w:r>
        <w:rPr>
          <w:rFonts w:ascii="Times New Roman" w:hAnsi="Times New Roman"/>
          <w:b/>
          <w:i w:val="0"/>
          <w:u w:val="none"/>
        </w:rPr>
        <w:t>no es un requisito de la matrícula mercantil</w:t>
      </w:r>
      <w:r>
        <w:rPr>
          <w:rFonts w:ascii="Times New Roman" w:hAnsi="Times New Roman"/>
          <w:b w:val="0"/>
          <w:i w:val="0"/>
          <w:u w:val="none"/>
        </w:rPr>
        <w:t>: los nombramientos de los administradores ya constan en el artículo transitorio 1.º del documento privado de constitución, y es ese documento, no un acta, el que la Cámara inscribe. Su elaboración obedece a una razón distinta: una sociedad recién constituida necesita adoptar un conjunto de decisiones de puesta en marcha que no caben en los estatutos, y el libro de actas debe abrirse con una primera anotación. Omitir esta actuación es una informalidad frecuente que después dificulta acreditar decisiones ante bancos, aseguradoras y contratantes.</w:t>
      </w:r>
    </w:p>
    <w:p>
      <w:r>
        <w:br w:type="page"/>
      </w:r>
    </w:p>
    <w:p>
      <w:pPr>
        <w:spacing w:before="0" w:after="80"/>
        <w:jc w:val="center"/>
      </w:pPr>
      <w:r>
        <w:rPr>
          <w:rFonts w:ascii="Times New Roman" w:hAnsi="Times New Roman"/>
          <w:b/>
          <w:i w:val="0"/>
          <w:sz w:val="28"/>
          <w:u w:val="none"/>
        </w:rPr>
        <w:t>ACTA N.º 1</w:t>
      </w:r>
    </w:p>
    <w:p>
      <w:pPr>
        <w:spacing w:after="280"/>
        <w:jc w:val="center"/>
      </w:pPr>
      <w:r>
        <w:rPr>
          <w:rFonts w:ascii="Times New Roman" w:hAnsi="Times New Roman"/>
          <w:b/>
          <w:i w:val="0"/>
          <w:sz w:val="24"/>
          <w:u w:val="none"/>
        </w:rPr>
        <w:t>Asamblea general de accionistas. Reunión universal de instalación</w:t>
      </w:r>
    </w:p>
    <w:p>
      <w:pPr>
        <w:keepNext/>
        <w:spacing w:before="240" w:after="80"/>
        <w:jc w:val="left"/>
      </w:pPr>
      <w:r>
        <w:rPr>
          <w:rFonts w:ascii="Times New Roman" w:hAnsi="Times New Roman"/>
          <w:b/>
          <w:i w:val="0"/>
          <w:sz w:val="24"/>
          <w:u w:val="none"/>
        </w:rPr>
        <w:t>1. Datos de la reunión</w:t>
      </w:r>
    </w:p>
    <w:tbl>
      <w:tblPr>
        <w:tblStyle w:val="TableGrid"/>
        <w:tblW w:type="auto" w:w="0"/>
        <w:jc w:val="center"/>
        <w:tblLayout w:type="fixed"/>
        <w:tblLook w:firstColumn="1" w:firstRow="1" w:lastColumn="0" w:lastRow="0" w:noHBand="0" w:noVBand="1" w:val="04A0"/>
        <w:tblW w:w="9122" w:type="dxa"/>
        <w:tblLayout w:type="fixed"/>
      </w:tblPr>
      <w:tblGrid>
        <w:gridCol w:w="3193"/>
        <w:gridCol w:w="5929"/>
      </w:tblGrid>
      <w:tr>
        <w:tc>
          <w:tcPr>
            <w:tcW w:type="dxa" w:w="3193"/>
            <w:shd w:val="clear" w:color="auto" w:fill="D9D9D9"/>
          </w:tcPr>
          <w:p>
            <w:pPr>
              <w:spacing w:after="40" w:before="40" w:line="240" w:lineRule="auto"/>
              <w:jc w:val="center"/>
            </w:pPr>
            <w:r>
              <w:rPr>
                <w:rFonts w:ascii="Times New Roman" w:hAnsi="Times New Roman"/>
                <w:b/>
                <w:i w:val="0"/>
                <w:sz w:val="20"/>
                <w:u w:val="none"/>
              </w:rPr>
              <w:t>Concepto</w:t>
            </w:r>
          </w:p>
        </w:tc>
        <w:tc>
          <w:tcPr>
            <w:tcW w:type="dxa" w:w="5929"/>
            <w:shd w:val="clear" w:color="auto" w:fill="D9D9D9"/>
          </w:tcPr>
          <w:p>
            <w:pPr>
              <w:spacing w:after="40" w:before="40" w:line="240" w:lineRule="auto"/>
              <w:jc w:val="center"/>
            </w:pPr>
            <w:r>
              <w:rPr>
                <w:rFonts w:ascii="Times New Roman" w:hAnsi="Times New Roman"/>
                <w:b/>
                <w:i w:val="0"/>
                <w:sz w:val="20"/>
                <w:u w:val="none"/>
              </w:rPr>
              <w:t>Contenido</w:t>
            </w:r>
          </w:p>
        </w:tc>
      </w:tr>
      <w:tr>
        <w:tc>
          <w:tcPr>
            <w:tcW w:type="dxa" w:w="3193"/>
          </w:tcPr>
          <w:p>
            <w:pPr>
              <w:spacing w:after="40" w:before="40" w:line="240" w:lineRule="auto"/>
              <w:jc w:val="left"/>
            </w:pPr>
            <w:r>
              <w:rPr>
                <w:rFonts w:ascii="Times New Roman" w:hAnsi="Times New Roman"/>
                <w:b w:val="0"/>
                <w:i w:val="0"/>
                <w:sz w:val="20"/>
                <w:u w:val="none"/>
              </w:rPr>
              <w:t>Sociedad</w:t>
            </w:r>
          </w:p>
        </w:tc>
        <w:tc>
          <w:tcPr>
            <w:tcW w:type="dxa" w:w="5929"/>
          </w:tcPr>
          <w:p>
            <w:pPr>
              <w:spacing w:after="40" w:before="40" w:line="240" w:lineRule="auto"/>
              <w:jc w:val="left"/>
            </w:pPr>
            <w:r>
              <w:rPr>
                <w:rFonts w:ascii="Times New Roman" w:hAnsi="Times New Roman"/>
                <w:b w:val="0"/>
                <w:i w:val="0"/>
                <w:sz w:val="20"/>
                <w:u w:val="none"/>
              </w:rPr>
              <w:t>NOVA BIENESTAR INTEGRAL S.A.S.</w:t>
            </w:r>
          </w:p>
        </w:tc>
      </w:tr>
      <w:tr>
        <w:tc>
          <w:tcPr>
            <w:tcW w:type="dxa" w:w="3193"/>
          </w:tcPr>
          <w:p>
            <w:pPr>
              <w:spacing w:after="40" w:before="40" w:line="240" w:lineRule="auto"/>
              <w:jc w:val="left"/>
            </w:pPr>
            <w:r>
              <w:rPr>
                <w:rFonts w:ascii="Times New Roman" w:hAnsi="Times New Roman"/>
                <w:b w:val="0"/>
                <w:i w:val="0"/>
                <w:sz w:val="20"/>
                <w:u w:val="none"/>
              </w:rPr>
              <w:t>NIT</w:t>
            </w:r>
          </w:p>
        </w:tc>
        <w:tc>
          <w:tcPr>
            <w:tcW w:type="dxa" w:w="5929"/>
          </w:tcPr>
          <w:p>
            <w:pPr>
              <w:spacing w:after="40" w:before="40" w:line="240" w:lineRule="auto"/>
              <w:jc w:val="left"/>
            </w:pPr>
            <w:r>
              <w:rPr>
                <w:rFonts w:ascii="Times New Roman" w:hAnsi="Times New Roman"/>
                <w:b w:val="0"/>
                <w:i w:val="0"/>
                <w:sz w:val="20"/>
                <w:u w:val="none"/>
              </w:rPr>
              <w:t>____________</w:t>
            </w:r>
          </w:p>
        </w:tc>
      </w:tr>
      <w:tr>
        <w:tc>
          <w:tcPr>
            <w:tcW w:type="dxa" w:w="3193"/>
          </w:tcPr>
          <w:p>
            <w:pPr>
              <w:spacing w:after="40" w:before="40" w:line="240" w:lineRule="auto"/>
              <w:jc w:val="left"/>
            </w:pPr>
            <w:r>
              <w:rPr>
                <w:rFonts w:ascii="Times New Roman" w:hAnsi="Times New Roman"/>
                <w:b w:val="0"/>
                <w:i w:val="0"/>
                <w:sz w:val="20"/>
                <w:u w:val="none"/>
              </w:rPr>
              <w:t>Clase de reunión</w:t>
            </w:r>
          </w:p>
        </w:tc>
        <w:tc>
          <w:tcPr>
            <w:tcW w:type="dxa" w:w="5929"/>
          </w:tcPr>
          <w:p>
            <w:pPr>
              <w:spacing w:after="40" w:before="40" w:line="240" w:lineRule="auto"/>
              <w:jc w:val="left"/>
            </w:pPr>
            <w:r>
              <w:rPr>
                <w:rFonts w:ascii="Times New Roman" w:hAnsi="Times New Roman"/>
                <w:b w:val="0"/>
                <w:i w:val="0"/>
                <w:sz w:val="20"/>
                <w:u w:val="none"/>
              </w:rPr>
              <w:t xml:space="preserve">Extraordinaria, </w:t>
            </w:r>
            <w:r>
              <w:rPr>
                <w:rFonts w:ascii="Times New Roman" w:hAnsi="Times New Roman"/>
                <w:b/>
                <w:i w:val="0"/>
                <w:sz w:val="20"/>
                <w:u w:val="none"/>
              </w:rPr>
              <w:t>universal</w:t>
            </w:r>
            <w:r>
              <w:rPr>
                <w:rFonts w:ascii="Times New Roman" w:hAnsi="Times New Roman"/>
                <w:b w:val="0"/>
                <w:i w:val="0"/>
                <w:sz w:val="20"/>
                <w:u w:val="none"/>
              </w:rPr>
              <w:t>, sin convocatoria previa</w:t>
            </w:r>
          </w:p>
        </w:tc>
      </w:tr>
      <w:tr>
        <w:tc>
          <w:tcPr>
            <w:tcW w:type="dxa" w:w="3193"/>
          </w:tcPr>
          <w:p>
            <w:pPr>
              <w:spacing w:after="40" w:before="40" w:line="240" w:lineRule="auto"/>
              <w:jc w:val="left"/>
            </w:pPr>
            <w:r>
              <w:rPr>
                <w:rFonts w:ascii="Times New Roman" w:hAnsi="Times New Roman"/>
                <w:b w:val="0"/>
                <w:i w:val="0"/>
                <w:sz w:val="20"/>
                <w:u w:val="none"/>
              </w:rPr>
              <w:t>Fecha</w:t>
            </w:r>
          </w:p>
        </w:tc>
        <w:tc>
          <w:tcPr>
            <w:tcW w:type="dxa" w:w="5929"/>
          </w:tcPr>
          <w:p>
            <w:pPr>
              <w:spacing w:after="40" w:before="40" w:line="240" w:lineRule="auto"/>
              <w:jc w:val="left"/>
            </w:pPr>
            <w:r>
              <w:rPr>
                <w:rFonts w:ascii="Times New Roman" w:hAnsi="Times New Roman"/>
                <w:b w:val="0"/>
                <w:i w:val="0"/>
                <w:sz w:val="20"/>
                <w:u w:val="none"/>
              </w:rPr>
              <w:t>Primero (1) de octubre de dos mil veintiséis (2026)</w:t>
            </w:r>
          </w:p>
        </w:tc>
      </w:tr>
      <w:tr>
        <w:tc>
          <w:tcPr>
            <w:tcW w:type="dxa" w:w="3193"/>
          </w:tcPr>
          <w:p>
            <w:pPr>
              <w:spacing w:after="40" w:before="40" w:line="240" w:lineRule="auto"/>
              <w:jc w:val="left"/>
            </w:pPr>
            <w:r>
              <w:rPr>
                <w:rFonts w:ascii="Times New Roman" w:hAnsi="Times New Roman"/>
                <w:b w:val="0"/>
                <w:i w:val="0"/>
                <w:sz w:val="20"/>
                <w:u w:val="none"/>
              </w:rPr>
              <w:t>Hora de inicio</w:t>
            </w:r>
          </w:p>
        </w:tc>
        <w:tc>
          <w:tcPr>
            <w:tcW w:type="dxa" w:w="5929"/>
          </w:tcPr>
          <w:p>
            <w:pPr>
              <w:spacing w:after="40" w:before="40" w:line="240" w:lineRule="auto"/>
              <w:jc w:val="left"/>
            </w:pPr>
            <w:r>
              <w:rPr>
                <w:rFonts w:ascii="Times New Roman" w:hAnsi="Times New Roman"/>
                <w:b w:val="0"/>
                <w:i w:val="0"/>
                <w:sz w:val="20"/>
                <w:u w:val="none"/>
              </w:rPr>
              <w:t>10:00 a. m.</w:t>
            </w:r>
          </w:p>
        </w:tc>
      </w:tr>
      <w:tr>
        <w:tc>
          <w:tcPr>
            <w:tcW w:type="dxa" w:w="3193"/>
          </w:tcPr>
          <w:p>
            <w:pPr>
              <w:spacing w:after="40" w:before="40" w:line="240" w:lineRule="auto"/>
              <w:jc w:val="left"/>
            </w:pPr>
            <w:r>
              <w:rPr>
                <w:rFonts w:ascii="Times New Roman" w:hAnsi="Times New Roman"/>
                <w:b w:val="0"/>
                <w:i w:val="0"/>
                <w:sz w:val="20"/>
                <w:u w:val="none"/>
              </w:rPr>
              <w:t>Lugar</w:t>
            </w:r>
          </w:p>
        </w:tc>
        <w:tc>
          <w:tcPr>
            <w:tcW w:type="dxa" w:w="5929"/>
          </w:tcPr>
          <w:p>
            <w:pPr>
              <w:spacing w:after="40" w:before="40" w:line="240" w:lineRule="auto"/>
              <w:jc w:val="left"/>
            </w:pPr>
            <w:r>
              <w:rPr>
                <w:rFonts w:ascii="Times New Roman" w:hAnsi="Times New Roman"/>
                <w:b w:val="0"/>
                <w:i w:val="0"/>
                <w:sz w:val="20"/>
                <w:u w:val="none"/>
              </w:rPr>
              <w:t>Carrera 37 n.º 10A-58, oficina 804, Medellín (Antioquia), domicilio principal</w:t>
            </w:r>
          </w:p>
        </w:tc>
      </w:tr>
      <w:tr>
        <w:tc>
          <w:tcPr>
            <w:tcW w:type="dxa" w:w="3193"/>
          </w:tcPr>
          <w:p>
            <w:pPr>
              <w:spacing w:after="40" w:before="40" w:line="240" w:lineRule="auto"/>
              <w:jc w:val="left"/>
            </w:pPr>
            <w:r>
              <w:rPr>
                <w:rFonts w:ascii="Times New Roman" w:hAnsi="Times New Roman"/>
                <w:b w:val="0"/>
                <w:i w:val="0"/>
                <w:sz w:val="20"/>
                <w:u w:val="none"/>
              </w:rPr>
              <w:t>Fundamento de la reunión universal</w:t>
            </w:r>
          </w:p>
        </w:tc>
        <w:tc>
          <w:tcPr>
            <w:tcW w:type="dxa" w:w="5929"/>
          </w:tcPr>
          <w:p>
            <w:pPr>
              <w:spacing w:after="40" w:before="40" w:line="240" w:lineRule="auto"/>
              <w:jc w:val="left"/>
            </w:pPr>
            <w:r>
              <w:rPr>
                <w:rFonts w:ascii="Times New Roman" w:hAnsi="Times New Roman"/>
                <w:b w:val="0"/>
                <w:i w:val="0"/>
                <w:sz w:val="20"/>
                <w:u w:val="none"/>
              </w:rPr>
              <w:t>Parágrafo tercero del artículo 20 de los estatutos y artículo 426 del Código de Comercio: hallándose presente la totalidad de las acciones suscritas, la asamblea puede reunirse sin convocatoria previa y en cualquier lugar.</w:t>
            </w:r>
          </w:p>
        </w:tc>
      </w:tr>
    </w:tbl>
    <w:p>
      <w:pPr>
        <w:spacing w:after="80"/>
      </w:pPr>
    </w:p>
    <w:p>
      <w:pPr>
        <w:keepNext/>
        <w:spacing w:before="240" w:after="80"/>
        <w:jc w:val="left"/>
      </w:pPr>
      <w:r>
        <w:rPr>
          <w:rFonts w:ascii="Times New Roman" w:hAnsi="Times New Roman"/>
          <w:b/>
          <w:i w:val="0"/>
          <w:sz w:val="24"/>
          <w:u w:val="none"/>
        </w:rPr>
        <w:t>2. Verificación del quórum</w:t>
      </w:r>
    </w:p>
    <w:tbl>
      <w:tblPr>
        <w:tblStyle w:val="TableGrid"/>
        <w:tblW w:type="auto" w:w="0"/>
        <w:jc w:val="center"/>
        <w:tblLayout w:type="fixed"/>
        <w:tblLook w:firstColumn="1" w:firstRow="1" w:lastColumn="0" w:lastRow="0" w:noHBand="0" w:noVBand="1" w:val="04A0"/>
        <w:tblW w:w="9121" w:type="dxa"/>
        <w:tblLayout w:type="fixed"/>
      </w:tblPr>
      <w:tblGrid>
        <w:gridCol w:w="3101"/>
        <w:gridCol w:w="1824"/>
        <w:gridCol w:w="1460"/>
        <w:gridCol w:w="1368"/>
        <w:gridCol w:w="1368"/>
      </w:tblGrid>
      <w:tr>
        <w:tc>
          <w:tcPr>
            <w:tcW w:type="dxa" w:w="3101"/>
            <w:shd w:val="clear" w:color="auto" w:fill="D9D9D9"/>
          </w:tcPr>
          <w:p>
            <w:pPr>
              <w:spacing w:after="40" w:before="40" w:line="240" w:lineRule="auto"/>
              <w:jc w:val="center"/>
            </w:pPr>
            <w:r>
              <w:rPr>
                <w:rFonts w:ascii="Times New Roman" w:hAnsi="Times New Roman"/>
                <w:b/>
                <w:i w:val="0"/>
                <w:sz w:val="20"/>
                <w:u w:val="none"/>
              </w:rPr>
              <w:t>Accionista</w:t>
            </w:r>
          </w:p>
        </w:tc>
        <w:tc>
          <w:tcPr>
            <w:tcW w:type="dxa" w:w="1824"/>
            <w:shd w:val="clear" w:color="auto" w:fill="D9D9D9"/>
          </w:tcPr>
          <w:p>
            <w:pPr>
              <w:spacing w:after="40" w:before="40" w:line="240" w:lineRule="auto"/>
              <w:jc w:val="center"/>
            </w:pPr>
            <w:r>
              <w:rPr>
                <w:rFonts w:ascii="Times New Roman" w:hAnsi="Times New Roman"/>
                <w:b/>
                <w:i w:val="0"/>
                <w:sz w:val="20"/>
                <w:u w:val="none"/>
              </w:rPr>
              <w:t>Documento</w:t>
            </w:r>
          </w:p>
        </w:tc>
        <w:tc>
          <w:tcPr>
            <w:tcW w:type="dxa" w:w="1460"/>
            <w:shd w:val="clear" w:color="auto" w:fill="D9D9D9"/>
          </w:tcPr>
          <w:p>
            <w:pPr>
              <w:spacing w:after="40" w:before="40" w:line="240" w:lineRule="auto"/>
              <w:jc w:val="center"/>
            </w:pPr>
            <w:r>
              <w:rPr>
                <w:rFonts w:ascii="Times New Roman" w:hAnsi="Times New Roman"/>
                <w:b/>
                <w:i w:val="0"/>
                <w:sz w:val="20"/>
                <w:u w:val="none"/>
              </w:rPr>
              <w:t>Acciones</w:t>
            </w:r>
          </w:p>
        </w:tc>
        <w:tc>
          <w:tcPr>
            <w:tcW w:type="dxa" w:w="1368"/>
            <w:shd w:val="clear" w:color="auto" w:fill="D9D9D9"/>
          </w:tcPr>
          <w:p>
            <w:pPr>
              <w:spacing w:after="40" w:before="40" w:line="240" w:lineRule="auto"/>
              <w:jc w:val="center"/>
            </w:pPr>
            <w:r>
              <w:rPr>
                <w:rFonts w:ascii="Times New Roman" w:hAnsi="Times New Roman"/>
                <w:b/>
                <w:i w:val="0"/>
                <w:sz w:val="20"/>
                <w:u w:val="none"/>
              </w:rPr>
              <w:t>Participación</w:t>
            </w:r>
          </w:p>
        </w:tc>
        <w:tc>
          <w:tcPr>
            <w:tcW w:type="dxa" w:w="1368"/>
            <w:shd w:val="clear" w:color="auto" w:fill="D9D9D9"/>
          </w:tcPr>
          <w:p>
            <w:pPr>
              <w:spacing w:after="40" w:before="40" w:line="240" w:lineRule="auto"/>
              <w:jc w:val="center"/>
            </w:pPr>
            <w:r>
              <w:rPr>
                <w:rFonts w:ascii="Times New Roman" w:hAnsi="Times New Roman"/>
                <w:b/>
                <w:i w:val="0"/>
                <w:sz w:val="20"/>
                <w:u w:val="none"/>
              </w:rPr>
              <w:t>Asistencia</w:t>
            </w:r>
          </w:p>
        </w:tc>
      </w:tr>
      <w:tr>
        <w:tc>
          <w:tcPr>
            <w:tcW w:type="dxa" w:w="3101"/>
          </w:tcPr>
          <w:p>
            <w:pPr>
              <w:spacing w:after="40" w:before="40" w:line="240" w:lineRule="auto"/>
              <w:jc w:val="left"/>
            </w:pPr>
            <w:r>
              <w:rPr>
                <w:rFonts w:ascii="Times New Roman" w:hAnsi="Times New Roman"/>
                <w:b w:val="0"/>
                <w:i w:val="0"/>
                <w:sz w:val="20"/>
                <w:u w:val="none"/>
              </w:rPr>
              <w:t>Mariana López Castaño</w:t>
            </w:r>
          </w:p>
        </w:tc>
        <w:tc>
          <w:tcPr>
            <w:tcW w:type="dxa" w:w="1824"/>
          </w:tcPr>
          <w:p>
            <w:pPr>
              <w:spacing w:after="40" w:before="40" w:line="240" w:lineRule="auto"/>
              <w:jc w:val="left"/>
            </w:pPr>
            <w:r>
              <w:rPr>
                <w:rFonts w:ascii="Times New Roman" w:hAnsi="Times New Roman"/>
                <w:b w:val="0"/>
                <w:i w:val="0"/>
                <w:sz w:val="20"/>
                <w:u w:val="none"/>
              </w:rPr>
              <w:t>C.C. 1.039.672.481</w:t>
            </w:r>
          </w:p>
        </w:tc>
        <w:tc>
          <w:tcPr>
            <w:tcW w:type="dxa" w:w="1460"/>
          </w:tcPr>
          <w:p>
            <w:pPr>
              <w:spacing w:after="40" w:before="40" w:line="240" w:lineRule="auto"/>
              <w:jc w:val="left"/>
            </w:pPr>
            <w:r>
              <w:rPr>
                <w:rFonts w:ascii="Times New Roman" w:hAnsi="Times New Roman"/>
                <w:b w:val="0"/>
                <w:i w:val="0"/>
                <w:sz w:val="20"/>
                <w:u w:val="none"/>
              </w:rPr>
              <w:t>390.000</w:t>
            </w:r>
          </w:p>
        </w:tc>
        <w:tc>
          <w:tcPr>
            <w:tcW w:type="dxa" w:w="1368"/>
          </w:tcPr>
          <w:p>
            <w:pPr>
              <w:spacing w:after="40" w:before="40" w:line="240" w:lineRule="auto"/>
              <w:jc w:val="left"/>
            </w:pPr>
            <w:r>
              <w:rPr>
                <w:rFonts w:ascii="Times New Roman" w:hAnsi="Times New Roman"/>
                <w:b w:val="0"/>
                <w:i w:val="0"/>
                <w:sz w:val="20"/>
                <w:u w:val="none"/>
              </w:rPr>
              <w:t>65 %</w:t>
            </w:r>
          </w:p>
        </w:tc>
        <w:tc>
          <w:tcPr>
            <w:tcW w:type="dxa" w:w="1368"/>
          </w:tcPr>
          <w:p>
            <w:pPr>
              <w:spacing w:after="40" w:before="40" w:line="240" w:lineRule="auto"/>
              <w:jc w:val="left"/>
            </w:pPr>
            <w:r>
              <w:rPr>
                <w:rFonts w:ascii="Times New Roman" w:hAnsi="Times New Roman"/>
                <w:b w:val="0"/>
                <w:i w:val="0"/>
                <w:sz w:val="20"/>
                <w:u w:val="none"/>
              </w:rPr>
              <w:t>Personal</w:t>
            </w:r>
          </w:p>
        </w:tc>
      </w:tr>
      <w:tr>
        <w:tc>
          <w:tcPr>
            <w:tcW w:type="dxa" w:w="3101"/>
          </w:tcPr>
          <w:p>
            <w:pPr>
              <w:spacing w:after="40" w:before="40" w:line="240" w:lineRule="auto"/>
              <w:jc w:val="left"/>
            </w:pPr>
            <w:r>
              <w:rPr>
                <w:rFonts w:ascii="Times New Roman" w:hAnsi="Times New Roman"/>
                <w:b w:val="0"/>
                <w:i w:val="0"/>
                <w:sz w:val="20"/>
                <w:u w:val="none"/>
              </w:rPr>
              <w:t>Felipe Andrés Gómez Vélez</w:t>
            </w:r>
          </w:p>
        </w:tc>
        <w:tc>
          <w:tcPr>
            <w:tcW w:type="dxa" w:w="1824"/>
          </w:tcPr>
          <w:p>
            <w:pPr>
              <w:spacing w:after="40" w:before="40" w:line="240" w:lineRule="auto"/>
              <w:jc w:val="left"/>
            </w:pPr>
            <w:r>
              <w:rPr>
                <w:rFonts w:ascii="Times New Roman" w:hAnsi="Times New Roman"/>
                <w:b w:val="0"/>
                <w:i w:val="0"/>
                <w:sz w:val="20"/>
                <w:u w:val="none"/>
              </w:rPr>
              <w:t>C.C. 1.152.846.390</w:t>
            </w:r>
          </w:p>
        </w:tc>
        <w:tc>
          <w:tcPr>
            <w:tcW w:type="dxa" w:w="1460"/>
          </w:tcPr>
          <w:p>
            <w:pPr>
              <w:spacing w:after="40" w:before="40" w:line="240" w:lineRule="auto"/>
              <w:jc w:val="left"/>
            </w:pPr>
            <w:r>
              <w:rPr>
                <w:rFonts w:ascii="Times New Roman" w:hAnsi="Times New Roman"/>
                <w:b w:val="0"/>
                <w:i w:val="0"/>
                <w:sz w:val="20"/>
                <w:u w:val="none"/>
              </w:rPr>
              <w:t>210.000</w:t>
            </w:r>
          </w:p>
        </w:tc>
        <w:tc>
          <w:tcPr>
            <w:tcW w:type="dxa" w:w="1368"/>
          </w:tcPr>
          <w:p>
            <w:pPr>
              <w:spacing w:after="40" w:before="40" w:line="240" w:lineRule="auto"/>
              <w:jc w:val="left"/>
            </w:pPr>
            <w:r>
              <w:rPr>
                <w:rFonts w:ascii="Times New Roman" w:hAnsi="Times New Roman"/>
                <w:b w:val="0"/>
                <w:i w:val="0"/>
                <w:sz w:val="20"/>
                <w:u w:val="none"/>
              </w:rPr>
              <w:t>35 %</w:t>
            </w:r>
          </w:p>
        </w:tc>
        <w:tc>
          <w:tcPr>
            <w:tcW w:type="dxa" w:w="1368"/>
          </w:tcPr>
          <w:p>
            <w:pPr>
              <w:spacing w:after="40" w:before="40" w:line="240" w:lineRule="auto"/>
              <w:jc w:val="left"/>
            </w:pPr>
            <w:r>
              <w:rPr>
                <w:rFonts w:ascii="Times New Roman" w:hAnsi="Times New Roman"/>
                <w:b w:val="0"/>
                <w:i w:val="0"/>
                <w:sz w:val="20"/>
                <w:u w:val="none"/>
              </w:rPr>
              <w:t>Personal</w:t>
            </w:r>
          </w:p>
        </w:tc>
      </w:tr>
      <w:tr>
        <w:tc>
          <w:tcPr>
            <w:tcW w:type="dxa" w:w="3101"/>
            <w:shd w:val="clear" w:color="auto" w:fill="D9D9D9"/>
          </w:tcPr>
          <w:p>
            <w:pPr>
              <w:spacing w:after="40" w:before="40" w:line="240" w:lineRule="auto"/>
              <w:jc w:val="center"/>
            </w:pPr>
            <w:r>
              <w:rPr>
                <w:rFonts w:ascii="Times New Roman" w:hAnsi="Times New Roman"/>
                <w:b/>
                <w:i w:val="0"/>
                <w:sz w:val="20"/>
                <w:u w:val="none"/>
              </w:rPr>
              <w:t>TOTALES</w:t>
            </w:r>
          </w:p>
        </w:tc>
        <w:tc>
          <w:tcPr>
            <w:tcW w:type="dxa" w:w="1824"/>
            <w:shd w:val="clear" w:color="auto" w:fill="D9D9D9"/>
          </w:tcPr>
          <w:p>
            <w:pPr>
              <w:spacing w:after="40" w:before="40" w:line="240" w:lineRule="auto"/>
              <w:jc w:val="center"/>
            </w:pPr>
          </w:p>
        </w:tc>
        <w:tc>
          <w:tcPr>
            <w:tcW w:type="dxa" w:w="1460"/>
            <w:shd w:val="clear" w:color="auto" w:fill="D9D9D9"/>
          </w:tcPr>
          <w:p>
            <w:pPr>
              <w:spacing w:after="40" w:before="40" w:line="240" w:lineRule="auto"/>
              <w:jc w:val="center"/>
            </w:pPr>
            <w:r>
              <w:rPr>
                <w:rFonts w:ascii="Times New Roman" w:hAnsi="Times New Roman"/>
                <w:b/>
                <w:i w:val="0"/>
                <w:sz w:val="20"/>
                <w:u w:val="none"/>
              </w:rPr>
              <w:t>600.000</w:t>
            </w:r>
          </w:p>
        </w:tc>
        <w:tc>
          <w:tcPr>
            <w:tcW w:type="dxa" w:w="1368"/>
            <w:shd w:val="clear" w:color="auto" w:fill="D9D9D9"/>
          </w:tcPr>
          <w:p>
            <w:pPr>
              <w:spacing w:after="40" w:before="40" w:line="240" w:lineRule="auto"/>
              <w:jc w:val="center"/>
            </w:pPr>
            <w:r>
              <w:rPr>
                <w:rFonts w:ascii="Times New Roman" w:hAnsi="Times New Roman"/>
                <w:b/>
                <w:i w:val="0"/>
                <w:sz w:val="20"/>
                <w:u w:val="none"/>
              </w:rPr>
              <w:t>100 %</w:t>
            </w:r>
          </w:p>
        </w:tc>
        <w:tc>
          <w:tcPr>
            <w:tcW w:type="dxa" w:w="1368"/>
            <w:shd w:val="clear" w:color="auto" w:fill="D9D9D9"/>
          </w:tcPr>
          <w:p>
            <w:pPr>
              <w:spacing w:after="40" w:before="40" w:line="240" w:lineRule="auto"/>
              <w:jc w:val="center"/>
            </w:pPr>
            <w:r>
              <w:rPr>
                <w:rFonts w:ascii="Times New Roman" w:hAnsi="Times New Roman"/>
                <w:b/>
                <w:i w:val="0"/>
                <w:sz w:val="20"/>
                <w:u w:val="none"/>
              </w:rPr>
              <w:t>100 %</w:t>
            </w:r>
          </w:p>
        </w:tc>
      </w:tr>
    </w:tbl>
    <w:p>
      <w:pPr>
        <w:spacing w:after="80"/>
      </w:pPr>
    </w:p>
    <w:p>
      <w:r>
        <w:rPr>
          <w:rFonts w:ascii="Times New Roman" w:hAnsi="Times New Roman"/>
          <w:b w:val="0"/>
          <w:i w:val="0"/>
          <w:u w:val="none"/>
        </w:rPr>
        <w:t xml:space="preserve">Verificada la asistencia, se constata que se encuentra presente el </w:t>
      </w:r>
      <w:r>
        <w:rPr>
          <w:rFonts w:ascii="Times New Roman" w:hAnsi="Times New Roman"/>
          <w:b/>
          <w:i w:val="0"/>
          <w:u w:val="none"/>
        </w:rPr>
        <w:t>cien por ciento (100 %) de las acciones suscritas</w:t>
      </w:r>
      <w:r>
        <w:rPr>
          <w:rFonts w:ascii="Times New Roman" w:hAnsi="Times New Roman"/>
          <w:b w:val="0"/>
          <w:i w:val="0"/>
          <w:u w:val="none"/>
        </w:rPr>
        <w:t xml:space="preserve">, con lo cual existe </w:t>
      </w:r>
      <w:r>
        <w:rPr>
          <w:rFonts w:ascii="Times New Roman" w:hAnsi="Times New Roman"/>
          <w:b/>
          <w:i w:val="0"/>
          <w:u w:val="none"/>
        </w:rPr>
        <w:t>quórum deliberatorio</w:t>
      </w:r>
      <w:r>
        <w:rPr>
          <w:rFonts w:ascii="Times New Roman" w:hAnsi="Times New Roman"/>
          <w:b w:val="0"/>
          <w:i w:val="0"/>
          <w:u w:val="none"/>
        </w:rPr>
        <w:t xml:space="preserve"> conforme al artículo 23 de los estatutos y se configura la </w:t>
      </w:r>
      <w:r>
        <w:rPr>
          <w:rFonts w:ascii="Times New Roman" w:hAnsi="Times New Roman"/>
          <w:b/>
          <w:i w:val="0"/>
          <w:u w:val="none"/>
        </w:rPr>
        <w:t>reunión universal</w:t>
      </w:r>
      <w:r>
        <w:rPr>
          <w:rFonts w:ascii="Times New Roman" w:hAnsi="Times New Roman"/>
          <w:b w:val="0"/>
          <w:i w:val="0"/>
          <w:u w:val="none"/>
        </w:rPr>
        <w:t>. Ambos accionistas manifiestan expresamente que renuncian a la convocatoria previa y al derecho de inspección respecto de esta sesión, en los términos del artículo 21 de la Ley 1258 de 2008.</w:t>
      </w:r>
    </w:p>
    <w:p>
      <w:pPr>
        <w:keepNext/>
        <w:spacing w:before="240" w:after="80"/>
        <w:jc w:val="left"/>
      </w:pPr>
      <w:r>
        <w:rPr>
          <w:rFonts w:ascii="Times New Roman" w:hAnsi="Times New Roman"/>
          <w:b/>
          <w:i w:val="0"/>
          <w:sz w:val="24"/>
          <w:u w:val="none"/>
        </w:rPr>
        <w:t>3. Designación de presidente y secretario</w:t>
      </w:r>
    </w:p>
    <w:p>
      <w:r>
        <w:rPr>
          <w:rFonts w:ascii="Times New Roman" w:hAnsi="Times New Roman"/>
          <w:b w:val="0"/>
          <w:i w:val="0"/>
          <w:u w:val="none"/>
        </w:rPr>
        <w:t xml:space="preserve">Por unanimidad se designa como </w:t>
      </w:r>
      <w:r>
        <w:rPr>
          <w:rFonts w:ascii="Times New Roman" w:hAnsi="Times New Roman"/>
          <w:b/>
          <w:i w:val="0"/>
          <w:u w:val="none"/>
        </w:rPr>
        <w:t>presidente</w:t>
      </w:r>
      <w:r>
        <w:rPr>
          <w:rFonts w:ascii="Times New Roman" w:hAnsi="Times New Roman"/>
          <w:b w:val="0"/>
          <w:i w:val="0"/>
          <w:u w:val="none"/>
        </w:rPr>
        <w:t xml:space="preserve"> de la reunión a la señora </w:t>
      </w:r>
      <w:r>
        <w:rPr>
          <w:rFonts w:ascii="Times New Roman" w:hAnsi="Times New Roman"/>
          <w:b/>
          <w:i w:val="0"/>
          <w:u w:val="none"/>
        </w:rPr>
        <w:t>MARIANA LÓPEZ CASTAÑO</w:t>
      </w:r>
      <w:r>
        <w:rPr>
          <w:rFonts w:ascii="Times New Roman" w:hAnsi="Times New Roman"/>
          <w:b w:val="0"/>
          <w:i w:val="0"/>
          <w:u w:val="none"/>
        </w:rPr>
        <w:t xml:space="preserve"> y como </w:t>
      </w:r>
      <w:r>
        <w:rPr>
          <w:rFonts w:ascii="Times New Roman" w:hAnsi="Times New Roman"/>
          <w:b/>
          <w:i w:val="0"/>
          <w:u w:val="none"/>
        </w:rPr>
        <w:t>secretario</w:t>
      </w:r>
      <w:r>
        <w:rPr>
          <w:rFonts w:ascii="Times New Roman" w:hAnsi="Times New Roman"/>
          <w:b w:val="0"/>
          <w:i w:val="0"/>
          <w:u w:val="none"/>
        </w:rPr>
        <w:t xml:space="preserve"> al señor </w:t>
      </w:r>
      <w:r>
        <w:rPr>
          <w:rFonts w:ascii="Times New Roman" w:hAnsi="Times New Roman"/>
          <w:b/>
          <w:i w:val="0"/>
          <w:u w:val="none"/>
        </w:rPr>
        <w:t>FELIPE ANDRÉS GÓMEZ VÉLEZ</w:t>
      </w:r>
      <w:r>
        <w:rPr>
          <w:rFonts w:ascii="Times New Roman" w:hAnsi="Times New Roman"/>
          <w:b w:val="0"/>
          <w:i w:val="0"/>
          <w:u w:val="none"/>
        </w:rPr>
        <w:t>, quienes aceptan sus designaciones.</w:t>
      </w:r>
    </w:p>
    <w:p>
      <w:pPr>
        <w:keepNext/>
        <w:spacing w:before="240" w:after="80"/>
        <w:jc w:val="left"/>
      </w:pPr>
      <w:r>
        <w:rPr>
          <w:rFonts w:ascii="Times New Roman" w:hAnsi="Times New Roman"/>
          <w:b/>
          <w:i w:val="0"/>
          <w:sz w:val="24"/>
          <w:u w:val="none"/>
        </w:rPr>
        <w:t>4. Orden del día</w:t>
      </w:r>
    </w:p>
    <w:p>
      <w:pPr>
        <w:ind w:left="567" w:hanging="567"/>
      </w:pPr>
      <w:r>
        <w:rPr>
          <w:rFonts w:ascii="Times New Roman" w:hAnsi="Times New Roman"/>
          <w:b w:val="0"/>
          <w:i w:val="0"/>
          <w:u w:val="none"/>
        </w:rPr>
        <w:t>1. Verificación del quórum.</w:t>
      </w:r>
    </w:p>
    <w:p>
      <w:pPr>
        <w:ind w:left="567" w:hanging="567"/>
      </w:pPr>
      <w:r>
        <w:rPr>
          <w:rFonts w:ascii="Times New Roman" w:hAnsi="Times New Roman"/>
          <w:b w:val="0"/>
          <w:i w:val="0"/>
          <w:u w:val="none"/>
        </w:rPr>
        <w:t>2. Designación de presidente y secretario.</w:t>
      </w:r>
    </w:p>
    <w:p>
      <w:pPr>
        <w:ind w:left="567" w:hanging="567"/>
      </w:pPr>
      <w:r>
        <w:rPr>
          <w:rFonts w:ascii="Times New Roman" w:hAnsi="Times New Roman"/>
          <w:b w:val="0"/>
          <w:i w:val="0"/>
          <w:u w:val="none"/>
        </w:rPr>
        <w:t>3. Lectura y aprobación del orden del día.</w:t>
      </w:r>
    </w:p>
    <w:p>
      <w:pPr>
        <w:ind w:left="567" w:hanging="567"/>
      </w:pPr>
      <w:r>
        <w:rPr>
          <w:rFonts w:ascii="Times New Roman" w:hAnsi="Times New Roman"/>
          <w:b w:val="0"/>
          <w:i w:val="0"/>
          <w:u w:val="none"/>
        </w:rPr>
        <w:t>4. Ratificación de la constitución de la sociedad y de los nombramientos de representante legal principal y suplente.</w:t>
      </w:r>
    </w:p>
    <w:p>
      <w:pPr>
        <w:ind w:left="567" w:hanging="567"/>
      </w:pPr>
      <w:r>
        <w:rPr>
          <w:rFonts w:ascii="Times New Roman" w:hAnsi="Times New Roman"/>
          <w:b w:val="0"/>
          <w:i w:val="0"/>
          <w:u w:val="none"/>
        </w:rPr>
        <w:t>5. Designación del contador público de la sociedad.</w:t>
      </w:r>
    </w:p>
    <w:p>
      <w:pPr>
        <w:ind w:left="567" w:hanging="567"/>
      </w:pPr>
      <w:r>
        <w:rPr>
          <w:rFonts w:ascii="Times New Roman" w:hAnsi="Times New Roman"/>
          <w:b w:val="0"/>
          <w:i w:val="0"/>
          <w:u w:val="none"/>
        </w:rPr>
        <w:t>6. Autorización para la apertura de cuentas bancarias.</w:t>
      </w:r>
    </w:p>
    <w:p>
      <w:pPr>
        <w:ind w:left="567" w:hanging="567"/>
      </w:pPr>
      <w:r>
        <w:rPr>
          <w:rFonts w:ascii="Times New Roman" w:hAnsi="Times New Roman"/>
          <w:b w:val="0"/>
          <w:i w:val="0"/>
          <w:u w:val="none"/>
        </w:rPr>
        <w:t>7. Autorización para la celebración del contrato de arrendamiento de la sede y de los actos de puesta en marcha que excedan la cuantía del artículo 28 de los estatutos.</w:t>
      </w:r>
    </w:p>
    <w:p>
      <w:pPr>
        <w:ind w:left="567" w:hanging="567"/>
      </w:pPr>
      <w:r>
        <w:rPr>
          <w:rFonts w:ascii="Times New Roman" w:hAnsi="Times New Roman"/>
          <w:b w:val="0"/>
          <w:i w:val="0"/>
          <w:u w:val="none"/>
        </w:rPr>
        <w:t>8. Instrucciones sobre la habilitación de servicios de salud.</w:t>
      </w:r>
    </w:p>
    <w:p>
      <w:pPr>
        <w:ind w:left="567" w:hanging="567"/>
      </w:pPr>
      <w:r>
        <w:rPr>
          <w:rFonts w:ascii="Times New Roman" w:hAnsi="Times New Roman"/>
          <w:b w:val="0"/>
          <w:i w:val="0"/>
          <w:u w:val="none"/>
        </w:rPr>
        <w:t>9. Aprobación de la política de tratamiento de datos personales.</w:t>
      </w:r>
    </w:p>
    <w:p>
      <w:pPr>
        <w:ind w:left="567" w:hanging="567"/>
      </w:pPr>
      <w:r>
        <w:rPr>
          <w:rFonts w:ascii="Times New Roman" w:hAnsi="Times New Roman"/>
          <w:b w:val="0"/>
          <w:i w:val="0"/>
          <w:u w:val="none"/>
        </w:rPr>
        <w:t>10. Fijación de la remuneración de los administradores.</w:t>
      </w:r>
    </w:p>
    <w:p>
      <w:pPr>
        <w:ind w:left="567" w:hanging="567"/>
      </w:pPr>
      <w:r>
        <w:rPr>
          <w:rFonts w:ascii="Times New Roman" w:hAnsi="Times New Roman"/>
          <w:b w:val="0"/>
          <w:i w:val="0"/>
          <w:u w:val="none"/>
        </w:rPr>
        <w:t>11. Autorización para adelantar los trámites de registro.</w:t>
      </w:r>
    </w:p>
    <w:p>
      <w:pPr>
        <w:ind w:left="567" w:hanging="567"/>
      </w:pPr>
      <w:r>
        <w:rPr>
          <w:rFonts w:ascii="Times New Roman" w:hAnsi="Times New Roman"/>
          <w:b w:val="0"/>
          <w:i w:val="0"/>
          <w:u w:val="none"/>
        </w:rPr>
        <w:t>12. Lectura y aprobación del acta.</w:t>
      </w:r>
    </w:p>
    <w:p>
      <w:r>
        <w:rPr>
          <w:rFonts w:ascii="Times New Roman" w:hAnsi="Times New Roman"/>
          <w:b w:val="0"/>
          <w:i w:val="0"/>
          <w:u w:val="none"/>
        </w:rPr>
        <w:t xml:space="preserve">Sometido a consideración, el orden del día es </w:t>
      </w:r>
      <w:r>
        <w:rPr>
          <w:rFonts w:ascii="Times New Roman" w:hAnsi="Times New Roman"/>
          <w:b/>
          <w:i w:val="0"/>
          <w:u w:val="none"/>
        </w:rPr>
        <w:t>aprobado por unanimidad</w:t>
      </w:r>
      <w:r>
        <w:rPr>
          <w:rFonts w:ascii="Times New Roman" w:hAnsi="Times New Roman"/>
          <w:b w:val="0"/>
          <w:i w:val="0"/>
          <w:u w:val="none"/>
        </w:rPr>
        <w:t>, con el voto favorable de 600.000 acciones, equivalentes al 100 % de las acciones suscritas.</w:t>
      </w:r>
    </w:p>
    <w:p>
      <w:pPr>
        <w:keepNext/>
        <w:spacing w:before="240" w:after="80"/>
        <w:jc w:val="left"/>
      </w:pPr>
      <w:r>
        <w:rPr>
          <w:rFonts w:ascii="Times New Roman" w:hAnsi="Times New Roman"/>
          <w:b/>
          <w:i w:val="0"/>
          <w:sz w:val="24"/>
          <w:u w:val="none"/>
        </w:rPr>
        <w:t>5. Desarrollo del orden del día</w:t>
      </w:r>
    </w:p>
    <w:p>
      <w:pPr>
        <w:keepNext/>
        <w:spacing w:before="160" w:after="40"/>
        <w:jc w:val="left"/>
      </w:pPr>
      <w:r>
        <w:rPr>
          <w:rFonts w:ascii="Times New Roman" w:hAnsi="Times New Roman"/>
          <w:b/>
          <w:i/>
          <w:sz w:val="24"/>
          <w:u w:val="none"/>
        </w:rPr>
        <w:t>Punto cuarto. Ratificación de la constitución y de los nombramientos</w:t>
      </w:r>
    </w:p>
    <w:p>
      <w:r>
        <w:rPr>
          <w:rFonts w:ascii="Times New Roman" w:hAnsi="Times New Roman"/>
          <w:b w:val="0"/>
          <w:i w:val="0"/>
          <w:u w:val="none"/>
        </w:rPr>
        <w:t xml:space="preserve">Los accionistas ratifican en todas sus partes el documento privado de constitución suscrito en esta misma fecha, así como la designación de </w:t>
      </w:r>
      <w:r>
        <w:rPr>
          <w:rFonts w:ascii="Times New Roman" w:hAnsi="Times New Roman"/>
          <w:b/>
          <w:i w:val="0"/>
          <w:u w:val="none"/>
        </w:rPr>
        <w:t>MARIANA LÓPEZ CASTAÑO</w:t>
      </w:r>
      <w:r>
        <w:rPr>
          <w:rFonts w:ascii="Times New Roman" w:hAnsi="Times New Roman"/>
          <w:b w:val="0"/>
          <w:i w:val="0"/>
          <w:u w:val="none"/>
        </w:rPr>
        <w:t xml:space="preserve">, identificada con C.C. 1.039.672.481 de Medellín, como </w:t>
      </w:r>
      <w:r>
        <w:rPr>
          <w:rFonts w:ascii="Times New Roman" w:hAnsi="Times New Roman"/>
          <w:b/>
          <w:i w:val="0"/>
          <w:u w:val="none"/>
        </w:rPr>
        <w:t>representante legal principal</w:t>
      </w:r>
      <w:r>
        <w:rPr>
          <w:rFonts w:ascii="Times New Roman" w:hAnsi="Times New Roman"/>
          <w:b w:val="0"/>
          <w:i w:val="0"/>
          <w:u w:val="none"/>
        </w:rPr>
        <w:t xml:space="preserve">, y de </w:t>
      </w:r>
      <w:r>
        <w:rPr>
          <w:rFonts w:ascii="Times New Roman" w:hAnsi="Times New Roman"/>
          <w:b/>
          <w:i w:val="0"/>
          <w:u w:val="none"/>
        </w:rPr>
        <w:t>FELIPE ANDRÉS GÓMEZ VÉLEZ</w:t>
      </w:r>
      <w:r>
        <w:rPr>
          <w:rFonts w:ascii="Times New Roman" w:hAnsi="Times New Roman"/>
          <w:b w:val="0"/>
          <w:i w:val="0"/>
          <w:u w:val="none"/>
        </w:rPr>
        <w:t xml:space="preserve">, identificado con C.C. 1.152.846.390 de Envigado, como </w:t>
      </w:r>
      <w:r>
        <w:rPr>
          <w:rFonts w:ascii="Times New Roman" w:hAnsi="Times New Roman"/>
          <w:b/>
          <w:i w:val="0"/>
          <w:u w:val="none"/>
        </w:rPr>
        <w:t>representante legal suplente</w:t>
      </w:r>
      <w:r>
        <w:rPr>
          <w:rFonts w:ascii="Times New Roman" w:hAnsi="Times New Roman"/>
          <w:b w:val="0"/>
          <w:i w:val="0"/>
          <w:u w:val="none"/>
        </w:rPr>
        <w:t>. Se deja constancia de que ambos han aceptado por escrito sus cargos y de que las respectivas cartas de aceptación se acompañan al expediente de registro.</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quinto. Designación del contador público</w:t>
      </w:r>
    </w:p>
    <w:p>
      <w:r>
        <w:rPr>
          <w:rFonts w:ascii="Times New Roman" w:hAnsi="Times New Roman"/>
          <w:b w:val="0"/>
          <w:i w:val="0"/>
          <w:u w:val="none"/>
        </w:rPr>
        <w:t xml:space="preserve">Se designa como </w:t>
      </w:r>
      <w:r>
        <w:rPr>
          <w:rFonts w:ascii="Times New Roman" w:hAnsi="Times New Roman"/>
          <w:b/>
          <w:i w:val="0"/>
          <w:u w:val="none"/>
        </w:rPr>
        <w:t>contador público</w:t>
      </w:r>
      <w:r>
        <w:rPr>
          <w:rFonts w:ascii="Times New Roman" w:hAnsi="Times New Roman"/>
          <w:b w:val="0"/>
          <w:i w:val="0"/>
          <w:u w:val="none"/>
        </w:rPr>
        <w:t xml:space="preserve"> de la sociedad a </w:t>
      </w:r>
      <w:r>
        <w:rPr>
          <w:rFonts w:ascii="Times New Roman" w:hAnsi="Times New Roman"/>
          <w:b/>
          <w:i w:val="0"/>
          <w:u w:val="none"/>
        </w:rPr>
        <w:t>[NOMBRE DEL CONTADOR]</w:t>
      </w:r>
      <w:r>
        <w:rPr>
          <w:rFonts w:ascii="Times New Roman" w:hAnsi="Times New Roman"/>
          <w:b w:val="0"/>
          <w:i w:val="0"/>
          <w:u w:val="none"/>
        </w:rPr>
        <w:t>, identificado(a) con C.C. n.º ____________ y tarjeta profesional n.º ____________ expedida por la Junta Central de Contadores, quien tendrá a su cargo la teneduría de la contabilidad conforme a la Ley 1314 de 2009 y la expedición de las certificaciones que la ley exija.</w:t>
      </w:r>
    </w:p>
    <w:p>
      <w:r>
        <w:rPr>
          <w:rFonts w:ascii="Times New Roman" w:hAnsi="Times New Roman"/>
          <w:b w:val="0"/>
          <w:i w:val="0"/>
          <w:u w:val="none"/>
        </w:rPr>
        <w:t xml:space="preserve">Se deja constancia de que la sociedad </w:t>
      </w:r>
      <w:r>
        <w:rPr>
          <w:rFonts w:ascii="Times New Roman" w:hAnsi="Times New Roman"/>
          <w:b/>
          <w:i w:val="0"/>
          <w:u w:val="none"/>
        </w:rPr>
        <w:t>no está obligada a designar revisor fiscal</w:t>
      </w:r>
      <w:r>
        <w:rPr>
          <w:rFonts w:ascii="Times New Roman" w:hAnsi="Times New Roman"/>
          <w:b w:val="0"/>
          <w:i w:val="0"/>
          <w:u w:val="none"/>
        </w:rPr>
        <w:t>, por no alcanzar los umbrales del parágrafo 2.º del artículo 13 de la Ley 43 de 1990, y de que, mientras esa condición se mantenga, las certificaciones legalmente exigidas serán expedidas por el contador público independiente aquí designado, conforme al parágrafo del artículo 28 de la Ley 1258 de 2008 y al artículo 30 de los estatutos.</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sexto. Autorización para apertura de cuentas bancarias</w:t>
      </w:r>
    </w:p>
    <w:p>
      <w:r>
        <w:rPr>
          <w:rFonts w:ascii="Times New Roman" w:hAnsi="Times New Roman"/>
          <w:b w:val="0"/>
          <w:i w:val="0"/>
          <w:u w:val="none"/>
        </w:rPr>
        <w:t>Se autoriza a la representante legal para abrir, manejar y cancelar cuentas corrientes, de ahorro y demás productos financieros a nombre de la sociedad en las entidades vigiladas por la Superintendencia Financiera de Colombia que estime convenientes, y para suscribir los documentos de vinculación, los formatos de conocimiento del cliente y las autorizaciones de consulta y reporte a centrales de riesgo.</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séptimo. Autorización de actos de puesta en marcha</w:t>
      </w:r>
    </w:p>
    <w:p>
      <w:r>
        <w:rPr>
          <w:rFonts w:ascii="Times New Roman" w:hAnsi="Times New Roman"/>
          <w:b w:val="0"/>
          <w:i w:val="0"/>
          <w:u w:val="none"/>
        </w:rPr>
        <w:t xml:space="preserve">El artículo 28 de los estatutos exige autorización previa de la asamblea para celebrar actos cuya cuantía individual exceda de </w:t>
      </w:r>
      <w:r>
        <w:rPr>
          <w:rFonts w:ascii="Times New Roman" w:hAnsi="Times New Roman"/>
          <w:b/>
          <w:i w:val="0"/>
          <w:u w:val="none"/>
        </w:rPr>
        <w:t>cien (100) salarios mínimos legales mensuales vigentes</w:t>
      </w:r>
      <w:r>
        <w:rPr>
          <w:rFonts w:ascii="Times New Roman" w:hAnsi="Times New Roman"/>
          <w:b w:val="0"/>
          <w:i w:val="0"/>
          <w:u w:val="none"/>
        </w:rPr>
        <w:t>. Para no entorpecer el inicio de operaciones, la asamblea autoriza expresamente a la representante legal para celebrar, dentro de los doce (12) meses siguientes a esta fecha, los siguientes actos:</w:t>
      </w:r>
    </w:p>
    <w:p>
      <w:pPr>
        <w:pStyle w:val="ListBullet"/>
        <w:spacing w:after="80"/>
        <w:ind w:left="567"/>
        <w:jc w:val="both"/>
      </w:pPr>
      <w:r>
        <w:rPr>
          <w:rFonts w:ascii="Times New Roman" w:hAnsi="Times New Roman"/>
          <w:b w:val="0"/>
          <w:i w:val="0"/>
          <w:u w:val="none"/>
        </w:rPr>
        <w:t xml:space="preserve">El </w:t>
      </w:r>
      <w:r>
        <w:rPr>
          <w:rFonts w:ascii="Times New Roman" w:hAnsi="Times New Roman"/>
          <w:b/>
          <w:i w:val="0"/>
          <w:u w:val="none"/>
        </w:rPr>
        <w:t>contrato de arrendamiento</w:t>
      </w:r>
      <w:r>
        <w:rPr>
          <w:rFonts w:ascii="Times New Roman" w:hAnsi="Times New Roman"/>
          <w:b w:val="0"/>
          <w:i w:val="0"/>
          <w:u w:val="none"/>
        </w:rPr>
        <w:t xml:space="preserve"> del inmueble ubicado en la carrera 37 n.º 10A-58, oficina 804, de Medellín, y sus prórrogas.</w:t>
      </w:r>
    </w:p>
    <w:p>
      <w:pPr>
        <w:pStyle w:val="ListBullet"/>
        <w:spacing w:after="80"/>
        <w:ind w:left="567"/>
        <w:jc w:val="both"/>
      </w:pPr>
      <w:r>
        <w:rPr>
          <w:rFonts w:ascii="Times New Roman" w:hAnsi="Times New Roman"/>
          <w:b w:val="0"/>
          <w:i w:val="0"/>
          <w:u w:val="none"/>
        </w:rPr>
        <w:t xml:space="preserve">La </w:t>
      </w:r>
      <w:r>
        <w:rPr>
          <w:rFonts w:ascii="Times New Roman" w:hAnsi="Times New Roman"/>
          <w:b/>
          <w:i w:val="0"/>
          <w:u w:val="none"/>
        </w:rPr>
        <w:t>adquisición de equipos y dotación</w:t>
      </w:r>
      <w:r>
        <w:rPr>
          <w:rFonts w:ascii="Times New Roman" w:hAnsi="Times New Roman"/>
          <w:b w:val="0"/>
          <w:i w:val="0"/>
          <w:u w:val="none"/>
        </w:rPr>
        <w:t xml:space="preserve"> para la prestación de los servicios de rehabilitación física y acondicionamiento, hasta por un valor acumulado de </w:t>
      </w:r>
      <w:r>
        <w:rPr>
          <w:rFonts w:ascii="Times New Roman" w:hAnsi="Times New Roman"/>
          <w:b/>
          <w:i w:val="0"/>
          <w:u w:val="none"/>
        </w:rPr>
        <w:t>doscientos millones de pesos ($200.000.000)</w:t>
      </w:r>
      <w:r>
        <w:rPr>
          <w:rFonts w:ascii="Times New Roman" w:hAnsi="Times New Roman"/>
          <w:b w:val="0"/>
          <w:i w:val="0"/>
          <w:u w:val="none"/>
        </w:rPr>
        <w:t>.</w:t>
      </w:r>
    </w:p>
    <w:p>
      <w:pPr>
        <w:pStyle w:val="ListBullet"/>
        <w:spacing w:after="80"/>
        <w:ind w:left="567"/>
        <w:jc w:val="both"/>
      </w:pPr>
      <w:r>
        <w:rPr>
          <w:rFonts w:ascii="Times New Roman" w:hAnsi="Times New Roman"/>
          <w:b w:val="0"/>
          <w:i w:val="0"/>
          <w:u w:val="none"/>
        </w:rPr>
        <w:t xml:space="preserve">La </w:t>
      </w:r>
      <w:r>
        <w:rPr>
          <w:rFonts w:ascii="Times New Roman" w:hAnsi="Times New Roman"/>
          <w:b/>
          <w:i w:val="0"/>
          <w:u w:val="none"/>
        </w:rPr>
        <w:t>contratación del personal</w:t>
      </w:r>
      <w:r>
        <w:rPr>
          <w:rFonts w:ascii="Times New Roman" w:hAnsi="Times New Roman"/>
          <w:b w:val="0"/>
          <w:i w:val="0"/>
          <w:u w:val="none"/>
        </w:rPr>
        <w:t xml:space="preserve"> necesario para operar con nueve (9) trabajadores, y las afiliaciones al sistema de seguridad social integral y a la caja de compensación familiar.</w:t>
      </w:r>
    </w:p>
    <w:p>
      <w:pPr>
        <w:pStyle w:val="ListBullet"/>
        <w:spacing w:after="80"/>
        <w:ind w:left="567"/>
        <w:jc w:val="both"/>
      </w:pPr>
      <w:r>
        <w:rPr>
          <w:rFonts w:ascii="Times New Roman" w:hAnsi="Times New Roman"/>
          <w:b w:val="0"/>
          <w:i w:val="0"/>
          <w:u w:val="none"/>
        </w:rPr>
        <w:t xml:space="preserve">La contratación de las </w:t>
      </w:r>
      <w:r>
        <w:rPr>
          <w:rFonts w:ascii="Times New Roman" w:hAnsi="Times New Roman"/>
          <w:b/>
          <w:i w:val="0"/>
          <w:u w:val="none"/>
        </w:rPr>
        <w:t>pólizas de seguro</w:t>
      </w:r>
      <w:r>
        <w:rPr>
          <w:rFonts w:ascii="Times New Roman" w:hAnsi="Times New Roman"/>
          <w:b w:val="0"/>
          <w:i w:val="0"/>
          <w:u w:val="none"/>
        </w:rPr>
        <w:t xml:space="preserve"> de responsabilidad civil profesional y de responsabilidad civil extracontractual que la actividad exige.</w:t>
      </w:r>
    </w:p>
    <w:p>
      <w:r>
        <w:rPr>
          <w:rFonts w:ascii="Times New Roman" w:hAnsi="Times New Roman"/>
          <w:b w:val="0"/>
          <w:i w:val="0"/>
          <w:u w:val="none"/>
        </w:rPr>
        <w:t xml:space="preserve">Se precisa que esta autorización es </w:t>
      </w:r>
      <w:r>
        <w:rPr>
          <w:rFonts w:ascii="Times New Roman" w:hAnsi="Times New Roman"/>
          <w:b/>
          <w:i w:val="0"/>
          <w:u w:val="none"/>
        </w:rPr>
        <w:t>especial y de cuantía limitada</w:t>
      </w:r>
      <w:r>
        <w:rPr>
          <w:rFonts w:ascii="Times New Roman" w:hAnsi="Times New Roman"/>
          <w:b w:val="0"/>
          <w:i w:val="0"/>
          <w:u w:val="none"/>
        </w:rPr>
        <w:t>: no modifica el artículo 28 de los estatutos ni releva a la representante legal de solicitar autorización para actos distintos de los aquí enumerados.</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octavo. Habilitación de servicios de salud</w:t>
      </w:r>
    </w:p>
    <w:p>
      <w:r>
        <w:rPr>
          <w:rFonts w:ascii="Times New Roman" w:hAnsi="Times New Roman"/>
          <w:b w:val="0"/>
          <w:i w:val="0"/>
          <w:u w:val="none"/>
        </w:rPr>
        <w:t xml:space="preserve">La asamblea instruye a la representante legal para que, </w:t>
      </w:r>
      <w:r>
        <w:rPr>
          <w:rFonts w:ascii="Times New Roman" w:hAnsi="Times New Roman"/>
          <w:b/>
          <w:i w:val="0"/>
          <w:u w:val="none"/>
        </w:rPr>
        <w:t>antes de iniciar la prestación de cualquier servicio de rehabilitación física</w:t>
      </w:r>
      <w:r>
        <w:rPr>
          <w:rFonts w:ascii="Times New Roman" w:hAnsi="Times New Roman"/>
          <w:b w:val="0"/>
          <w:i w:val="0"/>
          <w:u w:val="none"/>
        </w:rPr>
        <w:t xml:space="preserve">, adelante la inscripción de la sociedad en el </w:t>
      </w:r>
      <w:r>
        <w:rPr>
          <w:rFonts w:ascii="Times New Roman" w:hAnsi="Times New Roman"/>
          <w:b/>
          <w:i w:val="0"/>
          <w:u w:val="none"/>
        </w:rPr>
        <w:t>Registro Especial de Prestadores de Servicios de Salud (REPS)</w:t>
      </w:r>
      <w:r>
        <w:rPr>
          <w:rFonts w:ascii="Times New Roman" w:hAnsi="Times New Roman"/>
          <w:b w:val="0"/>
          <w:i w:val="0"/>
          <w:u w:val="none"/>
        </w:rPr>
        <w:t xml:space="preserve"> y obtenga la </w:t>
      </w:r>
      <w:r>
        <w:rPr>
          <w:rFonts w:ascii="Times New Roman" w:hAnsi="Times New Roman"/>
          <w:b/>
          <w:i w:val="0"/>
          <w:u w:val="none"/>
        </w:rPr>
        <w:t>habilitación</w:t>
      </w:r>
      <w:r>
        <w:rPr>
          <w:rFonts w:ascii="Times New Roman" w:hAnsi="Times New Roman"/>
          <w:b w:val="0"/>
          <w:i w:val="0"/>
          <w:u w:val="none"/>
        </w:rPr>
        <w:t xml:space="preserve"> de los servicios correspondientes ante la autoridad sanitaria competente, conforme a la Resolución 3100 de 2019 del Ministerio de Salud y Protección Social y al parágrafo segundo del artículo 4.º de los estatutos.</w:t>
      </w:r>
    </w:p>
    <w:p>
      <w:r>
        <w:rPr>
          <w:rFonts w:ascii="Times New Roman" w:hAnsi="Times New Roman"/>
          <w:b w:val="0"/>
          <w:i w:val="0"/>
          <w:u w:val="none"/>
        </w:rPr>
        <w:t>Se deja expresa constancia de que la prestación de servicios de salud sin habilitación expone a la sociedad al cierre del servicio y a sanciones sanitarias, y a los administradores a responsabilidad personal por incumplimiento del deber de diligencia del artículo 23 de la Ley 222 de 1995. La representante legal informará a la asamblea sobre el avance del trámite.</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noveno. Política de tratamiento de datos personales</w:t>
      </w:r>
    </w:p>
    <w:p>
      <w:r>
        <w:rPr>
          <w:rFonts w:ascii="Times New Roman" w:hAnsi="Times New Roman"/>
          <w:b w:val="0"/>
          <w:i w:val="0"/>
          <w:u w:val="none"/>
        </w:rPr>
        <w:t xml:space="preserve">Considerando que la sociedad tratará </w:t>
      </w:r>
      <w:r>
        <w:rPr>
          <w:rFonts w:ascii="Times New Roman" w:hAnsi="Times New Roman"/>
          <w:b/>
          <w:i w:val="0"/>
          <w:u w:val="none"/>
        </w:rPr>
        <w:t>datos sensibles de salud</w:t>
      </w:r>
      <w:r>
        <w:rPr>
          <w:rFonts w:ascii="Times New Roman" w:hAnsi="Times New Roman"/>
          <w:b w:val="0"/>
          <w:i w:val="0"/>
          <w:u w:val="none"/>
        </w:rPr>
        <w:t xml:space="preserve"> de sus usuarios, sujetos al régimen reforzado del artículo 5.º de la Ley 1581 de 2012, la asamblea instruye a la representante legal para adoptar la </w:t>
      </w:r>
      <w:r>
        <w:rPr>
          <w:rFonts w:ascii="Times New Roman" w:hAnsi="Times New Roman"/>
          <w:b/>
          <w:i w:val="0"/>
          <w:u w:val="none"/>
        </w:rPr>
        <w:t>política de tratamiento de la información</w:t>
      </w:r>
      <w:r>
        <w:rPr>
          <w:rFonts w:ascii="Times New Roman" w:hAnsi="Times New Roman"/>
          <w:b w:val="0"/>
          <w:i w:val="0"/>
          <w:u w:val="none"/>
        </w:rPr>
        <w:t>, diseñar los formatos de autorización previa, expresa e informada, y adelantar el registro de las bases de datos cuando la sociedad quede obligada a ello.</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décimo. Remuneración de los administradores</w:t>
      </w:r>
    </w:p>
    <w:p>
      <w:r>
        <w:rPr>
          <w:rFonts w:ascii="Times New Roman" w:hAnsi="Times New Roman"/>
          <w:b w:val="0"/>
          <w:i w:val="0"/>
          <w:u w:val="none"/>
        </w:rPr>
        <w:t xml:space="preserve">Se fija la remuneración de la representante legal principal en la suma de </w:t>
      </w:r>
      <w:r>
        <w:rPr>
          <w:rFonts w:ascii="Times New Roman" w:hAnsi="Times New Roman"/>
          <w:b/>
          <w:i w:val="0"/>
          <w:u w:val="none"/>
        </w:rPr>
        <w:t>$____________ mensuales</w:t>
      </w:r>
      <w:r>
        <w:rPr>
          <w:rFonts w:ascii="Times New Roman" w:hAnsi="Times New Roman"/>
          <w:b w:val="0"/>
          <w:i w:val="0"/>
          <w:u w:val="none"/>
        </w:rPr>
        <w:t xml:space="preserve">, y se establece que el representante legal suplente </w:t>
      </w:r>
      <w:r>
        <w:rPr>
          <w:rFonts w:ascii="Times New Roman" w:hAnsi="Times New Roman"/>
          <w:b/>
          <w:i w:val="0"/>
          <w:u w:val="none"/>
        </w:rPr>
        <w:t>no percibirá remuneración</w:t>
      </w:r>
      <w:r>
        <w:rPr>
          <w:rFonts w:ascii="Times New Roman" w:hAnsi="Times New Roman"/>
          <w:b w:val="0"/>
          <w:i w:val="0"/>
          <w:u w:val="none"/>
        </w:rPr>
        <w:t xml:space="preserve"> por el solo hecho de ostentar el cargo, sin perjuicio de la que le corresponda si llegare a ejercerlo efectivamente o si celebra con la sociedad un contrato de trabajo o de prestación de servicios, caso este último en el cual deberá observarse el régimen de conflictos de interés del parágrafo segundo del artículo 28 de los estatutos.</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160" w:after="40"/>
        <w:jc w:val="left"/>
      </w:pPr>
      <w:r>
        <w:rPr>
          <w:rFonts w:ascii="Times New Roman" w:hAnsi="Times New Roman"/>
          <w:b/>
          <w:i/>
          <w:sz w:val="24"/>
          <w:u w:val="none"/>
        </w:rPr>
        <w:t>Punto undécimo. Autorización para los trámites de registro</w:t>
      </w:r>
    </w:p>
    <w:p>
      <w:r>
        <w:rPr>
          <w:rFonts w:ascii="Times New Roman" w:hAnsi="Times New Roman"/>
          <w:b w:val="0"/>
          <w:i w:val="0"/>
          <w:u w:val="none"/>
        </w:rPr>
        <w:t>Se ratifica la facultad conferida a la representante legal en el artículo transitorio 3.º de los estatutos para adelantar ante la Cámara de Comercio de Medellín para Antioquia, la Dirección de Impuestos y Aduanas Nacionales, la Gobernación de Antioquia y la Secretaría de Hacienda del Municipio de Medellín todos los trámites de matrícula, inscripción de libros, formalización del RUT, liquidación y pago del impuesto de registro e inscripción en el Registro de Información Tributaria, con facultad de conferir poder especial a un tercero para su radicación.</w:t>
      </w:r>
    </w:p>
    <w:p>
      <w:r>
        <w:rPr>
          <w:rFonts w:ascii="Times New Roman" w:hAnsi="Times New Roman"/>
          <w:b/>
          <w:i w:val="0"/>
          <w:u w:val="none"/>
        </w:rPr>
        <w:t>Aprobado por unanimidad</w:t>
      </w:r>
      <w:r>
        <w:rPr>
          <w:rFonts w:ascii="Times New Roman" w:hAnsi="Times New Roman"/>
          <w:b w:val="0"/>
          <w:i w:val="0"/>
          <w:u w:val="none"/>
        </w:rPr>
        <w:t>, con 600.000 votos a favor.</w:t>
      </w:r>
    </w:p>
    <w:p>
      <w:pPr>
        <w:keepNext/>
        <w:spacing w:before="240" w:after="80"/>
        <w:jc w:val="left"/>
      </w:pPr>
      <w:r>
        <w:rPr>
          <w:rFonts w:ascii="Times New Roman" w:hAnsi="Times New Roman"/>
          <w:b/>
          <w:i w:val="0"/>
          <w:sz w:val="24"/>
          <w:u w:val="none"/>
        </w:rPr>
        <w:t>6. Aprobación del acta y clausura</w:t>
      </w:r>
    </w:p>
    <w:p>
      <w:r>
        <w:rPr>
          <w:rFonts w:ascii="Times New Roman" w:hAnsi="Times New Roman"/>
          <w:b w:val="0"/>
          <w:i w:val="0"/>
          <w:u w:val="none"/>
        </w:rPr>
        <w:t xml:space="preserve">No habiendo otro asunto que tratar, se suspende la reunión por el término de quince (15) minutos para la elaboración del acta. Reanudada la sesión, se da lectura al texto que antecede, el cual es </w:t>
      </w:r>
      <w:r>
        <w:rPr>
          <w:rFonts w:ascii="Times New Roman" w:hAnsi="Times New Roman"/>
          <w:b/>
          <w:i w:val="0"/>
          <w:u w:val="none"/>
        </w:rPr>
        <w:t>aprobado por unanimidad</w:t>
      </w:r>
      <w:r>
        <w:rPr>
          <w:rFonts w:ascii="Times New Roman" w:hAnsi="Times New Roman"/>
          <w:b w:val="0"/>
          <w:i w:val="0"/>
          <w:u w:val="none"/>
        </w:rPr>
        <w:t xml:space="preserve"> con el voto favorable de 600.000 acciones, equivalentes al 100 % de las acciones suscritas. Se levanta la sesión siendo las 11:30 a. m.</w:t>
      </w:r>
    </w:p>
    <w:p>
      <w:r>
        <w:rPr>
          <w:rFonts w:ascii="Times New Roman" w:hAnsi="Times New Roman"/>
          <w:b w:val="0"/>
          <w:i w:val="0"/>
          <w:u w:val="none"/>
        </w:rPr>
        <w:t>En constancia se firma por el presidente y el secretario de la reunión, conforme al artículo 189 del Código de Comercio y al artículo 24 de los estatutos.</w:t>
      </w: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Presidente de la reunión</w:t>
            </w:r>
          </w:p>
        </w:tc>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FELIPE ANDRÉS GÓMEZ VÉLEZ</w:t>
            </w:r>
          </w:p>
          <w:p>
            <w:pPr>
              <w:spacing w:after="0"/>
            </w:pPr>
            <w:r>
              <w:rPr>
                <w:rFonts w:ascii="Times New Roman" w:hAnsi="Times New Roman"/>
                <w:b w:val="0"/>
                <w:i w:val="0"/>
                <w:sz w:val="20"/>
                <w:u w:val="none"/>
              </w:rPr>
              <w:t>C.C. 1.152.846.390 de Envigado</w:t>
            </w:r>
          </w:p>
          <w:p>
            <w:pPr>
              <w:spacing w:after="0"/>
            </w:pPr>
            <w:r>
              <w:rPr>
                <w:rFonts w:ascii="Times New Roman" w:hAnsi="Times New Roman"/>
                <w:b w:val="0"/>
                <w:i w:val="0"/>
                <w:sz w:val="20"/>
                <w:u w:val="none"/>
              </w:rPr>
              <w:t>Secretario de la reunión</w:t>
            </w:r>
          </w:p>
        </w:tc>
      </w:tr>
    </w:tbl>
    <w:p/>
    <w:p>
      <w:pPr>
        <w:spacing w:after="0"/>
      </w:pPr>
    </w:p>
    <w:p>
      <w:pPr>
        <w:spacing w:after="160"/>
        <w:pBdr>
          <w:bottom w:val="single" w:sz="6" w:space="1" w:color="000000"/>
        </w:pBdr>
      </w:pPr>
    </w:p>
    <w:p>
      <w:r>
        <w:rPr>
          <w:rFonts w:ascii="Times New Roman" w:hAnsi="Times New Roman"/>
          <w:b/>
          <w:i w:val="0"/>
          <w:u w:val="none"/>
        </w:rPr>
        <w:t>Nota sobre la inscripción de esta acta.</w:t>
      </w:r>
      <w:r>
        <w:rPr>
          <w:rFonts w:ascii="Times New Roman" w:hAnsi="Times New Roman"/>
          <w:b w:val="0"/>
          <w:i w:val="0"/>
          <w:u w:val="none"/>
        </w:rPr>
        <w:t xml:space="preserve"> Esta acta </w:t>
      </w:r>
      <w:r>
        <w:rPr>
          <w:rFonts w:ascii="Times New Roman" w:hAnsi="Times New Roman"/>
          <w:b/>
          <w:i w:val="0"/>
          <w:u w:val="none"/>
        </w:rPr>
        <w:t>no se inscribe</w:t>
      </w:r>
      <w:r>
        <w:rPr>
          <w:rFonts w:ascii="Times New Roman" w:hAnsi="Times New Roman"/>
          <w:b w:val="0"/>
          <w:i w:val="0"/>
          <w:u w:val="none"/>
        </w:rPr>
        <w:t xml:space="preserve"> en el registro mercantil, porque ninguna de sus decisiones constituye acto sujeto a registro: los nombramientos ya constan en el documento de constitución y las autorizaciones son de eficacia interna. Se asienta únicamente en el libro de actas. Si en el futuro la asamblea adopta decisiones sujetas a registro (reformas estatutarias, cambio de administradores, disolución), deberá inscribirse </w:t>
      </w:r>
      <w:r>
        <w:rPr>
          <w:rFonts w:ascii="Times New Roman" w:hAnsi="Times New Roman"/>
          <w:b/>
          <w:i w:val="0"/>
          <w:u w:val="none"/>
        </w:rPr>
        <w:t>copia autorizada</w:t>
      </w:r>
      <w:r>
        <w:rPr>
          <w:rFonts w:ascii="Times New Roman" w:hAnsi="Times New Roman"/>
          <w:b w:val="0"/>
          <w:i w:val="0"/>
          <w:u w:val="none"/>
        </w:rPr>
        <w:t xml:space="preserve"> del acta correspondiente, conforme al artículo 189 del Código de Comercio.</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Acta n.º 1. Libro de actas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Acta n.º 1 de la asamblea general de accionistas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