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u w:val="none"/>
        </w:rPr>
        <w:t>MEMORANDO COMPLEMENTARIO</w:t>
      </w:r>
    </w:p>
    <w:p>
      <w:pPr>
        <w:spacing w:after="280"/>
        <w:jc w:val="center"/>
      </w:pPr>
      <w:r>
        <w:rPr>
          <w:rFonts w:ascii="Times New Roman" w:hAnsi="Times New Roman"/>
          <w:b/>
          <w:i w:val="0"/>
          <w:sz w:val="24"/>
          <w:u w:val="none"/>
        </w:rPr>
        <w:t>Explicación de la segunda parte del expediente de constitución. NOVA BIENESTAR INTEGRAL S.A.S.</w:t>
      </w:r>
    </w:p>
    <w:p>
      <w:pPr>
        <w:keepNext/>
        <w:spacing w:before="320" w:after="160"/>
        <w:jc w:val="center"/>
      </w:pPr>
      <w:r>
        <w:rPr>
          <w:rFonts w:ascii="Times New Roman" w:hAnsi="Times New Roman"/>
          <w:b/>
          <w:i w:val="0"/>
          <w:sz w:val="24"/>
          <w:u w:val="none"/>
        </w:rPr>
        <w:t>I. QUÉ CONTIENE ESTA SEGUNDA PARTE Y POR QUÉ</w:t>
      </w:r>
    </w:p>
    <w:p>
      <w:r>
        <w:rPr>
          <w:rFonts w:ascii="Times New Roman" w:hAnsi="Times New Roman"/>
          <w:b w:val="0"/>
          <w:i w:val="0"/>
          <w:u w:val="none"/>
        </w:rPr>
        <w:t xml:space="preserve">La primera parte del expediente reunió los documentos que </w:t>
      </w:r>
      <w:r>
        <w:rPr>
          <w:rFonts w:ascii="Times New Roman" w:hAnsi="Times New Roman"/>
          <w:b/>
          <w:i w:val="0"/>
          <w:u w:val="none"/>
        </w:rPr>
        <w:t>crean</w:t>
      </w:r>
      <w:r>
        <w:rPr>
          <w:rFonts w:ascii="Times New Roman" w:hAnsi="Times New Roman"/>
          <w:b w:val="0"/>
          <w:i w:val="0"/>
          <w:u w:val="none"/>
        </w:rPr>
        <w:t xml:space="preserve"> la sociedad: el acto constitutivo, las aceptaciones de cargo, la certificación de capital, la declaración de la Ley 1780, la solicitud de libros y las guías. Esta segunda parte reúne los documentos que la </w:t>
      </w:r>
      <w:r>
        <w:rPr>
          <w:rFonts w:ascii="Times New Roman" w:hAnsi="Times New Roman"/>
          <w:b/>
          <w:i w:val="0"/>
          <w:u w:val="none"/>
        </w:rPr>
        <w:t>inscriben, la formalizan y la habilitan para operar</w:t>
      </w:r>
      <w:r>
        <w:rPr>
          <w:rFonts w:ascii="Times New Roman" w:hAnsi="Times New Roman"/>
          <w:b w:val="0"/>
          <w:i w:val="0"/>
          <w:u w:val="none"/>
        </w:rPr>
        <w:t>.</w:t>
      </w:r>
    </w:p>
    <w:p>
      <w:r>
        <w:rPr>
          <w:rFonts w:ascii="Times New Roman" w:hAnsi="Times New Roman"/>
          <w:b w:val="0"/>
          <w:i w:val="0"/>
          <w:u w:val="none"/>
        </w:rPr>
        <w:t>La distinción no es formal. Una sociedad puede estar perfectamente constituida en el papel y ser inútil en la práctica: sin RUT no puede facturar, sin autenticación no se inscribe, sin impuesto de registro pagado la Cámara no la matricula, sin títulos de acciones los accionistas no pueden probar su participación frente a un tercero, y sin habilitación sanitaria no puede atender un solo paciente. Cada documento de esta segunda parte cierra una de esas brechas.</w:t>
      </w:r>
    </w:p>
    <w:p>
      <w:pPr>
        <w:keepNext/>
        <w:spacing w:before="240" w:after="80"/>
        <w:jc w:val="left"/>
      </w:pPr>
      <w:r>
        <w:rPr>
          <w:rFonts w:ascii="Times New Roman" w:hAnsi="Times New Roman"/>
          <w:b/>
          <w:i w:val="0"/>
          <w:sz w:val="24"/>
          <w:u w:val="none"/>
        </w:rPr>
        <w:t>Sobre los formatos oficiales</w:t>
      </w:r>
    </w:p>
    <w:p>
      <w:r>
        <w:rPr>
          <w:rFonts w:ascii="Times New Roman" w:hAnsi="Times New Roman"/>
          <w:b w:val="0"/>
          <w:i w:val="0"/>
          <w:u w:val="none"/>
        </w:rPr>
        <w:t xml:space="preserve">Una precisión necesaria, porque condiciona el uso de estos documentos. </w:t>
      </w:r>
      <w:r>
        <w:rPr>
          <w:rFonts w:ascii="Times New Roman" w:hAnsi="Times New Roman"/>
          <w:b/>
          <w:i w:val="0"/>
          <w:u w:val="none"/>
        </w:rPr>
        <w:t>Cuatro de los instrumentos de esta etapa no pueden ser elaborados por el solicitante</w:t>
      </w:r>
      <w:r>
        <w:rPr>
          <w:rFonts w:ascii="Times New Roman" w:hAnsi="Times New Roman"/>
          <w:b w:val="0"/>
          <w:i w:val="0"/>
          <w:u w:val="none"/>
        </w:rPr>
        <w:t>: la carátula única empresarial del RUES, el anexo 1 de establecimientos de comercio y el formulario adicional de registro con otras entidades son formatos preimpresos que expide la Cámara de Comercio, y el formulario 001 del RUT solo existe como formulario electrónico generado por la DIAN. Ninguna reproducción, por fiel que sea, es admisible en ventanilla.</w:t>
      </w:r>
    </w:p>
    <w:p>
      <w:r>
        <w:rPr>
          <w:rFonts w:ascii="Times New Roman" w:hAnsi="Times New Roman"/>
          <w:b w:val="0"/>
          <w:i w:val="0"/>
          <w:u w:val="none"/>
        </w:rPr>
        <w:t xml:space="preserve">Lo que sí puede prepararse de antemano, y es lo que se hizo, es la </w:t>
      </w:r>
      <w:r>
        <w:rPr>
          <w:rFonts w:ascii="Times New Roman" w:hAnsi="Times New Roman"/>
          <w:b/>
          <w:i w:val="0"/>
          <w:u w:val="none"/>
        </w:rPr>
        <w:t>hoja de transcripción</w:t>
      </w:r>
      <w:r>
        <w:rPr>
          <w:rFonts w:ascii="Times New Roman" w:hAnsi="Times New Roman"/>
          <w:b w:val="0"/>
          <w:i w:val="0"/>
          <w:u w:val="none"/>
        </w:rPr>
        <w:t>: el documento que fija, campo por campo, el valor exacto que se escribirá en el formato oficial. Los documentos 07 y 08 cumplen esa función y llevan la advertencia expresa de que no sustituyen el formato.</w:t>
      </w:r>
    </w:p>
    <w:tbl>
      <w:tblPr>
        <w:tblStyle w:val="TableGrid"/>
        <w:tblW w:type="auto" w:w="0"/>
        <w:jc w:val="center"/>
        <w:tblLayout w:type="fixed"/>
        <w:tblLook w:firstColumn="1" w:firstRow="1" w:lastColumn="0" w:lastRow="0" w:noHBand="0" w:noVBand="1" w:val="04A0"/>
        <w:tblW w:w="9121" w:type="dxa"/>
        <w:tblLayout w:type="fixed"/>
      </w:tblPr>
      <w:tblGrid>
        <w:gridCol w:w="3101"/>
        <w:gridCol w:w="6020"/>
      </w:tblGrid>
      <w:tr>
        <w:tc>
          <w:tcPr>
            <w:tcW w:type="dxa" w:w="3101"/>
            <w:shd w:val="clear" w:color="auto" w:fill="D9D9D9"/>
          </w:tcPr>
          <w:p>
            <w:pPr>
              <w:spacing w:after="40" w:before="40" w:line="240" w:lineRule="auto"/>
              <w:jc w:val="center"/>
            </w:pPr>
            <w:r>
              <w:rPr>
                <w:rFonts w:ascii="Times New Roman" w:hAnsi="Times New Roman"/>
                <w:b/>
                <w:i w:val="0"/>
                <w:sz w:val="20"/>
                <w:u w:val="none"/>
              </w:rPr>
              <w:t>Formato oficial</w:t>
            </w:r>
          </w:p>
        </w:tc>
        <w:tc>
          <w:tcPr>
            <w:tcW w:type="dxa" w:w="6020"/>
            <w:shd w:val="clear" w:color="auto" w:fill="D9D9D9"/>
          </w:tcPr>
          <w:p>
            <w:pPr>
              <w:spacing w:after="40" w:before="40" w:line="240" w:lineRule="auto"/>
              <w:jc w:val="center"/>
            </w:pPr>
            <w:r>
              <w:rPr>
                <w:rFonts w:ascii="Times New Roman" w:hAnsi="Times New Roman"/>
                <w:b/>
                <w:i w:val="0"/>
                <w:sz w:val="20"/>
                <w:u w:val="none"/>
              </w:rPr>
              <w:t>Dónde se obtiene</w:t>
            </w:r>
          </w:p>
        </w:tc>
      </w:tr>
      <w:tr>
        <w:tc>
          <w:tcPr>
            <w:tcW w:type="dxa" w:w="3101"/>
          </w:tcPr>
          <w:p>
            <w:pPr>
              <w:spacing w:after="40" w:before="40" w:line="240" w:lineRule="auto"/>
              <w:jc w:val="left"/>
            </w:pPr>
            <w:r>
              <w:rPr>
                <w:rFonts w:ascii="Times New Roman" w:hAnsi="Times New Roman"/>
                <w:b w:val="0"/>
                <w:i w:val="0"/>
                <w:sz w:val="20"/>
                <w:u w:val="none"/>
              </w:rPr>
              <w:t>Carátula única empresarial (dos páginas)</w:t>
            </w:r>
          </w:p>
        </w:tc>
        <w:tc>
          <w:tcPr>
            <w:tcW w:type="dxa" w:w="6020"/>
          </w:tcPr>
          <w:p>
            <w:pPr>
              <w:spacing w:after="40" w:before="40" w:line="240" w:lineRule="auto"/>
              <w:jc w:val="left"/>
            </w:pPr>
            <w:r>
              <w:rPr>
                <w:rFonts w:ascii="Times New Roman" w:hAnsi="Times New Roman"/>
                <w:b w:val="0"/>
                <w:i w:val="0"/>
                <w:sz w:val="20"/>
                <w:u w:val="none"/>
              </w:rPr>
              <w:t xml:space="preserve">Sitio de la Cámara de Comercio de Medellín para Antioquia, sección de servicios registrales → registro mercantil → </w:t>
            </w:r>
            <w:r>
              <w:rPr>
                <w:rFonts w:ascii="Times New Roman" w:hAnsi="Times New Roman"/>
                <w:b/>
                <w:i w:val="0"/>
                <w:sz w:val="20"/>
                <w:u w:val="none"/>
              </w:rPr>
              <w:t>"Formatos registro mercantil"</w:t>
            </w:r>
            <w:r>
              <w:rPr>
                <w:rFonts w:ascii="Times New Roman" w:hAnsi="Times New Roman"/>
                <w:b w:val="0"/>
                <w:i w:val="0"/>
                <w:sz w:val="20"/>
                <w:u w:val="none"/>
              </w:rPr>
              <w:t>; y en el portal del RUES, sección "Formatos CAE", que publica el archivo correspondiente a Medellín.</w:t>
            </w:r>
          </w:p>
        </w:tc>
      </w:tr>
      <w:tr>
        <w:tc>
          <w:tcPr>
            <w:tcW w:type="dxa" w:w="3101"/>
          </w:tcPr>
          <w:p>
            <w:pPr>
              <w:spacing w:after="40" w:before="40" w:line="240" w:lineRule="auto"/>
              <w:jc w:val="left"/>
            </w:pPr>
            <w:r>
              <w:rPr>
                <w:rFonts w:ascii="Times New Roman" w:hAnsi="Times New Roman"/>
                <w:b w:val="0"/>
                <w:i w:val="0"/>
                <w:sz w:val="20"/>
                <w:u w:val="none"/>
              </w:rPr>
              <w:t>Anexo 1. Establecimientos de comercio</w:t>
            </w:r>
          </w:p>
        </w:tc>
        <w:tc>
          <w:tcPr>
            <w:tcW w:type="dxa" w:w="6020"/>
          </w:tcPr>
          <w:p>
            <w:pPr>
              <w:spacing w:after="40" w:before="40" w:line="240" w:lineRule="auto"/>
              <w:jc w:val="left"/>
            </w:pPr>
            <w:r>
              <w:rPr>
                <w:rFonts w:ascii="Times New Roman" w:hAnsi="Times New Roman"/>
                <w:b w:val="0"/>
                <w:i w:val="0"/>
                <w:sz w:val="20"/>
                <w:u w:val="none"/>
              </w:rPr>
              <w:t>Mismo origen. Único anexo aplicable a este trámite: el anexo 2 corresponde al Registro Único de Proponentes.</w:t>
            </w:r>
          </w:p>
        </w:tc>
      </w:tr>
      <w:tr>
        <w:tc>
          <w:tcPr>
            <w:tcW w:type="dxa" w:w="3101"/>
          </w:tcPr>
          <w:p>
            <w:pPr>
              <w:spacing w:after="40" w:before="40" w:line="240" w:lineRule="auto"/>
              <w:jc w:val="left"/>
            </w:pPr>
            <w:r>
              <w:rPr>
                <w:rFonts w:ascii="Times New Roman" w:hAnsi="Times New Roman"/>
                <w:b w:val="0"/>
                <w:i w:val="0"/>
                <w:sz w:val="20"/>
                <w:u w:val="none"/>
              </w:rPr>
              <w:t>Instructivo de diligenciamiento del formulario RUES</w:t>
            </w:r>
          </w:p>
        </w:tc>
        <w:tc>
          <w:tcPr>
            <w:tcW w:type="dxa" w:w="6020"/>
          </w:tcPr>
          <w:p>
            <w:pPr>
              <w:spacing w:after="40" w:before="40" w:line="240" w:lineRule="auto"/>
              <w:jc w:val="left"/>
            </w:pPr>
            <w:r>
              <w:rPr>
                <w:rFonts w:ascii="Times New Roman" w:hAnsi="Times New Roman"/>
                <w:b w:val="0"/>
                <w:i w:val="0"/>
                <w:sz w:val="20"/>
                <w:u w:val="none"/>
              </w:rPr>
              <w:t>Mismo sitio de la Cámara, junto a los formularios.</w:t>
            </w:r>
          </w:p>
        </w:tc>
      </w:tr>
      <w:tr>
        <w:tc>
          <w:tcPr>
            <w:tcW w:type="dxa" w:w="3101"/>
          </w:tcPr>
          <w:p>
            <w:pPr>
              <w:spacing w:after="40" w:before="40" w:line="240" w:lineRule="auto"/>
              <w:jc w:val="left"/>
            </w:pPr>
            <w:r>
              <w:rPr>
                <w:rFonts w:ascii="Times New Roman" w:hAnsi="Times New Roman"/>
                <w:b w:val="0"/>
                <w:i w:val="0"/>
                <w:sz w:val="20"/>
                <w:u w:val="none"/>
              </w:rPr>
              <w:t>Formulario adicional de registro con otras entidades</w:t>
            </w:r>
          </w:p>
        </w:tc>
        <w:tc>
          <w:tcPr>
            <w:tcW w:type="dxa" w:w="6020"/>
          </w:tcPr>
          <w:p>
            <w:pPr>
              <w:spacing w:after="40" w:before="40" w:line="240" w:lineRule="auto"/>
              <w:jc w:val="left"/>
            </w:pPr>
            <w:r>
              <w:rPr>
                <w:rFonts w:ascii="Times New Roman" w:hAnsi="Times New Roman"/>
                <w:b w:val="0"/>
                <w:i w:val="0"/>
                <w:sz w:val="20"/>
                <w:u w:val="none"/>
              </w:rPr>
              <w:t>Se entrega en taquilla con la carátula, o se diligencia en la sede virtual de la Cámara.</w:t>
            </w:r>
          </w:p>
        </w:tc>
      </w:tr>
      <w:tr>
        <w:tc>
          <w:tcPr>
            <w:tcW w:type="dxa" w:w="3101"/>
          </w:tcPr>
          <w:p>
            <w:pPr>
              <w:spacing w:after="40" w:before="40" w:line="240" w:lineRule="auto"/>
              <w:jc w:val="left"/>
            </w:pPr>
            <w:r>
              <w:rPr>
                <w:rFonts w:ascii="Times New Roman" w:hAnsi="Times New Roman"/>
                <w:b w:val="0"/>
                <w:i w:val="0"/>
                <w:sz w:val="20"/>
                <w:u w:val="none"/>
              </w:rPr>
              <w:t>Formulario 001. Registro Único Tributario</w:t>
            </w:r>
          </w:p>
        </w:tc>
        <w:tc>
          <w:tcPr>
            <w:tcW w:type="dxa" w:w="6020"/>
          </w:tcPr>
          <w:p>
            <w:pPr>
              <w:spacing w:after="40" w:before="40" w:line="240" w:lineRule="auto"/>
              <w:jc w:val="left"/>
            </w:pPr>
            <w:r>
              <w:rPr>
                <w:rFonts w:ascii="Times New Roman" w:hAnsi="Times New Roman"/>
                <w:b w:val="0"/>
                <w:i w:val="0"/>
                <w:sz w:val="20"/>
                <w:u w:val="none"/>
              </w:rPr>
              <w:t>Portal transaccional de la DIAN, opción de inscripción en el RUT por Cámara de Comercio. No existe versión descargable en blanco.</w:t>
            </w:r>
          </w:p>
        </w:tc>
      </w:tr>
      <w:tr>
        <w:tc>
          <w:tcPr>
            <w:tcW w:type="dxa" w:w="3101"/>
          </w:tcPr>
          <w:p>
            <w:pPr>
              <w:spacing w:after="40" w:before="40" w:line="240" w:lineRule="auto"/>
              <w:jc w:val="left"/>
            </w:pPr>
            <w:r>
              <w:rPr>
                <w:rFonts w:ascii="Times New Roman" w:hAnsi="Times New Roman"/>
                <w:b w:val="0"/>
                <w:i w:val="0"/>
                <w:sz w:val="20"/>
                <w:u w:val="none"/>
              </w:rPr>
              <w:t>Liquidación del impuesto de registro</w:t>
            </w:r>
          </w:p>
        </w:tc>
        <w:tc>
          <w:tcPr>
            <w:tcW w:type="dxa" w:w="6020"/>
          </w:tcPr>
          <w:p>
            <w:pPr>
              <w:spacing w:after="40" w:before="40" w:line="240" w:lineRule="auto"/>
              <w:jc w:val="left"/>
            </w:pPr>
            <w:r>
              <w:rPr>
                <w:rFonts w:ascii="Times New Roman" w:hAnsi="Times New Roman"/>
                <w:b w:val="0"/>
                <w:i w:val="0"/>
                <w:sz w:val="20"/>
                <w:u w:val="none"/>
              </w:rPr>
              <w:t>Portal tributario de la Gobernación de Antioquia, o liquidación practicada por la Cámara cuando opera el convenio de recaudo.</w:t>
            </w:r>
          </w:p>
        </w:tc>
      </w:tr>
    </w:tbl>
    <w:p>
      <w:pPr>
        <w:spacing w:after="80"/>
      </w:pPr>
    </w:p>
    <w:p>
      <w:pPr>
        <w:keepNext/>
        <w:spacing w:before="320" w:after="160"/>
        <w:jc w:val="center"/>
      </w:pPr>
      <w:r>
        <w:rPr>
          <w:rFonts w:ascii="Times New Roman" w:hAnsi="Times New Roman"/>
          <w:b/>
          <w:i w:val="0"/>
          <w:sz w:val="24"/>
          <w:u w:val="none"/>
        </w:rPr>
        <w:t>II. DOCUMENTO POR DOCUMENTO</w:t>
      </w:r>
    </w:p>
    <w:p>
      <w:pPr>
        <w:keepNext/>
        <w:spacing w:before="240" w:after="80"/>
        <w:jc w:val="left"/>
      </w:pPr>
      <w:r>
        <w:rPr>
          <w:rFonts w:ascii="Times New Roman" w:hAnsi="Times New Roman"/>
          <w:b/>
          <w:i w:val="0"/>
          <w:sz w:val="24"/>
          <w:u w:val="none"/>
        </w:rPr>
        <w:t>07. Formularios del RUES: hojas de transcripción</w:t>
      </w:r>
    </w:p>
    <w:p>
      <w:r>
        <w:rPr>
          <w:rFonts w:ascii="Times New Roman" w:hAnsi="Times New Roman"/>
          <w:b/>
          <w:i w:val="0"/>
          <w:u w:val="none"/>
        </w:rPr>
        <w:t>Qué resuelve.</w:t>
      </w:r>
      <w:r>
        <w:rPr>
          <w:rFonts w:ascii="Times New Roman" w:hAnsi="Times New Roman"/>
          <w:b w:val="0"/>
          <w:i w:val="0"/>
          <w:u w:val="none"/>
        </w:rPr>
        <w:t xml:space="preserve"> Que ninguna decisión quede pendiente en la ventanilla. Recorre las dos páginas de la carátula única, el anexo de persona jurídica, el anexo de establecimiento de comercio y el formulario de otras entidades, y fija el valor de cada campo, incluidos los que deben quedar en blanco.</w:t>
      </w:r>
    </w:p>
    <w:p>
      <w:r>
        <w:rPr>
          <w:rFonts w:ascii="Times New Roman" w:hAnsi="Times New Roman"/>
          <w:b/>
          <w:i w:val="0"/>
          <w:u w:val="none"/>
        </w:rPr>
        <w:t>Por qué es distinto del documento 04.</w:t>
      </w:r>
      <w:r>
        <w:rPr>
          <w:rFonts w:ascii="Times New Roman" w:hAnsi="Times New Roman"/>
          <w:b w:val="0"/>
          <w:i w:val="0"/>
          <w:u w:val="none"/>
        </w:rPr>
        <w:t xml:space="preserve"> Aquel es la </w:t>
      </w:r>
      <w:r>
        <w:rPr>
          <w:rFonts w:ascii="Times New Roman" w:hAnsi="Times New Roman"/>
          <w:b/>
          <w:i w:val="0"/>
          <w:u w:val="none"/>
        </w:rPr>
        <w:t>guía explicativa</w:t>
      </w:r>
      <w:r>
        <w:rPr>
          <w:rFonts w:ascii="Times New Roman" w:hAnsi="Times New Roman"/>
          <w:b w:val="0"/>
          <w:i w:val="0"/>
          <w:u w:val="none"/>
        </w:rPr>
        <w:t xml:space="preserve">: dice por qué la actividad principal es la 8692 y no la 9311, por qué el beneficio de la Ley 1780 no cubre el impuesto de registro, cuánto cuesta el trámite. Este es la </w:t>
      </w:r>
      <w:r>
        <w:rPr>
          <w:rFonts w:ascii="Times New Roman" w:hAnsi="Times New Roman"/>
          <w:b/>
          <w:i w:val="0"/>
          <w:u w:val="none"/>
        </w:rPr>
        <w:t>hoja operativa</w:t>
      </w:r>
      <w:r>
        <w:rPr>
          <w:rFonts w:ascii="Times New Roman" w:hAnsi="Times New Roman"/>
          <w:b w:val="0"/>
          <w:i w:val="0"/>
          <w:u w:val="none"/>
        </w:rPr>
        <w:t>: agota los campos, incluidos los triviales, en el orden del formulario. Uno se estudia antes; el otro se lleva a la mano.</w:t>
      </w:r>
    </w:p>
    <w:p>
      <w:r>
        <w:rPr>
          <w:rFonts w:ascii="Times New Roman" w:hAnsi="Times New Roman"/>
          <w:b/>
          <w:i w:val="0"/>
          <w:u w:val="none"/>
        </w:rPr>
        <w:t>El punto que más devoluciones evita.</w:t>
      </w:r>
      <w:r>
        <w:rPr>
          <w:rFonts w:ascii="Times New Roman" w:hAnsi="Times New Roman"/>
          <w:b w:val="0"/>
          <w:i w:val="0"/>
          <w:u w:val="none"/>
        </w:rPr>
        <w:t xml:space="preserve"> La sección 6 del documento cruza cinco datos (razón social, NIT, teléfono, dirección y correo) entre los tres formularios. La discrepancia entre ellos es la causa más frecuente de devolución del trámite, y es enteramente evitable.</w:t>
      </w:r>
    </w:p>
    <w:p>
      <w:pPr>
        <w:keepNext/>
        <w:spacing w:before="240" w:after="80"/>
        <w:jc w:val="left"/>
      </w:pPr>
      <w:r>
        <w:rPr>
          <w:rFonts w:ascii="Times New Roman" w:hAnsi="Times New Roman"/>
          <w:b/>
          <w:i w:val="0"/>
          <w:sz w:val="24"/>
          <w:u w:val="none"/>
        </w:rPr>
        <w:t>08. Formulario 001 del RUT</w:t>
      </w:r>
    </w:p>
    <w:p>
      <w:r>
        <w:rPr>
          <w:rFonts w:ascii="Times New Roman" w:hAnsi="Times New Roman"/>
          <w:b/>
          <w:i w:val="0"/>
          <w:u w:val="none"/>
        </w:rPr>
        <w:t>Qué resuelve.</w:t>
      </w:r>
      <w:r>
        <w:rPr>
          <w:rFonts w:ascii="Times New Roman" w:hAnsi="Times New Roman"/>
          <w:b w:val="0"/>
          <w:i w:val="0"/>
          <w:u w:val="none"/>
        </w:rPr>
        <w:t xml:space="preserve"> El orden del trámite. El RUT provisional debe obtenerse </w:t>
      </w:r>
      <w:r>
        <w:rPr>
          <w:rFonts w:ascii="Times New Roman" w:hAnsi="Times New Roman"/>
          <w:b/>
          <w:i w:val="0"/>
          <w:u w:val="none"/>
        </w:rPr>
        <w:t>antes</w:t>
      </w:r>
      <w:r>
        <w:rPr>
          <w:rFonts w:ascii="Times New Roman" w:hAnsi="Times New Roman"/>
          <w:b w:val="0"/>
          <w:i w:val="0"/>
          <w:u w:val="none"/>
        </w:rPr>
        <w:t xml:space="preserve"> de radicar en la Cámara, porque su número de formulario se transcribe en el formulario adicional de registro con otras entidades. Invertir el orden bloquea el trámite.</w:t>
      </w:r>
    </w:p>
    <w:p>
      <w:r>
        <w:rPr>
          <w:rFonts w:ascii="Times New Roman" w:hAnsi="Times New Roman"/>
          <w:b/>
          <w:i w:val="0"/>
          <w:u w:val="none"/>
        </w:rPr>
        <w:t>La parte que exige criterio jurídico.</w:t>
      </w:r>
      <w:r>
        <w:rPr>
          <w:rFonts w:ascii="Times New Roman" w:hAnsi="Times New Roman"/>
          <w:b w:val="0"/>
          <w:i w:val="0"/>
          <w:u w:val="none"/>
        </w:rPr>
        <w:t xml:space="preserve"> Las responsabilidades tributarias. Marcar una que no corresponde crea obligaciones formales inexistentes cuyo incumplimiento se sanciona; omitir una que sí corresponde genera sanción por extemporaneidad. El documento analiza cada una para este caso concreto y explica por qué la sociedad debe inscribirse como responsable de IVA aunque preste servicios de salud excluidos.</w:t>
      </w:r>
    </w:p>
    <w:p>
      <w:r>
        <w:rPr>
          <w:rFonts w:ascii="Times New Roman" w:hAnsi="Times New Roman"/>
          <w:b/>
          <w:i w:val="0"/>
          <w:u w:val="none"/>
        </w:rPr>
        <w:t>El riesgo tributario específico.</w:t>
      </w:r>
      <w:r>
        <w:rPr>
          <w:rFonts w:ascii="Times New Roman" w:hAnsi="Times New Roman"/>
          <w:b w:val="0"/>
          <w:i w:val="0"/>
          <w:u w:val="none"/>
        </w:rPr>
        <w:t xml:space="preserve"> NOVA BIENESTAR INTEGRAL S.A.S. tendrá dos líneas de negocio con tratamiento opuesto en el impuesto sobre las ventas: la rehabilitación física habilitada está </w:t>
      </w:r>
      <w:r>
        <w:rPr>
          <w:rFonts w:ascii="Times New Roman" w:hAnsi="Times New Roman"/>
          <w:b/>
          <w:i w:val="0"/>
          <w:u w:val="none"/>
        </w:rPr>
        <w:t>excluida</w:t>
      </w:r>
      <w:r>
        <w:rPr>
          <w:rFonts w:ascii="Times New Roman" w:hAnsi="Times New Roman"/>
          <w:b w:val="0"/>
          <w:i w:val="0"/>
          <w:u w:val="none"/>
        </w:rPr>
        <w:t xml:space="preserve"> por el numeral 3.º del artículo 476 del Estatuto Tributario; el gimnasio y el bienestar corporal están </w:t>
      </w:r>
      <w:r>
        <w:rPr>
          <w:rFonts w:ascii="Times New Roman" w:hAnsi="Times New Roman"/>
          <w:b/>
          <w:i w:val="0"/>
          <w:u w:val="none"/>
        </w:rPr>
        <w:t>gravados</w:t>
      </w:r>
      <w:r>
        <w:rPr>
          <w:rFonts w:ascii="Times New Roman" w:hAnsi="Times New Roman"/>
          <w:b w:val="0"/>
          <w:i w:val="0"/>
          <w:u w:val="none"/>
        </w:rPr>
        <w:t>. Tratar toda la operación como excluida por el solo hecho de estar habilitada como prestadora de servicios de salud es un error costoso y frecuente. De ahí la obligación de llevar contabilidad que discrimine ambos ingresos y de aplicar proporcionalidad en los impuestos descontables comunes.</w:t>
      </w:r>
    </w:p>
    <w:p>
      <w:pPr>
        <w:keepNext/>
        <w:spacing w:before="240" w:after="80"/>
        <w:jc w:val="left"/>
      </w:pPr>
      <w:r>
        <w:rPr>
          <w:rFonts w:ascii="Times New Roman" w:hAnsi="Times New Roman"/>
          <w:b/>
          <w:i w:val="0"/>
          <w:sz w:val="24"/>
          <w:u w:val="none"/>
        </w:rPr>
        <w:t>09. Títulos de acciones y comprobantes de aporte</w:t>
      </w:r>
    </w:p>
    <w:p>
      <w:r>
        <w:rPr>
          <w:rFonts w:ascii="Times New Roman" w:hAnsi="Times New Roman"/>
          <w:b/>
          <w:i w:val="0"/>
          <w:u w:val="none"/>
        </w:rPr>
        <w:t>Qué resuelve.</w:t>
      </w:r>
      <w:r>
        <w:rPr>
          <w:rFonts w:ascii="Times New Roman" w:hAnsi="Times New Roman"/>
          <w:b w:val="0"/>
          <w:i w:val="0"/>
          <w:u w:val="none"/>
        </w:rPr>
        <w:t xml:space="preserve"> La prueba de la participación accionaria y el soporte contable del capital.</w:t>
      </w:r>
    </w:p>
    <w:p>
      <w:r>
        <w:rPr>
          <w:rFonts w:ascii="Times New Roman" w:hAnsi="Times New Roman"/>
          <w:b/>
          <w:i w:val="0"/>
          <w:u w:val="none"/>
        </w:rPr>
        <w:t>Fundamento.</w:t>
      </w:r>
      <w:r>
        <w:rPr>
          <w:rFonts w:ascii="Times New Roman" w:hAnsi="Times New Roman"/>
          <w:b w:val="0"/>
          <w:i w:val="0"/>
          <w:u w:val="none"/>
        </w:rPr>
        <w:t xml:space="preserve"> Artículos 399 a 402 del Código de Comercio, aplicables por la remisión del artículo 45 de la Ley 1258 de 2008. El artículo 401 fija las menciones del título y ordena expedirlos en series continuas con las firmas del representante legal y del secretario.</w:t>
      </w:r>
    </w:p>
    <w:p>
      <w:r>
        <w:rPr>
          <w:rFonts w:ascii="Times New Roman" w:hAnsi="Times New Roman"/>
          <w:b/>
          <w:i w:val="0"/>
          <w:u w:val="none"/>
        </w:rPr>
        <w:t>Por qué títulos definitivos y no certificados provisionales.</w:t>
      </w:r>
      <w:r>
        <w:rPr>
          <w:rFonts w:ascii="Times New Roman" w:hAnsi="Times New Roman"/>
          <w:b w:val="0"/>
          <w:i w:val="0"/>
          <w:u w:val="none"/>
        </w:rPr>
        <w:t xml:space="preserve"> El artículo 400 del Código de Comercio dispone que, mientras el valor de las acciones no esté cubierto íntegramente, solo pueden expedirse </w:t>
      </w:r>
      <w:r>
        <w:rPr>
          <w:rFonts w:ascii="Times New Roman" w:hAnsi="Times New Roman"/>
          <w:b/>
          <w:i w:val="0"/>
          <w:u w:val="none"/>
        </w:rPr>
        <w:t>certificados provisionales</w:t>
      </w:r>
      <w:r>
        <w:rPr>
          <w:rFonts w:ascii="Times New Roman" w:hAnsi="Times New Roman"/>
          <w:b w:val="0"/>
          <w:i w:val="0"/>
          <w:u w:val="none"/>
        </w:rPr>
        <w:t xml:space="preserve">. Como en este caso el capital suscrito fue pagado en su totalidad en el acto de constitución, procede expedir </w:t>
      </w:r>
      <w:r>
        <w:rPr>
          <w:rFonts w:ascii="Times New Roman" w:hAnsi="Times New Roman"/>
          <w:b/>
          <w:i w:val="0"/>
          <w:u w:val="none"/>
        </w:rPr>
        <w:t>títulos definitivos</w:t>
      </w:r>
      <w:r>
        <w:rPr>
          <w:rFonts w:ascii="Times New Roman" w:hAnsi="Times New Roman"/>
          <w:b w:val="0"/>
          <w:i w:val="0"/>
          <w:u w:val="none"/>
        </w:rPr>
        <w:t xml:space="preserve"> y las acciones se califican como </w:t>
      </w:r>
      <w:r>
        <w:rPr>
          <w:rFonts w:ascii="Times New Roman" w:hAnsi="Times New Roman"/>
          <w:b/>
          <w:i w:val="0"/>
          <w:u w:val="none"/>
        </w:rPr>
        <w:t>liberadas</w:t>
      </w:r>
      <w:r>
        <w:rPr>
          <w:rFonts w:ascii="Times New Roman" w:hAnsi="Times New Roman"/>
          <w:b w:val="0"/>
          <w:i w:val="0"/>
          <w:u w:val="none"/>
        </w:rPr>
        <w:t>. Esta es una consecuencia directa de la decisión sobre el capital que se defendió en el numeral V.5 del memorando de la primera parte: si el pago se hubiera diferido a dos años, habrían debido expedirse certificados provisionales.</w:t>
      </w:r>
    </w:p>
    <w:p>
      <w:r>
        <w:rPr>
          <w:rFonts w:ascii="Times New Roman" w:hAnsi="Times New Roman"/>
          <w:b/>
          <w:i w:val="0"/>
          <w:u w:val="none"/>
        </w:rPr>
        <w:t>La anotación que no puede faltar.</w:t>
      </w:r>
      <w:r>
        <w:rPr>
          <w:rFonts w:ascii="Times New Roman" w:hAnsi="Times New Roman"/>
          <w:b w:val="0"/>
          <w:i w:val="0"/>
          <w:u w:val="none"/>
        </w:rPr>
        <w:t xml:space="preserve"> El inciso final del artículo 13 de la Ley 1258 de 2008 supedita la oponibilidad de las restricciones a la negociación a que </w:t>
      </w:r>
      <w:r>
        <w:rPr>
          <w:rFonts w:ascii="Times New Roman" w:hAnsi="Times New Roman"/>
          <w:b/>
          <w:i w:val="0"/>
          <w:u w:val="none"/>
        </w:rPr>
        <w:t>consten en los títulos</w:t>
      </w:r>
      <w:r>
        <w:rPr>
          <w:rFonts w:ascii="Times New Roman" w:hAnsi="Times New Roman"/>
          <w:b w:val="0"/>
          <w:i w:val="0"/>
          <w:u w:val="none"/>
        </w:rPr>
        <w:t>. Por eso ambos títulos incorporan la advertencia sobre el derecho de preferencia y sobre la autorización previa de la asamblea. Sin esa mención, un tercero adquirente de buena fe podría alegar que la restricción no le es oponible, y toda la arquitectura de protección construida en los artículos 14 y 15 de los estatutos quedaría en el aire.</w:t>
      </w:r>
    </w:p>
    <w:p>
      <w:r>
        <w:rPr>
          <w:rFonts w:ascii="Times New Roman" w:hAnsi="Times New Roman"/>
          <w:b/>
          <w:i w:val="0"/>
          <w:u w:val="none"/>
        </w:rPr>
        <w:t>Los comprobantes de ingreso.</w:t>
      </w:r>
      <w:r>
        <w:rPr>
          <w:rFonts w:ascii="Times New Roman" w:hAnsi="Times New Roman"/>
          <w:b w:val="0"/>
          <w:i w:val="0"/>
          <w:u w:val="none"/>
        </w:rPr>
        <w:t xml:space="preserve"> Documentan el hecho que la certificación de capital afirma. Son el soporte que un banco, un contratante o la DIAN pedirán para verificar que el capital declarado efectivamente ingresó.</w:t>
      </w:r>
    </w:p>
    <w:p>
      <w:pPr>
        <w:keepNext/>
        <w:spacing w:before="240" w:after="80"/>
        <w:jc w:val="left"/>
      </w:pPr>
      <w:r>
        <w:rPr>
          <w:rFonts w:ascii="Times New Roman" w:hAnsi="Times New Roman"/>
          <w:b/>
          <w:i w:val="0"/>
          <w:sz w:val="24"/>
          <w:u w:val="none"/>
        </w:rPr>
        <w:t>10. Autenticación del documento privado y poder</w:t>
      </w:r>
    </w:p>
    <w:p>
      <w:r>
        <w:rPr>
          <w:rFonts w:ascii="Times New Roman" w:hAnsi="Times New Roman"/>
          <w:b/>
          <w:i w:val="0"/>
          <w:u w:val="none"/>
        </w:rPr>
        <w:t>Qué resuelve.</w:t>
      </w:r>
      <w:r>
        <w:rPr>
          <w:rFonts w:ascii="Times New Roman" w:hAnsi="Times New Roman"/>
          <w:b w:val="0"/>
          <w:i w:val="0"/>
          <w:u w:val="none"/>
        </w:rPr>
        <w:t xml:space="preserve"> La condición de autenticidad sin la cual el documento privado no se inscribe.</w:t>
      </w:r>
    </w:p>
    <w:p>
      <w:r>
        <w:rPr>
          <w:rFonts w:ascii="Times New Roman" w:hAnsi="Times New Roman"/>
          <w:b/>
          <w:i w:val="0"/>
          <w:u w:val="none"/>
        </w:rPr>
        <w:t>Fundamento.</w:t>
      </w:r>
      <w:r>
        <w:rPr>
          <w:rFonts w:ascii="Times New Roman" w:hAnsi="Times New Roman"/>
          <w:b w:val="0"/>
          <w:i w:val="0"/>
          <w:u w:val="none"/>
        </w:rPr>
        <w:t xml:space="preserve"> Artículo 40 del Código de Comercio: todo documento sujeto a registro que no sea auténtico por su naturaleza ni reconocido por las partes debe presentarse personalmente por sus otorgantes ante el secretario de la cámara.</w:t>
      </w:r>
    </w:p>
    <w:p>
      <w:r>
        <w:rPr>
          <w:rFonts w:ascii="Times New Roman" w:hAnsi="Times New Roman"/>
          <w:b/>
          <w:i w:val="0"/>
          <w:u w:val="none"/>
        </w:rPr>
        <w:t>Por qué se ofrecen dos vías.</w:t>
      </w:r>
      <w:r>
        <w:rPr>
          <w:rFonts w:ascii="Times New Roman" w:hAnsi="Times New Roman"/>
          <w:b w:val="0"/>
          <w:i w:val="0"/>
          <w:u w:val="none"/>
        </w:rPr>
        <w:t xml:space="preserve"> Porque los accionistas están domiciliados en municipios distintos (Mariana en Medellín, Felipe en Envigado). La presentación personal ante la Cámara exige que ambos concurran el mismo día a la misma sede; el reconocimiento notarial permite que cada uno comparezca en la notaría de su municipio, en días distintos. Para este caso concreto la vía notarial es la más práctica, aunque tenga costo.</w:t>
      </w:r>
    </w:p>
    <w:p>
      <w:r>
        <w:rPr>
          <w:rFonts w:ascii="Times New Roman" w:hAnsi="Times New Roman"/>
          <w:b/>
          <w:i w:val="0"/>
          <w:u w:val="none"/>
        </w:rPr>
        <w:t>Sobre el poder.</w:t>
      </w:r>
      <w:r>
        <w:rPr>
          <w:rFonts w:ascii="Times New Roman" w:hAnsi="Times New Roman"/>
          <w:b w:val="0"/>
          <w:i w:val="0"/>
          <w:u w:val="none"/>
        </w:rPr>
        <w:t xml:space="preserve"> Es opcional. Solo se necesita si radica el expediente alguien distinto del representante legal, porque la facultad de Mariana ya consta en el artículo transitorio 3.º de los estatutos. Se redactó con </w:t>
      </w:r>
      <w:r>
        <w:rPr>
          <w:rFonts w:ascii="Times New Roman" w:hAnsi="Times New Roman"/>
          <w:b/>
          <w:i w:val="0"/>
          <w:u w:val="none"/>
        </w:rPr>
        <w:t>limitación expresa</w:t>
      </w:r>
      <w:r>
        <w:rPr>
          <w:rFonts w:ascii="Times New Roman" w:hAnsi="Times New Roman"/>
          <w:b w:val="0"/>
          <w:i w:val="0"/>
          <w:u w:val="none"/>
        </w:rPr>
        <w:t>: habilita para tramitar, no para obligar a la sociedad ni para recibir dineros. Un poder general en este punto sería un riesgo innecesario.</w:t>
      </w:r>
    </w:p>
    <w:p>
      <w:pPr>
        <w:keepNext/>
        <w:spacing w:before="240" w:after="80"/>
        <w:jc w:val="left"/>
      </w:pPr>
      <w:r>
        <w:rPr>
          <w:rFonts w:ascii="Times New Roman" w:hAnsi="Times New Roman"/>
          <w:b/>
          <w:i w:val="0"/>
          <w:sz w:val="24"/>
          <w:u w:val="none"/>
        </w:rPr>
        <w:t>11. Impuesto de registro y planilla de radicación</w:t>
      </w:r>
    </w:p>
    <w:p>
      <w:r>
        <w:rPr>
          <w:rFonts w:ascii="Times New Roman" w:hAnsi="Times New Roman"/>
          <w:b/>
          <w:i w:val="0"/>
          <w:u w:val="none"/>
        </w:rPr>
        <w:t>Qué resuelve.</w:t>
      </w:r>
      <w:r>
        <w:rPr>
          <w:rFonts w:ascii="Times New Roman" w:hAnsi="Times New Roman"/>
          <w:b w:val="0"/>
          <w:i w:val="0"/>
          <w:u w:val="none"/>
        </w:rPr>
        <w:t xml:space="preserve"> El componente económico del trámite y el control de la radicación.</w:t>
      </w:r>
    </w:p>
    <w:p>
      <w:r>
        <w:rPr>
          <w:rFonts w:ascii="Times New Roman" w:hAnsi="Times New Roman"/>
          <w:b/>
          <w:i w:val="0"/>
          <w:u w:val="none"/>
        </w:rPr>
        <w:t>La confusión que evita.</w:t>
      </w:r>
      <w:r>
        <w:rPr>
          <w:rFonts w:ascii="Times New Roman" w:hAnsi="Times New Roman"/>
          <w:b w:val="0"/>
          <w:i w:val="0"/>
          <w:u w:val="none"/>
        </w:rPr>
        <w:t xml:space="preserve"> El impuesto de registro no es un derecho cameral. Es un </w:t>
      </w:r>
      <w:r>
        <w:rPr>
          <w:rFonts w:ascii="Times New Roman" w:hAnsi="Times New Roman"/>
          <w:b/>
          <w:i w:val="0"/>
          <w:u w:val="none"/>
        </w:rPr>
        <w:t>tributo departamental</w:t>
      </w:r>
      <w:r>
        <w:rPr>
          <w:rFonts w:ascii="Times New Roman" w:hAnsi="Times New Roman"/>
          <w:b w:val="0"/>
          <w:i w:val="0"/>
          <w:u w:val="none"/>
        </w:rPr>
        <w:t xml:space="preserve"> de la Ley 223 de 1995, cuyo titular es el departamento de Antioquia; la Cámara solo lo recauda por convenio. De ahí que la exención de la Ley 1780, que recae sobre los derechos de matrícula que percibe la Cámara, </w:t>
      </w:r>
      <w:r>
        <w:rPr>
          <w:rFonts w:ascii="Times New Roman" w:hAnsi="Times New Roman"/>
          <w:b/>
          <w:i w:val="0"/>
          <w:u w:val="none"/>
        </w:rPr>
        <w:t>no lo cubra</w:t>
      </w:r>
      <w:r>
        <w:rPr>
          <w:rFonts w:ascii="Times New Roman" w:hAnsi="Times New Roman"/>
          <w:b w:val="0"/>
          <w:i w:val="0"/>
          <w:u w:val="none"/>
        </w:rPr>
        <w:t>. Sostener lo contrario en el trámite conduce a una liquidación oficial de corrección.</w:t>
      </w:r>
    </w:p>
    <w:p>
      <w:r>
        <w:rPr>
          <w:rFonts w:ascii="Times New Roman" w:hAnsi="Times New Roman"/>
          <w:b/>
          <w:i w:val="0"/>
          <w:u w:val="none"/>
        </w:rPr>
        <w:t>La base gravable.</w:t>
      </w:r>
      <w:r>
        <w:rPr>
          <w:rFonts w:ascii="Times New Roman" w:hAnsi="Times New Roman"/>
          <w:b w:val="0"/>
          <w:i w:val="0"/>
          <w:u w:val="none"/>
        </w:rPr>
        <w:t xml:space="preserve"> El artículo 6.º del Decreto 650 de 1996 fija como base, en la constitución de sociedades por acciones, el </w:t>
      </w:r>
      <w:r>
        <w:rPr>
          <w:rFonts w:ascii="Times New Roman" w:hAnsi="Times New Roman"/>
          <w:b/>
          <w:i w:val="0"/>
          <w:u w:val="none"/>
        </w:rPr>
        <w:t>capital suscrito</w:t>
      </w:r>
      <w:r>
        <w:rPr>
          <w:rFonts w:ascii="Times New Roman" w:hAnsi="Times New Roman"/>
          <w:b w:val="0"/>
          <w:i w:val="0"/>
          <w:u w:val="none"/>
        </w:rPr>
        <w:t xml:space="preserve">. Tomar el capital autorizado de $1.200.000.000 duplicaría el impuesto. La base correcta es $600.000.000 y el impuesto, a la tarifa de 0,7 %, asciende a </w:t>
      </w:r>
      <w:r>
        <w:rPr>
          <w:rFonts w:ascii="Times New Roman" w:hAnsi="Times New Roman"/>
          <w:b/>
          <w:i w:val="0"/>
          <w:u w:val="none"/>
        </w:rPr>
        <w:t>$4.200.000</w:t>
      </w:r>
      <w:r>
        <w:rPr>
          <w:rFonts w:ascii="Times New Roman" w:hAnsi="Times New Roman"/>
          <w:b w:val="0"/>
          <w:i w:val="0"/>
          <w:u w:val="none"/>
        </w:rPr>
        <w:t>.</w:t>
      </w:r>
    </w:p>
    <w:p>
      <w:r>
        <w:rPr>
          <w:rFonts w:ascii="Times New Roman" w:hAnsi="Times New Roman"/>
          <w:b/>
          <w:i w:val="0"/>
          <w:u w:val="none"/>
        </w:rPr>
        <w:t>Por qué se verificó la ausencia de prima en colocación.</w:t>
      </w:r>
      <w:r>
        <w:rPr>
          <w:rFonts w:ascii="Times New Roman" w:hAnsi="Times New Roman"/>
          <w:b w:val="0"/>
          <w:i w:val="0"/>
          <w:u w:val="none"/>
        </w:rPr>
        <w:t xml:space="preserve"> Porque cuando el acto implica constituir o incrementar la prima, esa porción tributa a una tarifa especial reducida. Las acciones de NOVA BIENESTAR INTEGRAL S.A.S. se emitieron </w:t>
      </w:r>
      <w:r>
        <w:rPr>
          <w:rFonts w:ascii="Times New Roman" w:hAnsi="Times New Roman"/>
          <w:b/>
          <w:i w:val="0"/>
          <w:u w:val="none"/>
        </w:rPr>
        <w:t>a la par</w:t>
      </w:r>
      <w:r>
        <w:rPr>
          <w:rFonts w:ascii="Times New Roman" w:hAnsi="Times New Roman"/>
          <w:b w:val="0"/>
          <w:i w:val="0"/>
          <w:u w:val="none"/>
        </w:rPr>
        <w:t>, por su valor nominal de $1.000, de modo que no hay prima y toda la base tributa a la tarifa ordinaria. Es una verificación que muchos omiten.</w:t>
      </w:r>
    </w:p>
    <w:p>
      <w:r>
        <w:rPr>
          <w:rFonts w:ascii="Times New Roman" w:hAnsi="Times New Roman"/>
          <w:b/>
          <w:i w:val="0"/>
          <w:u w:val="none"/>
        </w:rPr>
        <w:t>La planilla.</w:t>
      </w:r>
      <w:r>
        <w:rPr>
          <w:rFonts w:ascii="Times New Roman" w:hAnsi="Times New Roman"/>
          <w:b w:val="0"/>
          <w:i w:val="0"/>
          <w:u w:val="none"/>
        </w:rPr>
        <w:t xml:space="preserve"> Quince documentos, diez verificaciones y el registro del resultado. Su utilidad es prosaica pero real: la mayoría de las devoluciones no obedecen a errores de derecho sino a un formulario sin firmar o a un teléfono escrito de dos maneras distintas.</w:t>
      </w:r>
    </w:p>
    <w:p>
      <w:pPr>
        <w:keepNext/>
        <w:spacing w:before="240" w:after="80"/>
        <w:jc w:val="left"/>
      </w:pPr>
      <w:r>
        <w:rPr>
          <w:rFonts w:ascii="Times New Roman" w:hAnsi="Times New Roman"/>
          <w:b/>
          <w:i w:val="0"/>
          <w:sz w:val="24"/>
          <w:u w:val="none"/>
        </w:rPr>
        <w:t>12. Acta n.º 1 de la asamblea general de accionistas</w:t>
      </w:r>
    </w:p>
    <w:p>
      <w:r>
        <w:rPr>
          <w:rFonts w:ascii="Times New Roman" w:hAnsi="Times New Roman"/>
          <w:b/>
          <w:i w:val="0"/>
          <w:u w:val="none"/>
        </w:rPr>
        <w:t>Aclaración necesaria.</w:t>
      </w:r>
      <w:r>
        <w:rPr>
          <w:rFonts w:ascii="Times New Roman" w:hAnsi="Times New Roman"/>
          <w:b w:val="0"/>
          <w:i w:val="0"/>
          <w:u w:val="none"/>
        </w:rPr>
        <w:t xml:space="preserve"> Esta acta </w:t>
      </w:r>
      <w:r>
        <w:rPr>
          <w:rFonts w:ascii="Times New Roman" w:hAnsi="Times New Roman"/>
          <w:b/>
          <w:i w:val="0"/>
          <w:u w:val="none"/>
        </w:rPr>
        <w:t>no es un requisito de la matrícula</w:t>
      </w:r>
      <w:r>
        <w:rPr>
          <w:rFonts w:ascii="Times New Roman" w:hAnsi="Times New Roman"/>
          <w:b w:val="0"/>
          <w:i w:val="0"/>
          <w:u w:val="none"/>
        </w:rPr>
        <w:t>. Los nombramientos ya constan en el artículo transitorio 1.º del documento de constitución, y es ese documento, no un acta, el que la Cámara inscribe. Presentarla como requisito registral sería un error.</w:t>
      </w:r>
    </w:p>
    <w:p>
      <w:r>
        <w:rPr>
          <w:rFonts w:ascii="Times New Roman" w:hAnsi="Times New Roman"/>
          <w:b/>
          <w:i w:val="0"/>
          <w:u w:val="none"/>
        </w:rPr>
        <w:t>Entonces, ¿por qué se elabora?</w:t>
      </w:r>
      <w:r>
        <w:rPr>
          <w:rFonts w:ascii="Times New Roman" w:hAnsi="Times New Roman"/>
          <w:b w:val="0"/>
          <w:i w:val="0"/>
          <w:u w:val="none"/>
        </w:rPr>
        <w:t xml:space="preserve"> Por dos razones. La primera es práctica: una sociedad recién constituida debe adoptar decisiones que no caben en los estatutos (designar contador, autorizar la apertura de cuentas bancarias, autorizar los actos de puesta en marcha que superan la limitación de cuantía del artículo 28, fijar la remuneración de los administradores). La segunda es documental: el libro de actas debe abrirse con una primera anotación, y una sociedad cuyo libro de actas está vacío tiene dificultades para acreditar sus decisiones ante bancos, aseguradoras y contratantes.</w:t>
      </w:r>
    </w:p>
    <w:p>
      <w:r>
        <w:rPr>
          <w:rFonts w:ascii="Times New Roman" w:hAnsi="Times New Roman"/>
          <w:b/>
          <w:i w:val="0"/>
          <w:u w:val="none"/>
        </w:rPr>
        <w:t>La decisión más relevante del acta.</w:t>
      </w:r>
      <w:r>
        <w:rPr>
          <w:rFonts w:ascii="Times New Roman" w:hAnsi="Times New Roman"/>
          <w:b w:val="0"/>
          <w:i w:val="0"/>
          <w:u w:val="none"/>
        </w:rPr>
        <w:t xml:space="preserve"> El punto séptimo. El artículo 28 de los estatutos exige autorización previa de la asamblea para actos superiores a 100 SMLMV. Esa limitación, que protege al accionista minoritario, tendría un efecto perverso si no se anticipara: paralizaría el arrendamiento de la sede y la compra de equipos, que son precisamente los actos con los que la sociedad arranca. El acta resuelve la tensión mediante una </w:t>
      </w:r>
      <w:r>
        <w:rPr>
          <w:rFonts w:ascii="Times New Roman" w:hAnsi="Times New Roman"/>
          <w:b/>
          <w:i w:val="0"/>
          <w:u w:val="none"/>
        </w:rPr>
        <w:t>autorización especial, de cuantía limitada y con vigencia de doce meses</w:t>
      </w:r>
      <w:r>
        <w:rPr>
          <w:rFonts w:ascii="Times New Roman" w:hAnsi="Times New Roman"/>
          <w:b w:val="0"/>
          <w:i w:val="0"/>
          <w:u w:val="none"/>
        </w:rPr>
        <w:t>, que habilita los actos de puesta en marcha sin desmontar la limitación estatutaria. Es un buen ejemplo de cómo una cláusula de gobierno corporativo debe administrarse, no solo redactarse.</w:t>
      </w:r>
    </w:p>
    <w:p>
      <w:r>
        <w:rPr>
          <w:rFonts w:ascii="Times New Roman" w:hAnsi="Times New Roman"/>
          <w:b/>
          <w:i w:val="0"/>
          <w:u w:val="none"/>
        </w:rPr>
        <w:t>Su naturaleza de reunión universal.</w:t>
      </w:r>
      <w:r>
        <w:rPr>
          <w:rFonts w:ascii="Times New Roman" w:hAnsi="Times New Roman"/>
          <w:b w:val="0"/>
          <w:i w:val="0"/>
          <w:u w:val="none"/>
        </w:rPr>
        <w:t xml:space="preserve"> Se estructuró como reunión universal, sin convocatoria previa, porque está presente el 100 % de las acciones suscritas, hipótesis expresamente prevista en el parágrafo tercero del artículo 20 de los estatutos y en el artículo 426 del Código de Comercio. Y se dejó constancia de la renuncia a la convocatoria y al derecho de inspección, conforme al artículo 21 de la Ley 1258 de 2008.</w:t>
      </w:r>
    </w:p>
    <w:p>
      <w:pPr>
        <w:keepNext/>
        <w:spacing w:before="240" w:after="80"/>
        <w:jc w:val="left"/>
      </w:pPr>
      <w:r>
        <w:rPr>
          <w:rFonts w:ascii="Times New Roman" w:hAnsi="Times New Roman"/>
          <w:b/>
          <w:i w:val="0"/>
          <w:sz w:val="24"/>
          <w:u w:val="none"/>
        </w:rPr>
        <w:t>13. Solicitudes ante otras entidades</w:t>
      </w:r>
    </w:p>
    <w:p>
      <w:r>
        <w:rPr>
          <w:rFonts w:ascii="Times New Roman" w:hAnsi="Times New Roman"/>
          <w:b/>
          <w:i w:val="0"/>
          <w:u w:val="none"/>
        </w:rPr>
        <w:t>Qué resuelve.</w:t>
      </w:r>
      <w:r>
        <w:rPr>
          <w:rFonts w:ascii="Times New Roman" w:hAnsi="Times New Roman"/>
          <w:b w:val="0"/>
          <w:i w:val="0"/>
          <w:u w:val="none"/>
        </w:rPr>
        <w:t xml:space="preserve"> El tránsito entre existir y poder operar.</w:t>
      </w:r>
    </w:p>
    <w:p>
      <w:r>
        <w:rPr>
          <w:rFonts w:ascii="Times New Roman" w:hAnsi="Times New Roman"/>
          <w:b/>
          <w:i w:val="0"/>
          <w:u w:val="none"/>
        </w:rPr>
        <w:t>El requisito determinante.</w:t>
      </w:r>
      <w:r>
        <w:rPr>
          <w:rFonts w:ascii="Times New Roman" w:hAnsi="Times New Roman"/>
          <w:b w:val="0"/>
          <w:i w:val="0"/>
          <w:u w:val="none"/>
        </w:rPr>
        <w:t xml:space="preserve"> La </w:t>
      </w:r>
      <w:r>
        <w:rPr>
          <w:rFonts w:ascii="Times New Roman" w:hAnsi="Times New Roman"/>
          <w:b/>
          <w:i w:val="0"/>
          <w:u w:val="none"/>
        </w:rPr>
        <w:t>habilitación de servicios de salud</w:t>
      </w:r>
      <w:r>
        <w:rPr>
          <w:rFonts w:ascii="Times New Roman" w:hAnsi="Times New Roman"/>
          <w:b w:val="0"/>
          <w:i w:val="0"/>
          <w:u w:val="none"/>
        </w:rPr>
        <w:t xml:space="preserve">. La rehabilitación física (fisioterapia, terapia ocupacional, terapia respiratoria) es servicio de salud sujeto a habilitación conforme a la Resolución 3100 de 2019. El prestador queda inscrito y el servicio habilitado </w:t>
      </w:r>
      <w:r>
        <w:rPr>
          <w:rFonts w:ascii="Times New Roman" w:hAnsi="Times New Roman"/>
          <w:b/>
          <w:i w:val="0"/>
          <w:u w:val="none"/>
        </w:rPr>
        <w:t>a partir de la autorización en el REPS</w:t>
      </w:r>
      <w:r>
        <w:rPr>
          <w:rFonts w:ascii="Times New Roman" w:hAnsi="Times New Roman"/>
          <w:b w:val="0"/>
          <w:i w:val="0"/>
          <w:u w:val="none"/>
        </w:rPr>
        <w:t>, y solo desde ese momento puede ofertar y prestar. Antes de eso, la sociedad existe, tiene NIT y está matriculada, pero no puede atender pacientes.</w:t>
      </w:r>
    </w:p>
    <w:p>
      <w:r>
        <w:rPr>
          <w:rFonts w:ascii="Times New Roman" w:hAnsi="Times New Roman"/>
          <w:b/>
          <w:i w:val="0"/>
          <w:u w:val="none"/>
        </w:rPr>
        <w:t>La dualidad regulatoria del negocio.</w:t>
      </w:r>
      <w:r>
        <w:rPr>
          <w:rFonts w:ascii="Times New Roman" w:hAnsi="Times New Roman"/>
          <w:b w:val="0"/>
          <w:i w:val="0"/>
          <w:u w:val="none"/>
        </w:rPr>
        <w:t xml:space="preserve"> Conviene tenerla presente porque atraviesa todo el expediente: la línea de rehabilitación es servicio de salud (habilitación, historia clínica, ReTHUS, IVA excluido); la línea de gimnasio y bienestar corporal no lo es (concepto sanitario y de bomberos, IVA gravado, derechos de autor por música ambiental). Son dos regímenes distintos operando en la misma dirección física y bajo el mismo NIT.</w:t>
      </w:r>
    </w:p>
    <w:p>
      <w:r>
        <w:rPr>
          <w:rFonts w:ascii="Times New Roman" w:hAnsi="Times New Roman"/>
          <w:b/>
          <w:i w:val="0"/>
          <w:u w:val="none"/>
        </w:rPr>
        <w:t>Los cinco requisitos de la Ley 232 de 1995.</w:t>
      </w:r>
      <w:r>
        <w:rPr>
          <w:rFonts w:ascii="Times New Roman" w:hAnsi="Times New Roman"/>
          <w:b w:val="0"/>
          <w:i w:val="0"/>
          <w:u w:val="none"/>
        </w:rPr>
        <w:t xml:space="preserve"> Uso del suelo, condiciones sanitarias y de seguridad, derechos de autor, matrícula mercantil vigente y comunicación de apertura. Se sistematizaron en el cuadro A del documento porque su incumplimiento habilita el cierre del establecimiento por la autoridad de policía, con independencia de que la sociedad esté perfectamente constituida.</w:t>
      </w:r>
    </w:p>
    <w:p>
      <w:r>
        <w:rPr>
          <w:rFonts w:ascii="Times New Roman" w:hAnsi="Times New Roman"/>
          <w:b/>
          <w:i w:val="0"/>
          <w:u w:val="none"/>
        </w:rPr>
        <w:t>Lo que se verificó y no resultó exigible.</w:t>
      </w:r>
      <w:r>
        <w:rPr>
          <w:rFonts w:ascii="Times New Roman" w:hAnsi="Times New Roman"/>
          <w:b w:val="0"/>
          <w:i w:val="0"/>
          <w:u w:val="none"/>
        </w:rPr>
        <w:t xml:space="preserve"> El registro de las bases de datos ante la Superintendencia de Industria y Comercio. La obligación depende de que los activos totales superen los topes fijados por la reglamentación, y con activos de $600.000.000 la sociedad queda por debajo. Se dejó anotada la necesidad de revisarlo cada año, porque el crecimiento del patrimonio puede activarla.</w:t>
      </w:r>
    </w:p>
    <w:p>
      <w:pPr>
        <w:keepNext/>
        <w:spacing w:before="320" w:after="160"/>
        <w:jc w:val="center"/>
      </w:pPr>
      <w:r>
        <w:rPr>
          <w:rFonts w:ascii="Times New Roman" w:hAnsi="Times New Roman"/>
          <w:b/>
          <w:i w:val="0"/>
          <w:sz w:val="24"/>
          <w:u w:val="none"/>
        </w:rPr>
        <w:t>III. RUTA CRONOLÓGICA CONSOLIDADA</w:t>
      </w:r>
    </w:p>
    <w:p>
      <w:r>
        <w:rPr>
          <w:rFonts w:ascii="Times New Roman" w:hAnsi="Times New Roman"/>
          <w:b w:val="0"/>
          <w:i w:val="0"/>
          <w:u w:val="none"/>
        </w:rPr>
        <w:t>Reunidos los documentos de las dos partes, la secuencia completa es la siguiente. El orden importa: varios pasos son insumo del siguiente.</w:t>
      </w:r>
    </w:p>
    <w:tbl>
      <w:tblPr>
        <w:tblStyle w:val="TableGrid"/>
        <w:tblW w:type="auto" w:w="0"/>
        <w:jc w:val="center"/>
        <w:tblLayout w:type="fixed"/>
        <w:tblLook w:firstColumn="1" w:firstRow="1" w:lastColumn="0" w:lastRow="0" w:noHBand="0" w:noVBand="1" w:val="04A0"/>
        <w:tblW w:w="9123" w:type="dxa"/>
        <w:tblLayout w:type="fixed"/>
      </w:tblPr>
      <w:tblGrid>
        <w:gridCol w:w="730"/>
        <w:gridCol w:w="2737"/>
        <w:gridCol w:w="2919"/>
        <w:gridCol w:w="2737"/>
      </w:tblGrid>
      <w:tr>
        <w:tc>
          <w:tcPr>
            <w:tcW w:type="dxa" w:w="730"/>
            <w:shd w:val="clear" w:color="auto" w:fill="D9D9D9"/>
          </w:tcPr>
          <w:p>
            <w:pPr>
              <w:spacing w:after="40" w:before="40" w:line="240" w:lineRule="auto"/>
              <w:jc w:val="center"/>
            </w:pPr>
            <w:r>
              <w:rPr>
                <w:rFonts w:ascii="Times New Roman" w:hAnsi="Times New Roman"/>
                <w:b/>
                <w:i w:val="0"/>
                <w:sz w:val="20"/>
                <w:u w:val="none"/>
              </w:rPr>
              <w:t>N.º</w:t>
            </w:r>
          </w:p>
        </w:tc>
        <w:tc>
          <w:tcPr>
            <w:tcW w:type="dxa" w:w="2737"/>
            <w:shd w:val="clear" w:color="auto" w:fill="D9D9D9"/>
          </w:tcPr>
          <w:p>
            <w:pPr>
              <w:spacing w:after="40" w:before="40" w:line="240" w:lineRule="auto"/>
              <w:jc w:val="center"/>
            </w:pPr>
            <w:r>
              <w:rPr>
                <w:rFonts w:ascii="Times New Roman" w:hAnsi="Times New Roman"/>
                <w:b/>
                <w:i w:val="0"/>
                <w:sz w:val="20"/>
                <w:u w:val="none"/>
              </w:rPr>
              <w:t>Actuación</w:t>
            </w:r>
          </w:p>
        </w:tc>
        <w:tc>
          <w:tcPr>
            <w:tcW w:type="dxa" w:w="2919"/>
            <w:shd w:val="clear" w:color="auto" w:fill="D9D9D9"/>
          </w:tcPr>
          <w:p>
            <w:pPr>
              <w:spacing w:after="40" w:before="40" w:line="240" w:lineRule="auto"/>
              <w:jc w:val="center"/>
            </w:pPr>
            <w:r>
              <w:rPr>
                <w:rFonts w:ascii="Times New Roman" w:hAnsi="Times New Roman"/>
                <w:b/>
                <w:i w:val="0"/>
                <w:sz w:val="20"/>
                <w:u w:val="none"/>
              </w:rPr>
              <w:t>Documento del expediente</w:t>
            </w:r>
          </w:p>
        </w:tc>
        <w:tc>
          <w:tcPr>
            <w:tcW w:type="dxa" w:w="2737"/>
            <w:shd w:val="clear" w:color="auto" w:fill="D9D9D9"/>
          </w:tcPr>
          <w:p>
            <w:pPr>
              <w:spacing w:after="40" w:before="40" w:line="240" w:lineRule="auto"/>
              <w:jc w:val="center"/>
            </w:pPr>
            <w:r>
              <w:rPr>
                <w:rFonts w:ascii="Times New Roman" w:hAnsi="Times New Roman"/>
                <w:b/>
                <w:i w:val="0"/>
                <w:sz w:val="20"/>
                <w:u w:val="none"/>
              </w:rPr>
              <w:t>Producto</w:t>
            </w:r>
          </w:p>
        </w:tc>
      </w:tr>
      <w:tr>
        <w:tc>
          <w:tcPr>
            <w:tcW w:type="dxa" w:w="730"/>
          </w:tcPr>
          <w:p>
            <w:pPr>
              <w:spacing w:after="40" w:before="40" w:line="240" w:lineRule="auto"/>
              <w:jc w:val="left"/>
            </w:pPr>
            <w:r>
              <w:rPr>
                <w:rFonts w:ascii="Times New Roman" w:hAnsi="Times New Roman"/>
                <w:b w:val="0"/>
                <w:i w:val="0"/>
                <w:sz w:val="20"/>
                <w:u w:val="none"/>
              </w:rPr>
              <w:t>1</w:t>
            </w:r>
          </w:p>
        </w:tc>
        <w:tc>
          <w:tcPr>
            <w:tcW w:type="dxa" w:w="2737"/>
          </w:tcPr>
          <w:p>
            <w:pPr>
              <w:spacing w:after="40" w:before="40" w:line="240" w:lineRule="auto"/>
              <w:jc w:val="left"/>
            </w:pPr>
            <w:r>
              <w:rPr>
                <w:rFonts w:ascii="Times New Roman" w:hAnsi="Times New Roman"/>
                <w:b w:val="0"/>
                <w:i w:val="0"/>
                <w:sz w:val="20"/>
                <w:u w:val="none"/>
              </w:rPr>
              <w:t>Consulta de homonimia en el RUES</w:t>
            </w:r>
          </w:p>
        </w:tc>
        <w:tc>
          <w:tcPr>
            <w:tcW w:type="dxa" w:w="2919"/>
          </w:tcPr>
          <w:p>
            <w:pPr>
              <w:spacing w:after="40" w:before="40" w:line="240" w:lineRule="auto"/>
              <w:jc w:val="left"/>
            </w:pPr>
            <w:r>
              <w:rPr>
                <w:rFonts w:ascii="Times New Roman" w:hAnsi="Times New Roman"/>
                <w:b w:val="0"/>
                <w:i w:val="0"/>
                <w:sz w:val="20"/>
                <w:u w:val="none"/>
              </w:rPr>
              <w:t>Doc. 04, paso 1</w:t>
            </w:r>
          </w:p>
        </w:tc>
        <w:tc>
          <w:tcPr>
            <w:tcW w:type="dxa" w:w="2737"/>
          </w:tcPr>
          <w:p>
            <w:pPr>
              <w:spacing w:after="40" w:before="40" w:line="240" w:lineRule="auto"/>
              <w:jc w:val="left"/>
            </w:pPr>
            <w:r>
              <w:rPr>
                <w:rFonts w:ascii="Times New Roman" w:hAnsi="Times New Roman"/>
                <w:b w:val="0"/>
                <w:i w:val="0"/>
                <w:sz w:val="20"/>
                <w:u w:val="none"/>
              </w:rPr>
              <w:t>Verificación de disponibilidad del nombre</w:t>
            </w:r>
          </w:p>
        </w:tc>
      </w:tr>
      <w:tr>
        <w:tc>
          <w:tcPr>
            <w:tcW w:type="dxa" w:w="730"/>
          </w:tcPr>
          <w:p>
            <w:pPr>
              <w:spacing w:after="40" w:before="40" w:line="240" w:lineRule="auto"/>
              <w:jc w:val="left"/>
            </w:pPr>
            <w:r>
              <w:rPr>
                <w:rFonts w:ascii="Times New Roman" w:hAnsi="Times New Roman"/>
                <w:b w:val="0"/>
                <w:i w:val="0"/>
                <w:sz w:val="20"/>
                <w:u w:val="none"/>
              </w:rPr>
              <w:t>2</w:t>
            </w:r>
          </w:p>
        </w:tc>
        <w:tc>
          <w:tcPr>
            <w:tcW w:type="dxa" w:w="2737"/>
          </w:tcPr>
          <w:p>
            <w:pPr>
              <w:spacing w:after="40" w:before="40" w:line="240" w:lineRule="auto"/>
              <w:jc w:val="left"/>
            </w:pPr>
            <w:r>
              <w:rPr>
                <w:rFonts w:ascii="Times New Roman" w:hAnsi="Times New Roman"/>
                <w:b w:val="0"/>
                <w:i w:val="0"/>
                <w:sz w:val="20"/>
                <w:u w:val="none"/>
              </w:rPr>
              <w:t>Consulta de uso del suelo</w:t>
            </w:r>
          </w:p>
        </w:tc>
        <w:tc>
          <w:tcPr>
            <w:tcW w:type="dxa" w:w="2919"/>
          </w:tcPr>
          <w:p>
            <w:pPr>
              <w:spacing w:after="40" w:before="40" w:line="240" w:lineRule="auto"/>
              <w:jc w:val="left"/>
            </w:pPr>
            <w:r>
              <w:rPr>
                <w:rFonts w:ascii="Times New Roman" w:hAnsi="Times New Roman"/>
                <w:b w:val="0"/>
                <w:i w:val="0"/>
                <w:sz w:val="20"/>
                <w:u w:val="none"/>
              </w:rPr>
              <w:t>Doc. 13</w:t>
            </w:r>
          </w:p>
        </w:tc>
        <w:tc>
          <w:tcPr>
            <w:tcW w:type="dxa" w:w="2737"/>
          </w:tcPr>
          <w:p>
            <w:pPr>
              <w:spacing w:after="40" w:before="40" w:line="240" w:lineRule="auto"/>
              <w:jc w:val="left"/>
            </w:pPr>
            <w:r>
              <w:rPr>
                <w:rFonts w:ascii="Times New Roman" w:hAnsi="Times New Roman"/>
                <w:b w:val="0"/>
                <w:i w:val="0"/>
                <w:sz w:val="20"/>
                <w:u w:val="none"/>
              </w:rPr>
              <w:t>Concepto de viabilidad urbanística</w:t>
            </w:r>
          </w:p>
        </w:tc>
      </w:tr>
      <w:tr>
        <w:tc>
          <w:tcPr>
            <w:tcW w:type="dxa" w:w="730"/>
          </w:tcPr>
          <w:p>
            <w:pPr>
              <w:spacing w:after="40" w:before="40" w:line="240" w:lineRule="auto"/>
              <w:jc w:val="left"/>
            </w:pPr>
            <w:r>
              <w:rPr>
                <w:rFonts w:ascii="Times New Roman" w:hAnsi="Times New Roman"/>
                <w:b w:val="0"/>
                <w:i w:val="0"/>
                <w:sz w:val="20"/>
                <w:u w:val="none"/>
              </w:rPr>
              <w:t>3</w:t>
            </w:r>
          </w:p>
        </w:tc>
        <w:tc>
          <w:tcPr>
            <w:tcW w:type="dxa" w:w="2737"/>
          </w:tcPr>
          <w:p>
            <w:pPr>
              <w:spacing w:after="40" w:before="40" w:line="240" w:lineRule="auto"/>
              <w:jc w:val="left"/>
            </w:pPr>
            <w:r>
              <w:rPr>
                <w:rFonts w:ascii="Times New Roman" w:hAnsi="Times New Roman"/>
                <w:b w:val="0"/>
                <w:i w:val="0"/>
                <w:sz w:val="20"/>
                <w:u w:val="none"/>
              </w:rPr>
              <w:t>Suscripción del documento de constitución</w:t>
            </w:r>
          </w:p>
        </w:tc>
        <w:tc>
          <w:tcPr>
            <w:tcW w:type="dxa" w:w="2919"/>
          </w:tcPr>
          <w:p>
            <w:pPr>
              <w:spacing w:after="40" w:before="40" w:line="240" w:lineRule="auto"/>
              <w:jc w:val="left"/>
            </w:pPr>
            <w:r>
              <w:rPr>
                <w:rFonts w:ascii="Times New Roman" w:hAnsi="Times New Roman"/>
                <w:b w:val="0"/>
                <w:i w:val="0"/>
                <w:sz w:val="20"/>
                <w:u w:val="none"/>
              </w:rPr>
              <w:t>Doc. 01</w:t>
            </w:r>
          </w:p>
        </w:tc>
        <w:tc>
          <w:tcPr>
            <w:tcW w:type="dxa" w:w="2737"/>
          </w:tcPr>
          <w:p>
            <w:pPr>
              <w:spacing w:after="40" w:before="40" w:line="240" w:lineRule="auto"/>
              <w:jc w:val="left"/>
            </w:pPr>
            <w:r>
              <w:rPr>
                <w:rFonts w:ascii="Times New Roman" w:hAnsi="Times New Roman"/>
                <w:b w:val="0"/>
                <w:i w:val="0"/>
                <w:sz w:val="20"/>
                <w:u w:val="none"/>
              </w:rPr>
              <w:t>Acto constitutivo firmado</w:t>
            </w:r>
          </w:p>
        </w:tc>
      </w:tr>
      <w:tr>
        <w:tc>
          <w:tcPr>
            <w:tcW w:type="dxa" w:w="730"/>
          </w:tcPr>
          <w:p>
            <w:pPr>
              <w:spacing w:after="40" w:before="40" w:line="240" w:lineRule="auto"/>
              <w:jc w:val="left"/>
            </w:pPr>
            <w:r>
              <w:rPr>
                <w:rFonts w:ascii="Times New Roman" w:hAnsi="Times New Roman"/>
                <w:b w:val="0"/>
                <w:i w:val="0"/>
                <w:sz w:val="20"/>
                <w:u w:val="none"/>
              </w:rPr>
              <w:t>4</w:t>
            </w:r>
          </w:p>
        </w:tc>
        <w:tc>
          <w:tcPr>
            <w:tcW w:type="dxa" w:w="2737"/>
          </w:tcPr>
          <w:p>
            <w:pPr>
              <w:spacing w:after="40" w:before="40" w:line="240" w:lineRule="auto"/>
              <w:jc w:val="left"/>
            </w:pPr>
            <w:r>
              <w:rPr>
                <w:rFonts w:ascii="Times New Roman" w:hAnsi="Times New Roman"/>
                <w:b w:val="0"/>
                <w:i w:val="0"/>
                <w:sz w:val="20"/>
                <w:u w:val="none"/>
              </w:rPr>
              <w:t>Presentación personal o reconocimiento notarial</w:t>
            </w:r>
          </w:p>
        </w:tc>
        <w:tc>
          <w:tcPr>
            <w:tcW w:type="dxa" w:w="2919"/>
          </w:tcPr>
          <w:p>
            <w:pPr>
              <w:spacing w:after="40" w:before="40" w:line="240" w:lineRule="auto"/>
              <w:jc w:val="left"/>
            </w:pPr>
            <w:r>
              <w:rPr>
                <w:rFonts w:ascii="Times New Roman" w:hAnsi="Times New Roman"/>
                <w:b w:val="0"/>
                <w:i w:val="0"/>
                <w:sz w:val="20"/>
                <w:u w:val="none"/>
              </w:rPr>
              <w:t>Doc. 10</w:t>
            </w:r>
          </w:p>
        </w:tc>
        <w:tc>
          <w:tcPr>
            <w:tcW w:type="dxa" w:w="2737"/>
          </w:tcPr>
          <w:p>
            <w:pPr>
              <w:spacing w:after="40" w:before="40" w:line="240" w:lineRule="auto"/>
              <w:jc w:val="left"/>
            </w:pPr>
            <w:r>
              <w:rPr>
                <w:rFonts w:ascii="Times New Roman" w:hAnsi="Times New Roman"/>
                <w:b w:val="0"/>
                <w:i w:val="0"/>
                <w:sz w:val="20"/>
                <w:u w:val="none"/>
              </w:rPr>
              <w:t>Documento auténtico</w:t>
            </w:r>
          </w:p>
        </w:tc>
      </w:tr>
      <w:tr>
        <w:tc>
          <w:tcPr>
            <w:tcW w:type="dxa" w:w="730"/>
          </w:tcPr>
          <w:p>
            <w:pPr>
              <w:spacing w:after="40" w:before="40" w:line="240" w:lineRule="auto"/>
              <w:jc w:val="left"/>
            </w:pPr>
            <w:r>
              <w:rPr>
                <w:rFonts w:ascii="Times New Roman" w:hAnsi="Times New Roman"/>
                <w:b w:val="0"/>
                <w:i w:val="0"/>
                <w:sz w:val="20"/>
                <w:u w:val="none"/>
              </w:rPr>
              <w:t>5</w:t>
            </w:r>
          </w:p>
        </w:tc>
        <w:tc>
          <w:tcPr>
            <w:tcW w:type="dxa" w:w="2737"/>
          </w:tcPr>
          <w:p>
            <w:pPr>
              <w:spacing w:after="40" w:before="40" w:line="240" w:lineRule="auto"/>
              <w:jc w:val="left"/>
            </w:pPr>
            <w:r>
              <w:rPr>
                <w:rFonts w:ascii="Times New Roman" w:hAnsi="Times New Roman"/>
                <w:b w:val="0"/>
                <w:i w:val="0"/>
                <w:sz w:val="20"/>
                <w:u w:val="none"/>
              </w:rPr>
              <w:t>Aceptación de los cargos</w:t>
            </w:r>
          </w:p>
        </w:tc>
        <w:tc>
          <w:tcPr>
            <w:tcW w:type="dxa" w:w="2919"/>
          </w:tcPr>
          <w:p>
            <w:pPr>
              <w:spacing w:after="40" w:before="40" w:line="240" w:lineRule="auto"/>
              <w:jc w:val="left"/>
            </w:pPr>
            <w:r>
              <w:rPr>
                <w:rFonts w:ascii="Times New Roman" w:hAnsi="Times New Roman"/>
                <w:b w:val="0"/>
                <w:i w:val="0"/>
                <w:sz w:val="20"/>
                <w:u w:val="none"/>
              </w:rPr>
              <w:t>Doc. 02</w:t>
            </w:r>
          </w:p>
        </w:tc>
        <w:tc>
          <w:tcPr>
            <w:tcW w:type="dxa" w:w="2737"/>
          </w:tcPr>
          <w:p>
            <w:pPr>
              <w:spacing w:after="40" w:before="40" w:line="240" w:lineRule="auto"/>
              <w:jc w:val="left"/>
            </w:pPr>
            <w:r>
              <w:rPr>
                <w:rFonts w:ascii="Times New Roman" w:hAnsi="Times New Roman"/>
                <w:b w:val="0"/>
                <w:i w:val="0"/>
                <w:sz w:val="20"/>
                <w:u w:val="none"/>
              </w:rPr>
              <w:t>Aceptaciones firmadas</w:t>
            </w:r>
          </w:p>
        </w:tc>
      </w:tr>
      <w:tr>
        <w:tc>
          <w:tcPr>
            <w:tcW w:type="dxa" w:w="730"/>
          </w:tcPr>
          <w:p>
            <w:pPr>
              <w:spacing w:after="40" w:before="40" w:line="240" w:lineRule="auto"/>
              <w:jc w:val="left"/>
            </w:pPr>
            <w:r>
              <w:rPr>
                <w:rFonts w:ascii="Times New Roman" w:hAnsi="Times New Roman"/>
                <w:b w:val="0"/>
                <w:i w:val="0"/>
                <w:sz w:val="20"/>
                <w:u w:val="none"/>
              </w:rPr>
              <w:t>6</w:t>
            </w:r>
          </w:p>
        </w:tc>
        <w:tc>
          <w:tcPr>
            <w:tcW w:type="dxa" w:w="2737"/>
          </w:tcPr>
          <w:p>
            <w:pPr>
              <w:spacing w:after="40" w:before="40" w:line="240" w:lineRule="auto"/>
              <w:jc w:val="left"/>
            </w:pPr>
            <w:r>
              <w:rPr>
                <w:rFonts w:ascii="Times New Roman" w:hAnsi="Times New Roman"/>
                <w:b w:val="0"/>
                <w:i w:val="0"/>
                <w:sz w:val="20"/>
                <w:u w:val="none"/>
              </w:rPr>
              <w:t>Certificación de capital y declaración Ley 1780</w:t>
            </w:r>
          </w:p>
        </w:tc>
        <w:tc>
          <w:tcPr>
            <w:tcW w:type="dxa" w:w="2919"/>
          </w:tcPr>
          <w:p>
            <w:pPr>
              <w:spacing w:after="40" w:before="40" w:line="240" w:lineRule="auto"/>
              <w:jc w:val="left"/>
            </w:pPr>
            <w:r>
              <w:rPr>
                <w:rFonts w:ascii="Times New Roman" w:hAnsi="Times New Roman"/>
                <w:b w:val="0"/>
                <w:i w:val="0"/>
                <w:sz w:val="20"/>
                <w:u w:val="none"/>
              </w:rPr>
              <w:t>Doc. 03</w:t>
            </w:r>
          </w:p>
        </w:tc>
        <w:tc>
          <w:tcPr>
            <w:tcW w:type="dxa" w:w="2737"/>
          </w:tcPr>
          <w:p>
            <w:pPr>
              <w:spacing w:after="40" w:before="40" w:line="240" w:lineRule="auto"/>
              <w:jc w:val="left"/>
            </w:pPr>
            <w:r>
              <w:rPr>
                <w:rFonts w:ascii="Times New Roman" w:hAnsi="Times New Roman"/>
                <w:b w:val="0"/>
                <w:i w:val="0"/>
                <w:sz w:val="20"/>
                <w:u w:val="none"/>
              </w:rPr>
              <w:t>Soportes del capital y del beneficio</w:t>
            </w:r>
          </w:p>
        </w:tc>
      </w:tr>
      <w:tr>
        <w:tc>
          <w:tcPr>
            <w:tcW w:type="dxa" w:w="730"/>
          </w:tcPr>
          <w:p>
            <w:pPr>
              <w:spacing w:after="40" w:before="40" w:line="240" w:lineRule="auto"/>
              <w:jc w:val="left"/>
            </w:pPr>
            <w:r>
              <w:rPr>
                <w:rFonts w:ascii="Times New Roman" w:hAnsi="Times New Roman"/>
                <w:b w:val="0"/>
                <w:i w:val="0"/>
                <w:sz w:val="20"/>
                <w:u w:val="none"/>
              </w:rPr>
              <w:t>7</w:t>
            </w:r>
          </w:p>
        </w:tc>
        <w:tc>
          <w:tcPr>
            <w:tcW w:type="dxa" w:w="2737"/>
          </w:tcPr>
          <w:p>
            <w:pPr>
              <w:spacing w:after="40" w:before="40" w:line="240" w:lineRule="auto"/>
              <w:jc w:val="left"/>
            </w:pPr>
            <w:r>
              <w:rPr>
                <w:rFonts w:ascii="Times New Roman" w:hAnsi="Times New Roman"/>
                <w:b w:val="0"/>
                <w:i w:val="0"/>
                <w:sz w:val="20"/>
                <w:u w:val="none"/>
              </w:rPr>
              <w:t>Inscripción en el RUT (pre-RUT)</w:t>
            </w:r>
          </w:p>
        </w:tc>
        <w:tc>
          <w:tcPr>
            <w:tcW w:type="dxa" w:w="2919"/>
          </w:tcPr>
          <w:p>
            <w:pPr>
              <w:spacing w:after="40" w:before="40" w:line="240" w:lineRule="auto"/>
              <w:jc w:val="left"/>
            </w:pPr>
            <w:r>
              <w:rPr>
                <w:rFonts w:ascii="Times New Roman" w:hAnsi="Times New Roman"/>
                <w:b w:val="0"/>
                <w:i w:val="0"/>
                <w:sz w:val="20"/>
                <w:u w:val="none"/>
              </w:rPr>
              <w:t>Doc. 08</w:t>
            </w:r>
          </w:p>
        </w:tc>
        <w:tc>
          <w:tcPr>
            <w:tcW w:type="dxa" w:w="2737"/>
          </w:tcPr>
          <w:p>
            <w:pPr>
              <w:spacing w:after="40" w:before="40" w:line="240" w:lineRule="auto"/>
              <w:jc w:val="left"/>
            </w:pPr>
            <w:r>
              <w:rPr>
                <w:rFonts w:ascii="Times New Roman" w:hAnsi="Times New Roman"/>
                <w:b w:val="0"/>
                <w:i w:val="0"/>
                <w:sz w:val="20"/>
                <w:u w:val="none"/>
              </w:rPr>
              <w:t>RUT provisional con número de formulario</w:t>
            </w:r>
          </w:p>
        </w:tc>
      </w:tr>
      <w:tr>
        <w:tc>
          <w:tcPr>
            <w:tcW w:type="dxa" w:w="730"/>
          </w:tcPr>
          <w:p>
            <w:pPr>
              <w:spacing w:after="40" w:before="40" w:line="240" w:lineRule="auto"/>
              <w:jc w:val="left"/>
            </w:pPr>
            <w:r>
              <w:rPr>
                <w:rFonts w:ascii="Times New Roman" w:hAnsi="Times New Roman"/>
                <w:b w:val="0"/>
                <w:i w:val="0"/>
                <w:sz w:val="20"/>
                <w:u w:val="none"/>
              </w:rPr>
              <w:t>8</w:t>
            </w:r>
          </w:p>
        </w:tc>
        <w:tc>
          <w:tcPr>
            <w:tcW w:type="dxa" w:w="2737"/>
          </w:tcPr>
          <w:p>
            <w:pPr>
              <w:spacing w:after="40" w:before="40" w:line="240" w:lineRule="auto"/>
              <w:jc w:val="left"/>
            </w:pPr>
            <w:r>
              <w:rPr>
                <w:rFonts w:ascii="Times New Roman" w:hAnsi="Times New Roman"/>
                <w:b w:val="0"/>
                <w:i w:val="0"/>
                <w:sz w:val="20"/>
                <w:u w:val="none"/>
              </w:rPr>
              <w:t>Diligenciamiento de los formularios del RUES</w:t>
            </w:r>
          </w:p>
        </w:tc>
        <w:tc>
          <w:tcPr>
            <w:tcW w:type="dxa" w:w="2919"/>
          </w:tcPr>
          <w:p>
            <w:pPr>
              <w:spacing w:after="40" w:before="40" w:line="240" w:lineRule="auto"/>
              <w:jc w:val="left"/>
            </w:pPr>
            <w:r>
              <w:rPr>
                <w:rFonts w:ascii="Times New Roman" w:hAnsi="Times New Roman"/>
                <w:b w:val="0"/>
                <w:i w:val="0"/>
                <w:sz w:val="20"/>
                <w:u w:val="none"/>
              </w:rPr>
              <w:t>Docs. 04 y 07</w:t>
            </w:r>
          </w:p>
        </w:tc>
        <w:tc>
          <w:tcPr>
            <w:tcW w:type="dxa" w:w="2737"/>
          </w:tcPr>
          <w:p>
            <w:pPr>
              <w:spacing w:after="40" w:before="40" w:line="240" w:lineRule="auto"/>
              <w:jc w:val="left"/>
            </w:pPr>
            <w:r>
              <w:rPr>
                <w:rFonts w:ascii="Times New Roman" w:hAnsi="Times New Roman"/>
                <w:b w:val="0"/>
                <w:i w:val="0"/>
                <w:sz w:val="20"/>
                <w:u w:val="none"/>
              </w:rPr>
              <w:t>Carátula, anexos y formulario de otras entidades</w:t>
            </w:r>
          </w:p>
        </w:tc>
      </w:tr>
      <w:tr>
        <w:tc>
          <w:tcPr>
            <w:tcW w:type="dxa" w:w="730"/>
          </w:tcPr>
          <w:p>
            <w:pPr>
              <w:spacing w:after="40" w:before="40" w:line="240" w:lineRule="auto"/>
              <w:jc w:val="left"/>
            </w:pPr>
            <w:r>
              <w:rPr>
                <w:rFonts w:ascii="Times New Roman" w:hAnsi="Times New Roman"/>
                <w:b w:val="0"/>
                <w:i w:val="0"/>
                <w:sz w:val="20"/>
                <w:u w:val="none"/>
              </w:rPr>
              <w:t>9</w:t>
            </w:r>
          </w:p>
        </w:tc>
        <w:tc>
          <w:tcPr>
            <w:tcW w:type="dxa" w:w="2737"/>
          </w:tcPr>
          <w:p>
            <w:pPr>
              <w:spacing w:after="40" w:before="40" w:line="240" w:lineRule="auto"/>
              <w:jc w:val="left"/>
            </w:pPr>
            <w:r>
              <w:rPr>
                <w:rFonts w:ascii="Times New Roman" w:hAnsi="Times New Roman"/>
                <w:b w:val="0"/>
                <w:i w:val="0"/>
                <w:sz w:val="20"/>
                <w:u w:val="none"/>
              </w:rPr>
              <w:t>Liquidación y pago del impuesto de registro</w:t>
            </w:r>
          </w:p>
        </w:tc>
        <w:tc>
          <w:tcPr>
            <w:tcW w:type="dxa" w:w="2919"/>
          </w:tcPr>
          <w:p>
            <w:pPr>
              <w:spacing w:after="40" w:before="40" w:line="240" w:lineRule="auto"/>
              <w:jc w:val="left"/>
            </w:pPr>
            <w:r>
              <w:rPr>
                <w:rFonts w:ascii="Times New Roman" w:hAnsi="Times New Roman"/>
                <w:b w:val="0"/>
                <w:i w:val="0"/>
                <w:sz w:val="20"/>
                <w:u w:val="none"/>
              </w:rPr>
              <w:t>Doc. 11</w:t>
            </w:r>
          </w:p>
        </w:tc>
        <w:tc>
          <w:tcPr>
            <w:tcW w:type="dxa" w:w="2737"/>
          </w:tcPr>
          <w:p>
            <w:pPr>
              <w:spacing w:after="40" w:before="40" w:line="240" w:lineRule="auto"/>
              <w:jc w:val="left"/>
            </w:pPr>
            <w:r>
              <w:rPr>
                <w:rFonts w:ascii="Times New Roman" w:hAnsi="Times New Roman"/>
                <w:b w:val="0"/>
                <w:i w:val="0"/>
                <w:sz w:val="20"/>
                <w:u w:val="none"/>
              </w:rPr>
              <w:t>Comprobante de pago por $4.200.000</w:t>
            </w:r>
          </w:p>
        </w:tc>
      </w:tr>
      <w:tr>
        <w:tc>
          <w:tcPr>
            <w:tcW w:type="dxa" w:w="730"/>
          </w:tcPr>
          <w:p>
            <w:pPr>
              <w:spacing w:after="40" w:before="40" w:line="240" w:lineRule="auto"/>
              <w:jc w:val="left"/>
            </w:pPr>
            <w:r>
              <w:rPr>
                <w:rFonts w:ascii="Times New Roman" w:hAnsi="Times New Roman"/>
                <w:b w:val="0"/>
                <w:i w:val="0"/>
                <w:sz w:val="20"/>
                <w:u w:val="none"/>
              </w:rPr>
              <w:t>10</w:t>
            </w:r>
          </w:p>
        </w:tc>
        <w:tc>
          <w:tcPr>
            <w:tcW w:type="dxa" w:w="2737"/>
          </w:tcPr>
          <w:p>
            <w:pPr>
              <w:spacing w:after="40" w:before="40" w:line="240" w:lineRule="auto"/>
              <w:jc w:val="left"/>
            </w:pPr>
            <w:r>
              <w:rPr>
                <w:rFonts w:ascii="Times New Roman" w:hAnsi="Times New Roman"/>
                <w:b w:val="0"/>
                <w:i w:val="0"/>
                <w:sz w:val="20"/>
                <w:u w:val="none"/>
              </w:rPr>
              <w:t>Radicación en la Cámara</w:t>
            </w:r>
          </w:p>
        </w:tc>
        <w:tc>
          <w:tcPr>
            <w:tcW w:type="dxa" w:w="2919"/>
          </w:tcPr>
          <w:p>
            <w:pPr>
              <w:spacing w:after="40" w:before="40" w:line="240" w:lineRule="auto"/>
              <w:jc w:val="left"/>
            </w:pPr>
            <w:r>
              <w:rPr>
                <w:rFonts w:ascii="Times New Roman" w:hAnsi="Times New Roman"/>
                <w:b w:val="0"/>
                <w:i w:val="0"/>
                <w:sz w:val="20"/>
                <w:u w:val="none"/>
              </w:rPr>
              <w:t>Doc. 11, planilla</w:t>
            </w:r>
          </w:p>
        </w:tc>
        <w:tc>
          <w:tcPr>
            <w:tcW w:type="dxa" w:w="2737"/>
          </w:tcPr>
          <w:p>
            <w:pPr>
              <w:spacing w:after="40" w:before="40" w:line="240" w:lineRule="auto"/>
              <w:jc w:val="left"/>
            </w:pPr>
            <w:r>
              <w:rPr>
                <w:rFonts w:ascii="Times New Roman" w:hAnsi="Times New Roman"/>
                <w:b w:val="0"/>
                <w:i w:val="0"/>
                <w:sz w:val="20"/>
                <w:u w:val="none"/>
              </w:rPr>
              <w:t>Matrícula de la sociedad y del establecimiento</w:t>
            </w:r>
          </w:p>
        </w:tc>
      </w:tr>
      <w:tr>
        <w:tc>
          <w:tcPr>
            <w:tcW w:type="dxa" w:w="730"/>
          </w:tcPr>
          <w:p>
            <w:pPr>
              <w:spacing w:after="40" w:before="40" w:line="240" w:lineRule="auto"/>
              <w:jc w:val="left"/>
            </w:pPr>
            <w:r>
              <w:rPr>
                <w:rFonts w:ascii="Times New Roman" w:hAnsi="Times New Roman"/>
                <w:b w:val="0"/>
                <w:i w:val="0"/>
                <w:sz w:val="20"/>
                <w:u w:val="none"/>
              </w:rPr>
              <w:t>11</w:t>
            </w:r>
          </w:p>
        </w:tc>
        <w:tc>
          <w:tcPr>
            <w:tcW w:type="dxa" w:w="2737"/>
          </w:tcPr>
          <w:p>
            <w:pPr>
              <w:spacing w:after="40" w:before="40" w:line="240" w:lineRule="auto"/>
              <w:jc w:val="left"/>
            </w:pPr>
            <w:r>
              <w:rPr>
                <w:rFonts w:ascii="Times New Roman" w:hAnsi="Times New Roman"/>
                <w:b w:val="0"/>
                <w:i w:val="0"/>
                <w:sz w:val="20"/>
                <w:u w:val="none"/>
              </w:rPr>
              <w:t>Inscripción de libros</w:t>
            </w:r>
          </w:p>
        </w:tc>
        <w:tc>
          <w:tcPr>
            <w:tcW w:type="dxa" w:w="2919"/>
          </w:tcPr>
          <w:p>
            <w:pPr>
              <w:spacing w:after="40" w:before="40" w:line="240" w:lineRule="auto"/>
              <w:jc w:val="left"/>
            </w:pPr>
            <w:r>
              <w:rPr>
                <w:rFonts w:ascii="Times New Roman" w:hAnsi="Times New Roman"/>
                <w:b w:val="0"/>
                <w:i w:val="0"/>
                <w:sz w:val="20"/>
                <w:u w:val="none"/>
              </w:rPr>
              <w:t>Doc. 06</w:t>
            </w:r>
          </w:p>
        </w:tc>
        <w:tc>
          <w:tcPr>
            <w:tcW w:type="dxa" w:w="2737"/>
          </w:tcPr>
          <w:p>
            <w:pPr>
              <w:spacing w:after="40" w:before="40" w:line="240" w:lineRule="auto"/>
              <w:jc w:val="left"/>
            </w:pPr>
            <w:r>
              <w:rPr>
                <w:rFonts w:ascii="Times New Roman" w:hAnsi="Times New Roman"/>
                <w:b w:val="0"/>
                <w:i w:val="0"/>
                <w:sz w:val="20"/>
                <w:u w:val="none"/>
              </w:rPr>
              <w:t>Libros de accionistas y de actas registrados</w:t>
            </w:r>
          </w:p>
        </w:tc>
      </w:tr>
      <w:tr>
        <w:tc>
          <w:tcPr>
            <w:tcW w:type="dxa" w:w="730"/>
          </w:tcPr>
          <w:p>
            <w:pPr>
              <w:spacing w:after="40" w:before="40" w:line="240" w:lineRule="auto"/>
              <w:jc w:val="left"/>
            </w:pPr>
            <w:r>
              <w:rPr>
                <w:rFonts w:ascii="Times New Roman" w:hAnsi="Times New Roman"/>
                <w:b w:val="0"/>
                <w:i w:val="0"/>
                <w:sz w:val="20"/>
                <w:u w:val="none"/>
              </w:rPr>
              <w:t>12</w:t>
            </w:r>
          </w:p>
        </w:tc>
        <w:tc>
          <w:tcPr>
            <w:tcW w:type="dxa" w:w="2737"/>
          </w:tcPr>
          <w:p>
            <w:pPr>
              <w:spacing w:after="40" w:before="40" w:line="240" w:lineRule="auto"/>
              <w:jc w:val="left"/>
            </w:pPr>
            <w:r>
              <w:rPr>
                <w:rFonts w:ascii="Times New Roman" w:hAnsi="Times New Roman"/>
                <w:b w:val="0"/>
                <w:i w:val="0"/>
                <w:sz w:val="20"/>
                <w:u w:val="none"/>
              </w:rPr>
              <w:t>Formalización del RUT y NIT definitivo</w:t>
            </w:r>
          </w:p>
        </w:tc>
        <w:tc>
          <w:tcPr>
            <w:tcW w:type="dxa" w:w="2919"/>
          </w:tcPr>
          <w:p>
            <w:pPr>
              <w:spacing w:after="40" w:before="40" w:line="240" w:lineRule="auto"/>
              <w:jc w:val="left"/>
            </w:pPr>
            <w:r>
              <w:rPr>
                <w:rFonts w:ascii="Times New Roman" w:hAnsi="Times New Roman"/>
                <w:b w:val="0"/>
                <w:i w:val="0"/>
                <w:sz w:val="20"/>
                <w:u w:val="none"/>
              </w:rPr>
              <w:t>Doc. 08, paso 8</w:t>
            </w:r>
          </w:p>
        </w:tc>
        <w:tc>
          <w:tcPr>
            <w:tcW w:type="dxa" w:w="2737"/>
          </w:tcPr>
          <w:p>
            <w:pPr>
              <w:spacing w:after="40" w:before="40" w:line="240" w:lineRule="auto"/>
              <w:jc w:val="left"/>
            </w:pPr>
            <w:r>
              <w:rPr>
                <w:rFonts w:ascii="Times New Roman" w:hAnsi="Times New Roman"/>
                <w:b w:val="0"/>
                <w:i w:val="0"/>
                <w:sz w:val="20"/>
                <w:u w:val="none"/>
              </w:rPr>
              <w:t>RUT formalizado</w:t>
            </w:r>
          </w:p>
        </w:tc>
      </w:tr>
      <w:tr>
        <w:tc>
          <w:tcPr>
            <w:tcW w:type="dxa" w:w="730"/>
          </w:tcPr>
          <w:p>
            <w:pPr>
              <w:spacing w:after="40" w:before="40" w:line="240" w:lineRule="auto"/>
              <w:jc w:val="left"/>
            </w:pPr>
            <w:r>
              <w:rPr>
                <w:rFonts w:ascii="Times New Roman" w:hAnsi="Times New Roman"/>
                <w:b w:val="0"/>
                <w:i w:val="0"/>
                <w:sz w:val="20"/>
                <w:u w:val="none"/>
              </w:rPr>
              <w:t>13</w:t>
            </w:r>
          </w:p>
        </w:tc>
        <w:tc>
          <w:tcPr>
            <w:tcW w:type="dxa" w:w="2737"/>
          </w:tcPr>
          <w:p>
            <w:pPr>
              <w:spacing w:after="40" w:before="40" w:line="240" w:lineRule="auto"/>
              <w:jc w:val="left"/>
            </w:pPr>
            <w:r>
              <w:rPr>
                <w:rFonts w:ascii="Times New Roman" w:hAnsi="Times New Roman"/>
                <w:b w:val="0"/>
                <w:i w:val="0"/>
                <w:sz w:val="20"/>
                <w:u w:val="none"/>
              </w:rPr>
              <w:t>Expedición de títulos de acciones</w:t>
            </w:r>
          </w:p>
        </w:tc>
        <w:tc>
          <w:tcPr>
            <w:tcW w:type="dxa" w:w="2919"/>
          </w:tcPr>
          <w:p>
            <w:pPr>
              <w:spacing w:after="40" w:before="40" w:line="240" w:lineRule="auto"/>
              <w:jc w:val="left"/>
            </w:pPr>
            <w:r>
              <w:rPr>
                <w:rFonts w:ascii="Times New Roman" w:hAnsi="Times New Roman"/>
                <w:b w:val="0"/>
                <w:i w:val="0"/>
                <w:sz w:val="20"/>
                <w:u w:val="none"/>
              </w:rPr>
              <w:t>Doc. 09</w:t>
            </w:r>
          </w:p>
        </w:tc>
        <w:tc>
          <w:tcPr>
            <w:tcW w:type="dxa" w:w="2737"/>
          </w:tcPr>
          <w:p>
            <w:pPr>
              <w:spacing w:after="40" w:before="40" w:line="240" w:lineRule="auto"/>
              <w:jc w:val="left"/>
            </w:pPr>
            <w:r>
              <w:rPr>
                <w:rFonts w:ascii="Times New Roman" w:hAnsi="Times New Roman"/>
                <w:b w:val="0"/>
                <w:i w:val="0"/>
                <w:sz w:val="20"/>
                <w:u w:val="none"/>
              </w:rPr>
              <w:t>Títulos 001 y 002, y folio del libro de accionistas</w:t>
            </w:r>
          </w:p>
        </w:tc>
      </w:tr>
      <w:tr>
        <w:tc>
          <w:tcPr>
            <w:tcW w:type="dxa" w:w="730"/>
          </w:tcPr>
          <w:p>
            <w:pPr>
              <w:spacing w:after="40" w:before="40" w:line="240" w:lineRule="auto"/>
              <w:jc w:val="left"/>
            </w:pPr>
            <w:r>
              <w:rPr>
                <w:rFonts w:ascii="Times New Roman" w:hAnsi="Times New Roman"/>
                <w:b w:val="0"/>
                <w:i w:val="0"/>
                <w:sz w:val="20"/>
                <w:u w:val="none"/>
              </w:rPr>
              <w:t>14</w:t>
            </w:r>
          </w:p>
        </w:tc>
        <w:tc>
          <w:tcPr>
            <w:tcW w:type="dxa" w:w="2737"/>
          </w:tcPr>
          <w:p>
            <w:pPr>
              <w:spacing w:after="40" w:before="40" w:line="240" w:lineRule="auto"/>
              <w:jc w:val="left"/>
            </w:pPr>
            <w:r>
              <w:rPr>
                <w:rFonts w:ascii="Times New Roman" w:hAnsi="Times New Roman"/>
                <w:b w:val="0"/>
                <w:i w:val="0"/>
                <w:sz w:val="20"/>
                <w:u w:val="none"/>
              </w:rPr>
              <w:t>Asamblea de puesta en marcha</w:t>
            </w:r>
          </w:p>
        </w:tc>
        <w:tc>
          <w:tcPr>
            <w:tcW w:type="dxa" w:w="2919"/>
          </w:tcPr>
          <w:p>
            <w:pPr>
              <w:spacing w:after="40" w:before="40" w:line="240" w:lineRule="auto"/>
              <w:jc w:val="left"/>
            </w:pPr>
            <w:r>
              <w:rPr>
                <w:rFonts w:ascii="Times New Roman" w:hAnsi="Times New Roman"/>
                <w:b w:val="0"/>
                <w:i w:val="0"/>
                <w:sz w:val="20"/>
                <w:u w:val="none"/>
              </w:rPr>
              <w:t>Doc. 12</w:t>
            </w:r>
          </w:p>
        </w:tc>
        <w:tc>
          <w:tcPr>
            <w:tcW w:type="dxa" w:w="2737"/>
          </w:tcPr>
          <w:p>
            <w:pPr>
              <w:spacing w:after="40" w:before="40" w:line="240" w:lineRule="auto"/>
              <w:jc w:val="left"/>
            </w:pPr>
            <w:r>
              <w:rPr>
                <w:rFonts w:ascii="Times New Roman" w:hAnsi="Times New Roman"/>
                <w:b w:val="0"/>
                <w:i w:val="0"/>
                <w:sz w:val="20"/>
                <w:u w:val="none"/>
              </w:rPr>
              <w:t>Acta n.º 1 asentada en el libro</w:t>
            </w:r>
          </w:p>
        </w:tc>
      </w:tr>
      <w:tr>
        <w:tc>
          <w:tcPr>
            <w:tcW w:type="dxa" w:w="730"/>
          </w:tcPr>
          <w:p>
            <w:pPr>
              <w:spacing w:after="40" w:before="40" w:line="240" w:lineRule="auto"/>
              <w:jc w:val="left"/>
            </w:pPr>
            <w:r>
              <w:rPr>
                <w:rFonts w:ascii="Times New Roman" w:hAnsi="Times New Roman"/>
                <w:b w:val="0"/>
                <w:i w:val="0"/>
                <w:sz w:val="20"/>
                <w:u w:val="none"/>
              </w:rPr>
              <w:t>15</w:t>
            </w:r>
          </w:p>
        </w:tc>
        <w:tc>
          <w:tcPr>
            <w:tcW w:type="dxa" w:w="2737"/>
          </w:tcPr>
          <w:p>
            <w:pPr>
              <w:spacing w:after="40" w:before="40" w:line="240" w:lineRule="auto"/>
              <w:jc w:val="left"/>
            </w:pPr>
            <w:r>
              <w:rPr>
                <w:rFonts w:ascii="Times New Roman" w:hAnsi="Times New Roman"/>
                <w:b w:val="0"/>
                <w:i w:val="0"/>
                <w:sz w:val="20"/>
                <w:u w:val="none"/>
              </w:rPr>
              <w:t>Inscripción en el RIT de Medellín</w:t>
            </w:r>
          </w:p>
        </w:tc>
        <w:tc>
          <w:tcPr>
            <w:tcW w:type="dxa" w:w="2919"/>
          </w:tcPr>
          <w:p>
            <w:pPr>
              <w:spacing w:after="40" w:before="40" w:line="240" w:lineRule="auto"/>
              <w:jc w:val="left"/>
            </w:pPr>
            <w:r>
              <w:rPr>
                <w:rFonts w:ascii="Times New Roman" w:hAnsi="Times New Roman"/>
                <w:b w:val="0"/>
                <w:i w:val="0"/>
                <w:sz w:val="20"/>
                <w:u w:val="none"/>
              </w:rPr>
              <w:t>Doc. 13</w:t>
            </w:r>
          </w:p>
        </w:tc>
        <w:tc>
          <w:tcPr>
            <w:tcW w:type="dxa" w:w="2737"/>
          </w:tcPr>
          <w:p>
            <w:pPr>
              <w:spacing w:after="40" w:before="40" w:line="240" w:lineRule="auto"/>
              <w:jc w:val="left"/>
            </w:pPr>
            <w:r>
              <w:rPr>
                <w:rFonts w:ascii="Times New Roman" w:hAnsi="Times New Roman"/>
                <w:b w:val="0"/>
                <w:i w:val="0"/>
                <w:sz w:val="20"/>
                <w:u w:val="none"/>
              </w:rPr>
              <w:t>Registro para el impuesto de industria y comercio</w:t>
            </w:r>
          </w:p>
        </w:tc>
      </w:tr>
      <w:tr>
        <w:tc>
          <w:tcPr>
            <w:tcW w:type="dxa" w:w="730"/>
          </w:tcPr>
          <w:p>
            <w:pPr>
              <w:spacing w:after="40" w:before="40" w:line="240" w:lineRule="auto"/>
              <w:jc w:val="left"/>
            </w:pPr>
            <w:r>
              <w:rPr>
                <w:rFonts w:ascii="Times New Roman" w:hAnsi="Times New Roman"/>
                <w:b w:val="0"/>
                <w:i w:val="0"/>
                <w:sz w:val="20"/>
                <w:u w:val="none"/>
              </w:rPr>
              <w:t>16</w:t>
            </w:r>
          </w:p>
        </w:tc>
        <w:tc>
          <w:tcPr>
            <w:tcW w:type="dxa" w:w="2737"/>
          </w:tcPr>
          <w:p>
            <w:pPr>
              <w:spacing w:after="40" w:before="40" w:line="240" w:lineRule="auto"/>
              <w:jc w:val="left"/>
            </w:pPr>
            <w:r>
              <w:rPr>
                <w:rFonts w:ascii="Times New Roman" w:hAnsi="Times New Roman"/>
                <w:b w:val="0"/>
                <w:i w:val="0"/>
                <w:sz w:val="20"/>
                <w:u w:val="none"/>
              </w:rPr>
              <w:t>Habilitación de servicios de salud</w:t>
            </w:r>
          </w:p>
        </w:tc>
        <w:tc>
          <w:tcPr>
            <w:tcW w:type="dxa" w:w="2919"/>
          </w:tcPr>
          <w:p>
            <w:pPr>
              <w:spacing w:after="40" w:before="40" w:line="240" w:lineRule="auto"/>
              <w:jc w:val="left"/>
            </w:pPr>
            <w:r>
              <w:rPr>
                <w:rFonts w:ascii="Times New Roman" w:hAnsi="Times New Roman"/>
                <w:b w:val="0"/>
                <w:i w:val="0"/>
                <w:sz w:val="20"/>
                <w:u w:val="none"/>
              </w:rPr>
              <w:t>Doc. 13</w:t>
            </w:r>
          </w:p>
        </w:tc>
        <w:tc>
          <w:tcPr>
            <w:tcW w:type="dxa" w:w="2737"/>
          </w:tcPr>
          <w:p>
            <w:pPr>
              <w:spacing w:after="40" w:before="40" w:line="240" w:lineRule="auto"/>
              <w:jc w:val="left"/>
            </w:pPr>
            <w:r>
              <w:rPr>
                <w:rFonts w:ascii="Times New Roman" w:hAnsi="Times New Roman"/>
                <w:b w:val="0"/>
                <w:i w:val="0"/>
                <w:sz w:val="20"/>
                <w:u w:val="none"/>
              </w:rPr>
              <w:t>Inscripción en el REPS y servicios habilitados</w:t>
            </w:r>
          </w:p>
        </w:tc>
      </w:tr>
      <w:tr>
        <w:tc>
          <w:tcPr>
            <w:tcW w:type="dxa" w:w="730"/>
          </w:tcPr>
          <w:p>
            <w:pPr>
              <w:spacing w:after="40" w:before="40" w:line="240" w:lineRule="auto"/>
              <w:jc w:val="left"/>
            </w:pPr>
            <w:r>
              <w:rPr>
                <w:rFonts w:ascii="Times New Roman" w:hAnsi="Times New Roman"/>
                <w:b w:val="0"/>
                <w:i w:val="0"/>
                <w:sz w:val="20"/>
                <w:u w:val="none"/>
              </w:rPr>
              <w:t>17</w:t>
            </w:r>
          </w:p>
        </w:tc>
        <w:tc>
          <w:tcPr>
            <w:tcW w:type="dxa" w:w="2737"/>
          </w:tcPr>
          <w:p>
            <w:pPr>
              <w:spacing w:after="40" w:before="40" w:line="240" w:lineRule="auto"/>
              <w:jc w:val="left"/>
            </w:pPr>
            <w:r>
              <w:rPr>
                <w:rFonts w:ascii="Times New Roman" w:hAnsi="Times New Roman"/>
                <w:b w:val="0"/>
                <w:i w:val="0"/>
                <w:sz w:val="20"/>
                <w:u w:val="none"/>
              </w:rPr>
              <w:t>Requisitos de funcionamiento del establecimiento</w:t>
            </w:r>
          </w:p>
        </w:tc>
        <w:tc>
          <w:tcPr>
            <w:tcW w:type="dxa" w:w="2919"/>
          </w:tcPr>
          <w:p>
            <w:pPr>
              <w:spacing w:after="40" w:before="40" w:line="240" w:lineRule="auto"/>
              <w:jc w:val="left"/>
            </w:pPr>
            <w:r>
              <w:rPr>
                <w:rFonts w:ascii="Times New Roman" w:hAnsi="Times New Roman"/>
                <w:b w:val="0"/>
                <w:i w:val="0"/>
                <w:sz w:val="20"/>
                <w:u w:val="none"/>
              </w:rPr>
              <w:t>Doc. 13, cuadro A</w:t>
            </w:r>
          </w:p>
        </w:tc>
        <w:tc>
          <w:tcPr>
            <w:tcW w:type="dxa" w:w="2737"/>
          </w:tcPr>
          <w:p>
            <w:pPr>
              <w:spacing w:after="40" w:before="40" w:line="240" w:lineRule="auto"/>
              <w:jc w:val="left"/>
            </w:pPr>
            <w:r>
              <w:rPr>
                <w:rFonts w:ascii="Times New Roman" w:hAnsi="Times New Roman"/>
                <w:b w:val="0"/>
                <w:i w:val="0"/>
                <w:sz w:val="20"/>
                <w:u w:val="none"/>
              </w:rPr>
              <w:t>Conceptos sanitario y de bomberos</w:t>
            </w:r>
          </w:p>
        </w:tc>
      </w:tr>
      <w:tr>
        <w:tc>
          <w:tcPr>
            <w:tcW w:type="dxa" w:w="730"/>
          </w:tcPr>
          <w:p>
            <w:pPr>
              <w:spacing w:after="40" w:before="40" w:line="240" w:lineRule="auto"/>
              <w:jc w:val="left"/>
            </w:pPr>
            <w:r>
              <w:rPr>
                <w:rFonts w:ascii="Times New Roman" w:hAnsi="Times New Roman"/>
                <w:b w:val="0"/>
                <w:i w:val="0"/>
                <w:sz w:val="20"/>
                <w:u w:val="none"/>
              </w:rPr>
              <w:t>18</w:t>
            </w:r>
          </w:p>
        </w:tc>
        <w:tc>
          <w:tcPr>
            <w:tcW w:type="dxa" w:w="2737"/>
          </w:tcPr>
          <w:p>
            <w:pPr>
              <w:spacing w:after="40" w:before="40" w:line="240" w:lineRule="auto"/>
              <w:jc w:val="left"/>
            </w:pPr>
            <w:r>
              <w:rPr>
                <w:rFonts w:ascii="Times New Roman" w:hAnsi="Times New Roman"/>
                <w:b w:val="0"/>
                <w:i w:val="0"/>
                <w:sz w:val="20"/>
                <w:u w:val="none"/>
              </w:rPr>
              <w:t>Trámites laborales y de seguridad social</w:t>
            </w:r>
          </w:p>
        </w:tc>
        <w:tc>
          <w:tcPr>
            <w:tcW w:type="dxa" w:w="2919"/>
          </w:tcPr>
          <w:p>
            <w:pPr>
              <w:spacing w:after="40" w:before="40" w:line="240" w:lineRule="auto"/>
              <w:jc w:val="left"/>
            </w:pPr>
            <w:r>
              <w:rPr>
                <w:rFonts w:ascii="Times New Roman" w:hAnsi="Times New Roman"/>
                <w:b w:val="0"/>
                <w:i w:val="0"/>
                <w:sz w:val="20"/>
                <w:u w:val="none"/>
              </w:rPr>
              <w:t>Doc. 13, cuadro B</w:t>
            </w:r>
          </w:p>
        </w:tc>
        <w:tc>
          <w:tcPr>
            <w:tcW w:type="dxa" w:w="2737"/>
          </w:tcPr>
          <w:p>
            <w:pPr>
              <w:spacing w:after="40" w:before="40" w:line="240" w:lineRule="auto"/>
              <w:jc w:val="left"/>
            </w:pPr>
            <w:r>
              <w:rPr>
                <w:rFonts w:ascii="Times New Roman" w:hAnsi="Times New Roman"/>
                <w:b w:val="0"/>
                <w:i w:val="0"/>
                <w:sz w:val="20"/>
                <w:u w:val="none"/>
              </w:rPr>
              <w:t>Nueve trabajadores afiliados</w:t>
            </w:r>
          </w:p>
        </w:tc>
      </w:tr>
      <w:tr>
        <w:tc>
          <w:tcPr>
            <w:tcW w:type="dxa" w:w="730"/>
          </w:tcPr>
          <w:p>
            <w:pPr>
              <w:spacing w:after="40" w:before="40" w:line="240" w:lineRule="auto"/>
              <w:jc w:val="left"/>
            </w:pPr>
            <w:r>
              <w:rPr>
                <w:rFonts w:ascii="Times New Roman" w:hAnsi="Times New Roman"/>
                <w:b w:val="0"/>
                <w:i w:val="0"/>
                <w:sz w:val="20"/>
                <w:u w:val="none"/>
              </w:rPr>
              <w:t>19</w:t>
            </w:r>
          </w:p>
        </w:tc>
        <w:tc>
          <w:tcPr>
            <w:tcW w:type="dxa" w:w="2737"/>
          </w:tcPr>
          <w:p>
            <w:pPr>
              <w:spacing w:after="40" w:before="40" w:line="240" w:lineRule="auto"/>
              <w:jc w:val="left"/>
            </w:pPr>
            <w:r>
              <w:rPr>
                <w:rFonts w:ascii="Times New Roman" w:hAnsi="Times New Roman"/>
                <w:b w:val="0"/>
                <w:i w:val="0"/>
                <w:sz w:val="20"/>
                <w:u w:val="none"/>
              </w:rPr>
              <w:t>Renovación de la matrícula</w:t>
            </w:r>
          </w:p>
        </w:tc>
        <w:tc>
          <w:tcPr>
            <w:tcW w:type="dxa" w:w="2919"/>
          </w:tcPr>
          <w:p>
            <w:pPr>
              <w:spacing w:after="40" w:before="40" w:line="240" w:lineRule="auto"/>
              <w:jc w:val="left"/>
            </w:pPr>
            <w:r>
              <w:rPr>
                <w:rFonts w:ascii="Times New Roman" w:hAnsi="Times New Roman"/>
                <w:b w:val="0"/>
                <w:i w:val="0"/>
                <w:sz w:val="20"/>
                <w:u w:val="none"/>
              </w:rPr>
              <w:t>Doc. 13, cuadro D</w:t>
            </w:r>
          </w:p>
        </w:tc>
        <w:tc>
          <w:tcPr>
            <w:tcW w:type="dxa" w:w="2737"/>
          </w:tcPr>
          <w:p>
            <w:pPr>
              <w:spacing w:after="40" w:before="40" w:line="240" w:lineRule="auto"/>
              <w:jc w:val="left"/>
            </w:pPr>
            <w:r>
              <w:rPr>
                <w:rFonts w:ascii="Times New Roman" w:hAnsi="Times New Roman"/>
                <w:b w:val="0"/>
                <w:i w:val="0"/>
                <w:sz w:val="20"/>
                <w:u w:val="none"/>
              </w:rPr>
              <w:t>Antes del 31 de marzo de 2027, exenta</w:t>
            </w:r>
          </w:p>
        </w:tc>
      </w:tr>
    </w:tbl>
    <w:p>
      <w:pPr>
        <w:spacing w:after="80"/>
      </w:pPr>
    </w:p>
    <w:p>
      <w:pPr>
        <w:keepNext/>
        <w:spacing w:before="320" w:after="160"/>
        <w:jc w:val="center"/>
      </w:pPr>
      <w:r>
        <w:rPr>
          <w:rFonts w:ascii="Times New Roman" w:hAnsi="Times New Roman"/>
          <w:b/>
          <w:i w:val="0"/>
          <w:sz w:val="24"/>
          <w:u w:val="none"/>
        </w:rPr>
        <w:t>IV. ADVERTENCIAS FINALES</w:t>
      </w:r>
    </w:p>
    <w:p>
      <w:r>
        <w:rPr>
          <w:rFonts w:ascii="Times New Roman" w:hAnsi="Times New Roman"/>
          <w:b/>
          <w:i w:val="0"/>
          <w:u w:val="none"/>
        </w:rPr>
        <w:t>Sobre el orden.</w:t>
      </w:r>
      <w:r>
        <w:rPr>
          <w:rFonts w:ascii="Times New Roman" w:hAnsi="Times New Roman"/>
          <w:b w:val="0"/>
          <w:i w:val="0"/>
          <w:u w:val="none"/>
        </w:rPr>
        <w:t xml:space="preserve"> Tres precedencias son inflexibles y su inversión bloquea el trámite: el RUT provisional debe obtenerse antes de diligenciar el formulario de otras entidades, porque su número se transcribe allí; el impuesto de registro debe pagarse antes de la inscripción, porque la Cámara verifica el pago como condición para registrar; y la matrícula de la sociedad debe existir antes de la del establecimiento, porque esta se apoya en aquella.</w:t>
      </w:r>
    </w:p>
    <w:p>
      <w:r>
        <w:rPr>
          <w:rFonts w:ascii="Times New Roman" w:hAnsi="Times New Roman"/>
          <w:b/>
          <w:i w:val="0"/>
          <w:u w:val="none"/>
        </w:rPr>
        <w:t>Sobre el plazo.</w:t>
      </w:r>
      <w:r>
        <w:rPr>
          <w:rFonts w:ascii="Times New Roman" w:hAnsi="Times New Roman"/>
          <w:b w:val="0"/>
          <w:i w:val="0"/>
          <w:u w:val="none"/>
        </w:rPr>
        <w:t xml:space="preserve"> El artículo 31 del Código de Comercio exige solicitar la matrícula dentro del mes siguiente a la creación de la persona jurídica. Con documento fechado el 1.º de octubre de 2026, el plazo vence el </w:t>
      </w:r>
      <w:r>
        <w:rPr>
          <w:rFonts w:ascii="Times New Roman" w:hAnsi="Times New Roman"/>
          <w:b/>
          <w:i w:val="0"/>
          <w:u w:val="none"/>
        </w:rPr>
        <w:t>1.º de noviembre de 2026</w:t>
      </w:r>
      <w:r>
        <w:rPr>
          <w:rFonts w:ascii="Times New Roman" w:hAnsi="Times New Roman"/>
          <w:b w:val="0"/>
          <w:i w:val="0"/>
          <w:u w:val="none"/>
        </w:rPr>
        <w:t>. Y mientras no haya inscripción, quienes actúen por cuenta de la sociedad responden solidaria e ilimitadamente frente a terceros, conforme al artículo 7.º de la Ley 1258 de 2008.</w:t>
      </w:r>
    </w:p>
    <w:p>
      <w:r>
        <w:rPr>
          <w:rFonts w:ascii="Times New Roman" w:hAnsi="Times New Roman"/>
          <w:b/>
          <w:i w:val="0"/>
          <w:u w:val="none"/>
        </w:rPr>
        <w:t>Sobre lo que no puede improvisarse.</w:t>
      </w:r>
      <w:r>
        <w:rPr>
          <w:rFonts w:ascii="Times New Roman" w:hAnsi="Times New Roman"/>
          <w:b w:val="0"/>
          <w:i w:val="0"/>
          <w:u w:val="none"/>
        </w:rPr>
        <w:t xml:space="preserve"> Los formatos oficiales del RUES y el formulario 001 de la DIAN. Todo lo demás de este expediente puede llevarse redactado; esos cuatro documentos se obtienen únicamente de la Cámara y de la DIAN. Las hojas de transcripción de los documentos 07 y 08 existen precisamente para que el diligenciamiento de esos formatos sea mecánico.</w:t>
      </w:r>
    </w:p>
    <w:p>
      <w:pPr>
        <w:keepNext/>
        <w:spacing w:before="320" w:after="160"/>
        <w:jc w:val="center"/>
      </w:pPr>
      <w:r>
        <w:rPr>
          <w:rFonts w:ascii="Times New Roman" w:hAnsi="Times New Roman"/>
          <w:b/>
          <w:i w:val="0"/>
          <w:sz w:val="24"/>
          <w:u w:val="none"/>
        </w:rPr>
        <w:t>V. FUENTES CONSULTADAS PARA ESTA SEGUNDA PARTE</w:t>
      </w:r>
    </w:p>
    <w:p>
      <w:pPr>
        <w:pStyle w:val="ListBullet"/>
        <w:spacing w:after="80"/>
        <w:ind w:left="567"/>
        <w:jc w:val="both"/>
      </w:pPr>
      <w:r>
        <w:rPr>
          <w:rFonts w:ascii="Times New Roman" w:hAnsi="Times New Roman"/>
          <w:b w:val="0"/>
          <w:i w:val="0"/>
          <w:u w:val="none"/>
        </w:rPr>
        <w:t>Código de Comercio, artículos 31, 37, 40, 182, 189, 399, 400, 401, 402, 406 y 515.</w:t>
      </w:r>
    </w:p>
    <w:p>
      <w:pPr>
        <w:pStyle w:val="ListBullet"/>
        <w:spacing w:after="80"/>
        <w:ind w:left="567"/>
        <w:jc w:val="both"/>
      </w:pPr>
      <w:r>
        <w:rPr>
          <w:rFonts w:ascii="Times New Roman" w:hAnsi="Times New Roman"/>
          <w:b w:val="0"/>
          <w:i w:val="0"/>
          <w:u w:val="none"/>
        </w:rPr>
        <w:t>Ley 1258 de 2008, artículos 7.º, 13, 21, 24, 28 y 45.</w:t>
      </w:r>
    </w:p>
    <w:p>
      <w:pPr>
        <w:pStyle w:val="ListBullet"/>
        <w:spacing w:after="80"/>
        <w:ind w:left="567"/>
        <w:jc w:val="both"/>
      </w:pPr>
      <w:r>
        <w:rPr>
          <w:rFonts w:ascii="Times New Roman" w:hAnsi="Times New Roman"/>
          <w:b w:val="0"/>
          <w:i w:val="0"/>
          <w:u w:val="none"/>
        </w:rPr>
        <w:t>Ley 232 de 1995, artículo 2.º (requisitos de funcionamiento de establecimientos de comercio).</w:t>
      </w:r>
    </w:p>
    <w:p>
      <w:pPr>
        <w:pStyle w:val="ListBullet"/>
        <w:spacing w:after="80"/>
        <w:ind w:left="567"/>
        <w:jc w:val="both"/>
      </w:pPr>
      <w:r>
        <w:rPr>
          <w:rFonts w:ascii="Times New Roman" w:hAnsi="Times New Roman"/>
          <w:b w:val="0"/>
          <w:i w:val="0"/>
          <w:u w:val="none"/>
        </w:rPr>
        <w:t>Ley 223 de 1995, artículos 226 a 235, y Decreto 650 de 1996, artículo 6.º (impuesto de registro y base gravable).</w:t>
      </w:r>
    </w:p>
    <w:p>
      <w:pPr>
        <w:pStyle w:val="ListBullet"/>
        <w:spacing w:after="80"/>
        <w:ind w:left="567"/>
        <w:jc w:val="both"/>
      </w:pPr>
      <w:r>
        <w:rPr>
          <w:rFonts w:ascii="Times New Roman" w:hAnsi="Times New Roman"/>
          <w:b w:val="0"/>
          <w:i w:val="0"/>
          <w:u w:val="none"/>
        </w:rPr>
        <w:t>Estatuto Tributario, artículos 114-1 y 476, numeral 3.º.</w:t>
      </w:r>
    </w:p>
    <w:p>
      <w:pPr>
        <w:pStyle w:val="ListBullet"/>
        <w:spacing w:after="80"/>
        <w:ind w:left="567"/>
        <w:jc w:val="both"/>
      </w:pPr>
      <w:r>
        <w:rPr>
          <w:rFonts w:ascii="Times New Roman" w:hAnsi="Times New Roman"/>
          <w:b w:val="0"/>
          <w:i w:val="0"/>
          <w:u w:val="none"/>
        </w:rPr>
        <w:t>Decreto Ley 019 de 2012, artículo 175 (libros sujetos a registro).</w:t>
      </w:r>
    </w:p>
    <w:p>
      <w:pPr>
        <w:pStyle w:val="ListBullet"/>
        <w:spacing w:after="80"/>
        <w:ind w:left="567"/>
        <w:jc w:val="both"/>
      </w:pPr>
      <w:r>
        <w:rPr>
          <w:rFonts w:ascii="Times New Roman" w:hAnsi="Times New Roman"/>
          <w:b w:val="0"/>
          <w:i w:val="0"/>
          <w:u w:val="none"/>
        </w:rPr>
        <w:t>Ley 1581 de 2012, artículo 5.º (datos sensibles), y su reglamentación sobre el Registro Nacional de Bases de Datos.</w:t>
      </w:r>
    </w:p>
    <w:p>
      <w:pPr>
        <w:pStyle w:val="ListBullet"/>
        <w:spacing w:after="80"/>
        <w:ind w:left="567"/>
        <w:jc w:val="both"/>
      </w:pPr>
      <w:r>
        <w:rPr>
          <w:rFonts w:ascii="Times New Roman" w:hAnsi="Times New Roman"/>
          <w:b w:val="0"/>
          <w:i w:val="0"/>
          <w:u w:val="none"/>
        </w:rPr>
        <w:t>Decreto 1072 de 2015 y Resolución 0312 de 2019 (seguridad y salud en el trabajo).</w:t>
      </w:r>
    </w:p>
    <w:p>
      <w:pPr>
        <w:pStyle w:val="ListBullet"/>
        <w:spacing w:after="80"/>
        <w:ind w:left="567"/>
        <w:jc w:val="both"/>
      </w:pPr>
      <w:r>
        <w:rPr>
          <w:rFonts w:ascii="Times New Roman" w:hAnsi="Times New Roman"/>
          <w:b w:val="0"/>
          <w:i w:val="0"/>
          <w:u w:val="none"/>
        </w:rPr>
        <w:t>Resolución 3100 de 2019 del Ministerio de Salud y Protección Social (inscripción de prestadores y habilitación de servicios de salud).</w:t>
      </w:r>
    </w:p>
    <w:p>
      <w:pPr>
        <w:pStyle w:val="ListBullet"/>
        <w:spacing w:after="80"/>
        <w:ind w:left="567"/>
        <w:jc w:val="both"/>
      </w:pPr>
      <w:r>
        <w:rPr>
          <w:rFonts w:ascii="Times New Roman" w:hAnsi="Times New Roman"/>
          <w:b w:val="0"/>
          <w:i w:val="0"/>
          <w:u w:val="none"/>
        </w:rPr>
        <w:t>Cámara de Comercio de Medellín para Antioquia: formatos y formularios de creación de empresa e instructivo de diligenciamiento del formulario RUES.</w:t>
      </w:r>
    </w:p>
    <w:p>
      <w:pPr>
        <w:pStyle w:val="ListBullet"/>
        <w:spacing w:after="80"/>
        <w:ind w:left="567"/>
        <w:jc w:val="both"/>
      </w:pPr>
      <w:r>
        <w:rPr>
          <w:rFonts w:ascii="Times New Roman" w:hAnsi="Times New Roman"/>
          <w:b w:val="0"/>
          <w:i w:val="0"/>
          <w:u w:val="none"/>
        </w:rPr>
        <w:t>Portal del Registro Único Empresarial y Social, sección de formatos del Centro de Atención Empresarial.</w:t>
      </w:r>
    </w:p>
    <w:sectPr w:rsidR="00FC693F" w:rsidRPr="0006063C" w:rsidSect="00034616">
      <w:headerReference w:type="default" r:id="rId9"/>
      <w:footerReference w:type="default" r:id="rId10"/>
      <w:pgSz w:w="12240" w:h="15840"/>
      <w:pgMar w:top="1701"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Memorando complementario. Segunda parte del expediente  |  </w:t>
    </w:r>
    <w:r>
      <w:rPr>
        <w:rFonts w:ascii="Times New Roman" w:hAnsi="Times New Roman"/>
        <w:color w:val="555555"/>
        <w:sz w:val="16"/>
      </w:rPr>
      <w:t xml:space="preserve">Página </w:t>
    </w:r>
    <w:r>
      <w:rPr>
        <w:rFonts w:ascii="Times New Roman" w:hAnsi="Times New Roman"/>
        <w:color w:val="555555"/>
        <w:sz w:val="16"/>
      </w:rPr>
      <w:fldChar w:fldCharType="begin"/>
      <w:instrText xml:space="preserve"> PAGE </w:instrText>
      <w:fldChar w:fldCharType="end"/>
    </w:r>
    <w:r>
      <w:rPr>
        <w:rFonts w:ascii="Times New Roman" w:hAnsi="Times New Roman"/>
        <w:color w:val="555555"/>
        <w:sz w:val="16"/>
      </w:rPr>
      <w:t xml:space="preserve"> de </w:t>
    </w:r>
    <w:r>
      <w:rPr>
        <w:rFonts w:ascii="Times New Roman" w:hAnsi="Times New Roman"/>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AAAAA"/>
      </w:pBdr>
    </w:pPr>
    <w:r>
      <w:rPr>
        <w:rFonts w:ascii="Times New Roman" w:hAnsi="Times New Roman"/>
        <w:i/>
        <w:color w:val="555555"/>
        <w:sz w:val="16"/>
      </w:rPr>
      <w:t>Memorando complementario. Segunda parte del expediente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