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left"/>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left"/>
      </w:pPr>
      <w: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 cada actor y qué tan eficaz ha sido el marco normativo. El estudio es cualitativo, de alcance descriptivo y analítico, y se apoya en revisión documental, análisis de tres casos, jurisprudencia y una comparación con Inglaterra, Argentina y Uruguay. Encontramos un marco normativo amplio que falla donde más importa: en identificar uno por uno a los agresores. Por eso hay tantas muertes y tan pocas condenas. En lo civil, separamos la responsabilidad contractual del organizador frente a quien compró la boleta de la extracontractual frente a terceros, y proponemos criterios para saber cuándo la agresión de otro hincha lo exonera. Si el régimen disciplinario disuade o no, es algo que la información pública disponible no deja verificar. Concluimos que hace falta identificar a los infractores, poner a trabajar juntos a autoridades y clubes y acompañar la sanción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left"/>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left"/>
        <w:rPr>
          <w:lang w:val="en-US"/>
        </w:rPr>
      </w:pPr>
      <w:r>
        <w:rPr>
          <w:lang w:val="en-US"/>
        </w:rPr>
        <w:t>In Colombia, violence linked to professional football costs lives, harms people's physical integrity and implicates both clubs and public authorities; it is a legal problem, but also a social and economic one. In this article we study its structural causes, the civil, criminal, administrative and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That is why there are so many deaths and so few convictions. On the civil side, we separate the organizer's contractual liability towards ticket holders from its non-contractual liability towards third parties, and we propose criteria for deciding when an attack by another fan releases the organizer. Whether the disciplinary regime actually deters anyone cannot be checked with the information that is publicly available. We conclude that offenders must be identified, authorities and clubs must work together, and sanctions need to come with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left"/>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left"/>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left"/>
      </w:pPr>
      <w:r>
        <w:t>Ese mismo espacio, que en sus inicios albergaba rivalidades netamente deportivas, se convirtió desde finales del siglo XX en escenario de una violencia que ha costado la vida a decenas de colombianos, ha producido pérdidas económicas para los clubes y para los propios hinchas, y afecta derechos fundamentales protegidos por la Constitución Política de 1991, en particular la vida, la integridad personal y el trabajo (Congreso de Colombia, 1991). La gravedad del fenómeno contrasta, sin embargo, con la dificultad para medirlo, porque no existe un registro oficial consolidado: el Instituto Nacional de Medicina Legal y Ciencias Forenses no clasifica los homicidios según la pertenencia de la víctima a una barra, de modo que las cifras deben reconstruirse desde la prensa y desde la investigación académica (Castro-Lozano, 2020). Aun con esa limitación, las fuentes periodísticas y académicas coinciden en que más de un centenar de hinchas han sido asesinados en poco más de una década y en que solo una fracción de esos hechos ha terminado en condenas, datos que se examinan en el apartado de resultados (Castro-Lozano, 2020; El País, 2020). A esas pérdidas humanas se suman otras de carácter estrictamente patrimonial, como las derivadas de las multas disciplinarias, de los cierres de tribunas que privan a los clubes de ingresos y de los daños causados a la infraestructura de los escenarios deportivos.</w:t>
      </w:r>
    </w:p>
    <w:p w14:paraId="155BB68E" w14:textId="77777777" w:rsidR="00EF4F7A" w:rsidRDefault="00EF4F7A" w:rsidP="00EB144C">
      <w:pPr>
        <w:pStyle w:val="Textoindependiente"/>
        <w:spacing w:line="360" w:lineRule="auto"/>
        <w:ind w:left="0" w:firstLine="707"/>
        <w:jc w:val="left"/>
      </w:pPr>
      <w:r>
        <w:t xml:space="preserve">Esta situación no ha sido exclusiva de Colombia, sino que se presenta tanto en países </w:t>
      </w:r>
      <w:r>
        <w:lastRenderedPageBreak/>
        <w:t>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left"/>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left"/>
      </w:pPr>
      <w:r>
        <w:t>Por ser estructural, el fenómeno pide ser mirado desde tres planos. Los separamos solo para exponerlos con orden; en la práctica van juntos. En el jurídico se identifican las responsabilidades civiles, penales, administrativas y disciplinarias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Sumamos a lo anterior el derecho comparado.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left"/>
      </w:pPr>
      <w:r>
        <w:t>La hipótesis es nuestra.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La planteamos así: ninguna política exclusivamente punitiva va a reducir de manera sostenible la violencia asociada al fútbol colombiano, que además no se queda en los escenarios deportivos y se extiende a sus alrededores, al transporte público y a los trayectos de regreso. Revertir esa tendencia exige articular las medidas punitivas con programas de inclusión y reinserción social para los jóvenes de las barras, con mecanismos tecnológicos de identificación de asistentes y con un compromiso verificable de clubes y entidades reguladoras. Esa hipótesis la contrastamos con la evidencia académica, con las fuentes oficiales disponibles y con la experiencia comparada.</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left"/>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left"/>
      </w:pPr>
      <w: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provienen de la prensa y de la academia, y reflejan un mínimo del problema, no su totalidad (Castro-Lozano, 2020). Las cifras económicas son aproximaciones; ninguna proviene de una auditoría independiente. Hay también un sesgo geográfico difícil de corregir, porque la investigación académica y doctrinal sobre las barras colombianas es escasa y se concentra en Medellín y Bogotá. Por eso los hallazgos deben leerse como tendencias generales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left"/>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left"/>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left"/>
      </w:pPr>
      <w: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El estudio de Castaño Pérez et al. (2014) es especialmente significativo para esta investigación, porque se trata de un trabajo riguroso y detallado, realizado en el contexto colombiano con una muestra amplia de 570 integrantes de las barras bravas del Atlético Nacional y del Deportivo Independiente Medellín (p. 82). Su diseño es una combinación de la medición psicológica y la lectura de los procesos sociales, y eso permite observar conjuntamente los factores individuales y los estructurales.</w:t>
      </w:r>
    </w:p>
    <w:p w14:paraId="3CC3117A" w14:textId="77777777" w:rsidR="00DD271F" w:rsidRDefault="00DD271F" w:rsidP="00EB144C">
      <w:pPr>
        <w:pStyle w:val="Textoindependiente"/>
        <w:spacing w:line="360" w:lineRule="auto"/>
        <w:ind w:left="0" w:firstLine="707"/>
        <w:jc w:val="left"/>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pPr>
      <w:r>
        <w:t>La tercera estrategia se ocupa de casos concretos de violencia ligada al fútbol, y a ellos se suma la revisión de providencias judiciales. Escogimos tres episodios y de cada uno extrajimos actores, fechas, hechos y el estado procesal conocido: el homicidio de un hincha a raíz del clásico caleño, la entrada del narcotráfico en una barra del América de Cali y una red transnacional que unió a miembros de una barra colombiana con una hinchada argentina. La selección fue intencional. Buscamos que los casos estuvieran documentados en fuentes públicas verificables y que cada uno mostrara una modalidad distinta del fenómeno: la violencia entre hinchas rivales, la infiltración de economías ilegales en una barra y la proyección de esa criminalidad más allá de las fronteras. También pesó que fueran recientes, con reportes periodísticos de 2020, y que obligaran a poner a prueba regímenes de responsabilidad diferentes, desde la responsabilidad penal individual hasta la persecución del crimen organizado y la cooperación internacional. Al ser intencional, la muestra no representa al barrismo en su conjunto ni sirve para generalizar estadísticamente. Su función es otra: ilustrar el análisis jurídico y someterlo a prueba. A cada caso le hicimos tres preguntas. ¿Qué régimen de responsabilidad activan los hechos? ¿Sobre qué actor recae? ¿Qué obstáculo impide hacerla efectiva? Para responderlas revisamos sentencias de la Corte Constitucional y de las Salas de Casación Penal y Civil de la Corte Suprema de Justicia, y verificamos cómo se reparte la responsabilidad jurídica entre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left"/>
      </w:pPr>
      <w:r>
        <w:t>Los casos también dejan ver cómo funciona la respuesta institucional: qué obstáculos hacen que los hechos queden impunes, en qué lugares y momentos ocurren los más graves y qué tanta distancia hay entre la sanción disciplinaria del fútbol y la consecuencia penal. Hay una dificultad que no queremos esconder. La información de la Fiscalía General de la Nación y de la Policía Nacional es difícil de conseguir y está organizada con criterios penales, así que casi nunca permite separar los hechos ligados al fútbol del resto. Por eso armamos la lectura estadística cruzando lo que publicó la prensa con los datos e incidentes que reportan las fuentes institucionales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left"/>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left"/>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left"/>
      </w:pPr>
      <w:r>
        <w:t>Presentamos los resultados en cuatro ejes: el perfil de la violencia asociada al fútbol colombiano, la responsabilidad jurídica de los actores, el impacto económico y el análisis comparado. Separarlos es una decisión de exposición. En la realidad se tocan todo el tiempo, porque las causas sociales producen violencia, la violencia genera costos, esos costos pueden quitarles a los clubes capacidad de invertir en seguridad y la respuesta jurídica termina fijando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left"/>
      </w:pPr>
      <w:r>
        <w:t xml:space="preserve">El primer rasgo del fenómeno es su magnitud. A pesar de las sanciones disciplinarias de la Dimayor y de los dispositivos de la Policía Nacional, las cifras disponibles no permiten afirmar que la violencia asociada al fútbol haya disminuido. El relevamiento de El País de Cali (2020), </w:t>
      </w:r>
      <w:r>
        <w:lastRenderedPageBreak/>
        <w:t>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left"/>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left"/>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left"/>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left"/>
      </w:pPr>
      <w:r>
        <w:t xml:space="preserve">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w:t>
      </w:r>
      <w:r>
        <w:lastRenderedPageBreak/>
        <w:t>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juicio de los autores,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left"/>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left"/>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left"/>
      </w:pPr>
      <w:r>
        <w:rPr>
          <w:b/>
        </w:rPr>
        <w:t xml:space="preserve">Lectura jurídica del caso 1. </w:t>
      </w:r>
      <w: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Pertenecer a la barra agresora no basta para que a alguien se le atribuya la muerte. Y justo ahí se queda detenido el caso: sin registros de ingreso ni videovigilancia útil, la investigación depende de testigos que tienen miedo de declarar. En lo civil, el caso marca un límite que desarrollamos en el apartado siguiente. La agresión ocurrió fuera del escenario, así que la víctima no estaba dentro del ámbito de ejecución del contrato de ingreso al espectáculo y no puede invocar el deber de seguridad contractual del organizador. Tampoco es fácil atribuir al club un daño causado en la vía pública por personas que no estaban bajo su control. La pregunta pasa entonces al Estado, a quien le corresponde de manera indelegable el orden público en el entorno de los partidos (Consejo de Estado, Sala de Consulta y Servicio Civil, 2025). Una eventual responsabilidad patrimonial suya por omisión, con base en el artículo 90 de la Constitución Política, dependería de probar que el riesgo era conocido y que el dispositivo policial se quedó corto frente a él. El régimen disciplinario de la Dimayor sirve de poco en hechos así: se dirige al club y no al agresor, y se concentra en lo que pasa en el escenario con ocasión del partido.</w:t>
      </w:r>
    </w:p>
    <w:p w14:paraId="0ECCDB65" w14:textId="77777777" w:rsidR="008F59D7" w:rsidRDefault="005A53E5" w:rsidP="00EB144C">
      <w:pPr>
        <w:pStyle w:val="Textoindependiente"/>
        <w:spacing w:line="360" w:lineRule="auto"/>
        <w:ind w:left="0" w:firstLine="707"/>
        <w:jc w:val="left"/>
      </w:pPr>
      <w:r>
        <w:rPr>
          <w:b/>
        </w:rPr>
        <w:t>Caso</w:t>
      </w:r>
      <w:r>
        <w:rPr>
          <w:b/>
          <w:spacing w:val="-6"/>
        </w:rPr>
        <w:t xml:space="preserve"> </w:t>
      </w:r>
      <w:r>
        <w:rPr>
          <w:b/>
        </w:rPr>
        <w:t>2.</w:t>
      </w:r>
      <w:r>
        <w:rPr>
          <w:b/>
          <w:spacing w:val="-6"/>
        </w:rPr>
        <w:t xml:space="preserve"> </w:t>
      </w:r>
      <w:r>
        <w:rPr>
          <w:b/>
        </w:rPr>
        <w:t>La</w:t>
      </w:r>
      <w:r>
        <w:rPr>
          <w:b/>
          <w:spacing w:val="-6"/>
        </w:rPr>
        <w:t xml:space="preserve"> </w:t>
      </w:r>
      <w:r>
        <w:rPr>
          <w:b/>
        </w:rPr>
        <w:t>infiltración</w:t>
      </w:r>
      <w:r>
        <w:rPr>
          <w:b/>
          <w:spacing w:val="-5"/>
        </w:rPr>
        <w:t xml:space="preserve"> </w:t>
      </w:r>
      <w:r>
        <w:rPr>
          <w:b/>
        </w:rPr>
        <w:t>del</w:t>
      </w:r>
      <w:r>
        <w:rPr>
          <w:b/>
          <w:spacing w:val="-5"/>
        </w:rPr>
        <w:t xml:space="preserve"> </w:t>
      </w:r>
      <w:r>
        <w:rPr>
          <w:b/>
        </w:rPr>
        <w:t>narcotráfico</w:t>
      </w:r>
      <w:r>
        <w:rPr>
          <w:b/>
          <w:spacing w:val="-3"/>
        </w:rPr>
        <w:t xml:space="preserve"> </w:t>
      </w:r>
      <w:r>
        <w:rPr>
          <w:b/>
        </w:rPr>
        <w:t>en</w:t>
      </w:r>
      <w:r>
        <w:rPr>
          <w:b/>
          <w:spacing w:val="-5"/>
        </w:rPr>
        <w:t xml:space="preserve"> </w:t>
      </w:r>
      <w:r>
        <w:rPr>
          <w:b/>
        </w:rPr>
        <w:t>el</w:t>
      </w:r>
      <w:r>
        <w:rPr>
          <w:b/>
          <w:spacing w:val="-5"/>
        </w:rPr>
        <w:t xml:space="preserve"> </w:t>
      </w:r>
      <w:r>
        <w:rPr>
          <w:b/>
        </w:rPr>
        <w:t>Barón</w:t>
      </w:r>
      <w:r>
        <w:rPr>
          <w:b/>
          <w:spacing w:val="-5"/>
        </w:rPr>
        <w:t xml:space="preserve"> </w:t>
      </w:r>
      <w:r>
        <w:rPr>
          <w:b/>
        </w:rPr>
        <w:t>Rojo</w:t>
      </w:r>
      <w:r>
        <w:rPr>
          <w:b/>
          <w:spacing w:val="-6"/>
        </w:rPr>
        <w:t xml:space="preserve"> </w:t>
      </w:r>
      <w:r>
        <w:rPr>
          <w:b/>
        </w:rPr>
        <w:t>Sur</w:t>
      </w:r>
      <w:r>
        <w:rPr>
          <w:b/>
          <w:spacing w:val="-5"/>
        </w:rPr>
        <w:t xml:space="preserve"> </w:t>
      </w:r>
      <w:r>
        <w:rPr>
          <w:b/>
        </w:rPr>
        <w:t xml:space="preserve">(Cali). </w:t>
      </w:r>
      <w:r>
        <w:t>En una investigación, la Fiscalía General de la Nación descubrió una red de tráfico de estupefacientes y lavado de activos que operaba camuflada dentro de la barra Barón Rojo Sur, del América de Cali. Las disputas internas por el control del negocio dejaron cerca de una veintena de homicidios (Caracol Radio, 2020). En este caso la barra ya no es solo el escenario de una violencia expresiva; es el vehículo de una economía ilegal. Con eso cambia el tipo de riesgo, y la respuesta no puede quedarse en medidas de convivencia: hace falta investigación criminal de tipo estructural, junto con intervención social.</w:t>
      </w:r>
    </w:p>
    <w:p w14:paraId="64096DEF" w14:textId="77777777" w:rsidR="0084558A" w:rsidRDefault="00000000" w:rsidP="00EB144C">
      <w:pPr>
        <w:pStyle w:val="Textoindependiente"/>
        <w:spacing w:line="360" w:lineRule="auto"/>
        <w:ind w:left="0" w:firstLine="707"/>
        <w:jc w:val="left"/>
      </w:pPr>
      <w:r>
        <w:rPr>
          <w:b/>
        </w:rPr>
        <w:t xml:space="preserve">Lectura jurídica del caso 2. </w:t>
      </w:r>
      <w:r>
        <w:t>El régimen que importa aquí ya no es el de la violencia entre hinchas sino el de la criminalidad organizada. En abstracto, los hechos descritos por la investigación encajan en conductas como el concierto para delinquir, el tráfico de estupefacientes y el lavado de activos (artículos 340, 376 y 323 del Código Penal), y los bienes podrían perseguirse además con la acción de extinción de dominio (Congreso de Colombia, 2014). Lo más importante del caso, en términos jurídicos, es que la barra no responde como tal, ni penal ni civilmente, porque por regla general estas agrupaciones no tienen personalidad jurídica. Responden sus integrantes, cada uno por su participación en la estructura. Por eso la Sentencia C-065 de 2021 debe leerse con cuidado. Cuando reconoce a las barras como interlocutoras en las comisiones de seguridad, presupone que se trata de organizaciones sociales de aficionados; un caso como este muestra que esas comisiones necesitan filtros, para que el espacio de participación no acabe legitimando a quien usa la barra como fachada. Para los clubes la pregunta que se abre es más disciplinaria y reputacional que civil: cualquier apoyo material a la barra, sea con boletas o con otros beneficios, podría terminar financiando la estructura ilegal. No tenemos evidencia de que eso haya ocurrido en este caso, y por eso lo dejamos planteado apenas como un riesgo.</w:t>
      </w:r>
    </w:p>
    <w:p w14:paraId="58CB4529" w14:textId="77777777" w:rsidR="008F59D7" w:rsidRDefault="005A53E5" w:rsidP="00EB144C">
      <w:pPr>
        <w:pStyle w:val="Textoindependiente"/>
        <w:spacing w:line="360" w:lineRule="auto"/>
        <w:ind w:left="0" w:firstLine="707"/>
        <w:jc w:val="left"/>
      </w:pPr>
      <w:r>
        <w:rPr>
          <w:b/>
        </w:rPr>
        <w:t xml:space="preserve">Caso 3. La red transnacional entre la barra del Atlético Nacional y la del club Laferrere (2018). </w:t>
      </w:r>
      <w:r>
        <w:t>En 2018 fueron detenidos unos quince integrantes de la barra del Atlético Nacional por participar en una red que enviaba droga a Argentina, donde la distribuía la barra del club Laferrere (Caracol Radio, 2020). Dos hinchadas de países distintos, articuladas para un negocio ilegal. Eso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left"/>
      </w:pPr>
      <w:r>
        <w:rPr>
          <w:b/>
        </w:rPr>
        <w:t xml:space="preserve">Lectura jurídica del caso 3. </w:t>
      </w:r>
      <w:r>
        <w:t>Aquí se ve hasta dónde llegan las herramientas nacionales. La responsabilidad vuelve a ser penal e individual, pero perseguirla depende de la cooperación judicial y policial entre Estados, porque la conducta empieza en Colombia y se consuma en Argentina. El caso nos interesa también por lo que anticipa del análisis comparado. El programa argentino Tribuna Segura, que estudiamos más adelante, cruza la identidad de quien entra al estadio con las bases de datos de personas con orden de captura; un integrante de una red como esta podría ser detectado en la puerta. En Colombia eso no pasa, porque en los accesos no se verifica quién entra, salvo en los pilotos que describimos luego. Del lado del club no encontramos fundamento para una responsabilidad civil o disciplinaria: la actividad ilícita no tiene que ver con la organización del espectáculo.</w:t>
      </w:r>
    </w:p>
    <w:p w14:paraId="09B7752B" w14:textId="77777777" w:rsidR="0084558A" w:rsidRDefault="00000000" w:rsidP="00EB144C">
      <w:pPr>
        <w:pStyle w:val="Textoindependiente"/>
        <w:spacing w:line="360" w:lineRule="auto"/>
        <w:ind w:left="0" w:firstLine="707"/>
        <w:jc w:val="left"/>
      </w:pPr>
      <w: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cuando la barra funciona como vehículo de economías ilegales, las herramientas de convivencia y las sanciones disciplinarias se quedan cortas: la respuesta tiene que venir de la investigación criminal. De los tres casos describimos el estado procesal que documenta la fuente, sin afirmar condenas que no consten en registros verificables. Tampoco pretendemos que retraten al barrismo en su conjunto. Se escogieron por su valor para el análisis jurídico y no autorizan a atribuir conductas delictivas a todos los integrantes de las barras.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left"/>
      </w:pPr>
      <w:r>
        <w:t>En el papel, el marco normativo colombiano es amplio. El problema está en su ejecución. La Constitución Política protege la vida, la integridad, la seguridad, la libre asociación y el derecho al deporte. Con la Ley 1270 de 2009 nacieron la Comisión Nacional para la Seguridad, Comodidad y Convivencia en el Fútbol y las comisiones locales. La Ley 1445 de 2011, modificada por la Ley 1453 de ese mismo año, fijó medidas contra la agresión, el daño a la infraestructura y las conductas contrarias a la convivencia. Y el Código Penal contiene tipos que permiten individualizar el homicidio, las lesiones personales, el daño en bien ajeno, las amenazas y el lanzamiento o ingreso de objetos peligrosos en escenarios deportivos (Congreso de Colombia, 2000, 2009, 2011a, 2011b).</w:t>
      </w:r>
    </w:p>
    <w:p w14:paraId="26C3AB85" w14:textId="77777777" w:rsidR="008F59D7" w:rsidRDefault="005E4666" w:rsidP="00EB144C">
      <w:pPr>
        <w:pStyle w:val="Textoindependiente"/>
        <w:spacing w:line="360" w:lineRule="auto"/>
        <w:ind w:left="0" w:firstLine="707"/>
        <w:jc w:val="left"/>
      </w:pPr>
      <w:r>
        <w:t>Los aficionados y los integrantes de las barras pueden tener que responder por tres vías: penal, contravencional o administrativa. La penal aparece cuando la conducta lesiona bienes jurídicos como la vida, la integridad, la seguridad pública o la propiedad. La contravencional cubre lo que afecta la convivencia sin llegar al umbral penal; ahí las autoridades de policía imponen las medidas correctivas del Código Nacional de Seguridad y Convivencia Ciudadana, como multas y actividades pedagógicas (Congreso de Colombia, 2016). La administrativa es la que la Ley 1445 de 2011 creó específicamente para el espectáculo deportivo. Sus artículos 14 y 15 sancionan, entre otras conductas, portar armas o estupefacientes, invadir el terreno de juego, agredir física o verbalmente a otras personas o dañar la infraestructura, con multas de hasta cien salarios mínimos y con la prohibición de ir a escenarios deportivos durante un periodo de seis meses a seis años, según la gravedad (Congreso de Colombia, 2011a). Para imponer estas sanciones no hace falta que haya delito. Funcionan como una restricción individual de acceso al espectáculo, y su eficacia depende, como veremos, de que se pueda verificar la identidad de quien entra al estadio. En lo penal, la Sala de Casación Penal de la Corte Suprema de Justicia ha exigido que la identidad del imputado y la forma concreta en que participó en el hecho se prueben de manera individual y estricta. En la Sentencia SP3573-2022, radicación 55480, la Corte mantuvo una condena por homicidio agravado después de examinar y validar el procedimiento con que se identificó al procesado (Corte Suprema de Justicia, Sala de Casación Penal, 2022). Con esa exigencia se entiende por qué hechos como el del caso 1 suelen terminar como terminan: lo difícil no es calificar jurídicamente la conducta, sino probar quién la cometió. Una aclaración sobre otra providencia, para no estirar su alcance. Citamos la Sentencia SP289-2023, radicación 63567, solo por el principio general de que la riña acordada de antemano descarta la legítima defensa. El caso que resolvió fue una pelea pactada entre dos menores escolares en una cancha de barrio en Cali, a raíz de un episodio de matoneo; no se trató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left"/>
      </w:pPr>
      <w:r>
        <w:t>Con las cifras hay que ir despacio.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bastante común, que es sumar a la cifra penal incidentes apenas disciplinarios y sin respaldo probatorio.</w:t>
      </w:r>
    </w:p>
    <w:p w14:paraId="48B7B2D0" w14:textId="77777777" w:rsidR="00807E98" w:rsidRPr="00807E98" w:rsidRDefault="00807E98" w:rsidP="00EB144C">
      <w:pPr>
        <w:pStyle w:val="Textoindependiente"/>
        <w:spacing w:line="360" w:lineRule="auto"/>
        <w:ind w:left="0" w:firstLine="720"/>
        <w:jc w:val="left"/>
      </w:pPr>
      <w:r>
        <w:t>Clubes y organizadores del espectáculo tienen deberes civiles, disciplinarios y administrativos. Nos detenemos en los civiles, porque son la puerta que el ordenamiento deja abierta a las víctimas. Primero hay que hacer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14:paraId="4A53B64B" w14:textId="77777777" w:rsidR="0084558A" w:rsidRDefault="00000000" w:rsidP="00EB144C">
      <w:pPr>
        <w:pStyle w:val="Textoindependiente"/>
        <w:spacing w:line="360" w:lineRule="auto"/>
        <w:ind w:left="0" w:firstLine="720"/>
        <w:jc w:val="left"/>
      </w:pPr>
      <w:r>
        <w:rPr>
          <w:b/>
        </w:rPr>
        <w:t xml:space="preserve">El asistente con boleta: responsabilidad contractual. </w:t>
      </w:r>
      <w:r>
        <w:t>Al adquirir la entrada, el espectador celebra con el organizador un contrato de espectáculo público, por el cual este se obliga a permitirle presenciar el partido y aquel a pagar el precio. El deber de seguridad no suele estar escrito en la boleta, pero forma parte del contrato por mandato del artículo 1603 del Código Civil, según el cual los contratos obligan “no solo a lo que en ellos se expresa, sino a todas las cosas que emanan precisamente de la naturaleza de la obligación” (Congreso de los Estados Unidos de Colombia, 1873), regla que el artículo 871 del Código de Comercio reitera para los contratos mercantiles (Presidencia de la República de Colombia, 1971). Quien vende el ingreso a un recinto en el que concentra a miles de personas, controla los accesos y define las condiciones de permanencia asume, como obligación accesoria, la de procurar que el asistente salga indemne del evento. Ese deber encuentra respaldo adicional en el Estatuto del Consumidor, que exige a los proveedores ofrecer productos y servicios que, en condiciones normales de uso, no presenten riesgos irrazonables para la salud o la integridad de las personas (Congreso de Colombia, 2011c), y en el Estatuto del Aficionado al Fútbol (Presidencia de la República de Colombia, 2012). Los presupuestos de la responsabilidad son, entonces, los del régimen contractual. Debe existir el contrato, y la boleta basta para acreditarlo. Debe haber un incumplimiento del deber de seguridad, lo que significa que el daño se produjo durante la ejecución del contrato (al entrar, al permanecer o al salir del escenario) por una falla en las condiciones de seguridad que el organizador tenía que garantizar. Y deben probarse el daño y el nexo causal entre ese incumplimiento y el daño.</w:t>
      </w:r>
    </w:p>
    <w:p w14:paraId="08854832" w14:textId="77777777" w:rsidR="0084558A" w:rsidRDefault="00000000" w:rsidP="00EB144C">
      <w:pPr>
        <w:pStyle w:val="Textoindependiente"/>
        <w:spacing w:line="360" w:lineRule="auto"/>
        <w:ind w:left="0" w:firstLine="720"/>
        <w:jc w:val="left"/>
      </w:pPr>
      <w: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left"/>
      </w:pPr>
      <w:r>
        <w:rPr>
          <w:b/>
        </w:rPr>
        <w:t xml:space="preserve">El tercero sin vínculo contractual: responsabilidad extracontractual. </w:t>
      </w:r>
      <w:r>
        <w:t>Otra cosa ocurre con el vecino al que se le avería la casa, con el transeúnte que recibe un objeto lanzado desde la tribuna o con quien, sin boleta, sufre un daño dentro del perímetro que controla el organizador. Con ellos el club no tiene contrato, y la reclamación va por la vía extracontractual. Puede apoyarse en la regla general del artículo 2341 del Código Civil; en la responsabilidad por el hecho de los dependientes del artículo 2347, que aplica a la conducta del personal de logística, o, si el daño proviene del ejercicio de la actividad, en el régimen de actividades peligrosas del artículo 2356. Por esta misma vía reclaman los familiares de un asistente fallecido cuando piden su propio perjuicio; las acciones que heredan del causante, en cambio, siguen siendo contractuales. En este terreno, y no en la relación con el asistente, creemos que la organización de un evento masivo puede encuadrarse como actividad peligrosa, noción cuyo desarrollo jurisprudencial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left"/>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left"/>
      </w:pPr>
      <w:r>
        <w:t>La línea viene de atrás. En la sentencia del 8 de septiembre de 2011, expediente 73449-3103-001-2006-00049-01, la Sala resolvió un caso de muerte por contacto con una red de conducción de energía eléctrica, y lo hizo por una vía que interesa subrayar: los herederos del beneficiario reclamaron directamente contra la aseguradora de la empresa electrificadora, no contra la empresa. Ese detalle importa para el fútbol profesional, donde los clubes suelen tener contratada una póliza de responsabilidad civil extracontractual, porque muestra que el tercero lesionado puede dirigirse contra el asegurador del guardián de la actividad, en ejercicio de la acción directa que le reconoce el artículo 1133 del Código de Comercio. En cuanto a la carga probatoria, la Sala reiteró la fórmula que había acuñado en su providencia del 19 de diciembre de 2008, expediente 1999-02191-01: a quien se señala autor del menoscabo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left"/>
      </w:pPr>
      <w: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left"/>
      </w:pPr>
      <w: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Llevada al fútbol profesional, esa regla opera frente a terceros que no tienen vínculo contractual con el club. Con el asistente que compró boleta la reclamación va por el contrato, y allí la prueba de la diligencia sí conserva el papel que el artículo 2356 le quita. En ambos regímenes aparece, eso sí, la misma pregunta: qué pasa cuando el daño lo causa un tercero. La agresión de otro hincha es la forma más común de daño en los estadios, y hay que precisar en qué casos esa conducta rompe el nexo entre el daño y la organización del evento.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left"/>
      </w:pPr>
      <w:r>
        <w:rPr>
          <w:b/>
        </w:rPr>
        <w:t xml:space="preserve">La conducta de terceros y la causa extraña. </w:t>
      </w:r>
      <w:r>
        <w:t>Que un tercero agreda a alguien dentro del estadio no es, por sí solo, una causa extraña. Para exonerar al organizador en cualquiera de los dos regímenes, el hecho del tercero tiene que ser la causa exclusiva del daño y tener los rasgos de la fuerza mayor: imprevisible e irresistible para quien lo alega, y ajeno a su esfera de control (Corte Suprema de Justicia, Sala de Casación Civil, 2011; Tamayo Jaramillo, 2007). En un partido de fútbol esos rasgos no se pueden valorar en abstracto. La violencia entre hinchas es uno de los riesgos típicos del evento; el organizador lo conoce y tiene medidas para enfrentarlo. Todo depende de las circunstancias concretas, que ordenamos en los criterios de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left"/>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left"/>
      </w:pPr>
      <w:r>
        <w:t>Con esos criterios en la mano se pueden separar varias situaciones. Pensemos primero en una agresión previsible, dado el nivel de riesgo del partido, que ocurrió porque el medio usado pasó una requisa deficiente o porque no se cumplió la separación de hinchadas. Ahí el hecho del tercero no rompe el nexo causal: el daño es la realización del riesgo que el organizador tenía que controlar. En el régimen contractual eso es un incumplimiento del deber de seguridad; en el extracontractual, impide acreditar la causa extraña. Distinto es el caso del organizador que demuestra que clasificó y atendió el partido según su nivel de riesgo, que cumplió los protocolos de ingreso y vigilancia y que la agresión fue súbita e individual, con un medio que no se podía detectar. El hecho del tercero puede operar entonces como causa extraña. Y en el régimen contractual esa misma prueba, aunque no alcance a configurar la causa extraña, puede bastar para demostrar la diligencia exigible. Entre los dos extremos queda una zona gris, donde concurren la conducta del tercero y la falla del organizador. La víctima puede demandar a ambos y, en el terreno extracontractual, invocar la solidaridad que el artículo 2344 del Código Civil establece entre quienes causan un mismo daño, sin perjuicio de la reducción del artículo 2357 si la víctima se expuso imprudentemente a él. El caso 1 muestra el borde exterior de este análisis. Si el ataque ocurre en la vía pública, fuera del perímetro de control del organizador y sin relación contractual de por medio, la pregunta se traslada al deber de la Policía Nacional de garantizar el orden público alrededor del partido.</w:t>
      </w:r>
    </w:p>
    <w:p w14:paraId="005E1CC6" w14:textId="77777777" w:rsidR="008F59D7" w:rsidRDefault="00EC1C99" w:rsidP="00EB144C">
      <w:pPr>
        <w:pStyle w:val="Textoindependiente"/>
        <w:spacing w:line="360" w:lineRule="auto"/>
        <w:ind w:left="0" w:firstLine="382"/>
        <w:jc w:val="left"/>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left"/>
      </w:pPr>
      <w:r>
        <w:t>El Estado, las alcaldías, la Policía Nacional y las comisiones de seguridad responden en el plano constitucional y administrativo, porque les toca proteger los derechos fundamentales y mantener la convivencia. La Ley 1270 de 2009 le dio a la Comisión Nacional y a las comisiones locales funciones de planeación, coordinación, prevención, manejo de información, control de alcoholemia y drogas, oficinas de denuncia y acuerdos de convivencia. El Plan Decenal de Seguridad, Comodidad y Convivencia en el Fútbol 2014-2024 desarrolló esas funciones en dos líneas: el fútbol como espectáculo que integra y el fútbol como herramienta de desarrollo social (Ministerio del Interior, 2014). Sobre el alcance de ese deber se pronunció la Sala de Consulta y Servicio Civil del Consejo de Estado. Según su concepto, el orden público en los partidos le corresponde de manera indelegable a la Policía Nacional, por el principio de exclusividad de la fuerza pública; las empresas de vigilancia privada pueden encargarse de tareas logísticas y de control interno, como revisar la boletería, controlar el acceso y retirar elementos prohibidos, pero no pueden desplazar ni reemplazar a la fuerza pública (Consejo de Estado, Sala de Consulta y Servicio Civil, 2025). La Corte Constitucional, por su parte, en la Sentencia C-065 de 2021 avaló que los delegados de las barras participen en esos espacios con voz pero sin voto. Tienen derecho a intervenir en las decisiones que las afectan, lo que no significa que ejerzan funciones públicas de seguridad ni que sustituyan a las autoridades (Corte Constitucional, 2021).</w:t>
      </w:r>
    </w:p>
    <w:p w14:paraId="1D35B8B9" w14:textId="033E2FA8" w:rsidR="00FF0028" w:rsidRDefault="005A53E5" w:rsidP="00EB144C">
      <w:pPr>
        <w:pStyle w:val="Textoindependiente"/>
        <w:spacing w:line="360" w:lineRule="auto"/>
        <w:ind w:left="0" w:firstLine="707"/>
        <w:jc w:val="left"/>
      </w:pPr>
      <w:r>
        <w:t>La Dimayor y la Federación Colombiana de Fútbol también tienen deberes jurídicos, que les vienen de su condición de reguladores privados del fútbol profesional. Cuando sus decisiones disciplinarias afectan a clubes, jugadores o asistentes, deben respetar el debido proceso, estar motivadas, ser proporcionales y razonables y admitir doble instancia. Dos providencias ayudan a delimitar el punto. La Sentencia SU-386 de 2023 trata del deber de inspección y vigilancia del Ministerio del Deporte y del acceso a la justicia de los futbolistas. Tomamos de ella una regla: la autonomía deportiva y asociativa no excluye el control constitucional cuando las decisiones de organizaciones privadas del fútbol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w:t>
            </w:r>
            <w:r>
              <w:rPr>
                <w:spacing w:val="40"/>
                <w:sz w:val="18"/>
              </w:rPr>
              <w:t xml:space="preserve"> </w:t>
            </w:r>
            <w:r>
              <w:rPr>
                <w:sz w:val="18"/>
              </w:rPr>
              <w:t>contravencional</w:t>
            </w:r>
            <w:r>
              <w:rPr>
                <w:spacing w:val="40"/>
                <w:sz w:val="18"/>
              </w:rPr>
              <w:t xml:space="preserve"> </w:t>
            </w:r>
            <w:r>
              <w:rPr>
                <w:sz w:val="18"/>
              </w:rPr>
              <w:t>y administrativa individual</w:t>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left"/>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left"/>
        <w:rPr>
          <w:spacing w:val="-2"/>
        </w:rPr>
      </w:pPr>
      <w:r>
        <w:t>Las pérdidas económicas golpean toda la cadena de valor del espectáculo, y van más allá de las multas. El primer efecto viene de las sanciones del Comité Disciplinario de la Dimayor, que se imponen resolución por resolución por fallas de seguridad en las gradas y por conducta impropia de los espectadores. Los montos oscilan entre ocho y diez salarios mínimos legales mensuales vigentes, y la sanción puede llegar al cierre parcial o total de las tribunas. Un ejemplo es la Resolución 095 de 2024: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14:paraId="321A6EAA" w14:textId="6E93EE59" w:rsidR="00347D59" w:rsidRPr="00FF0028" w:rsidRDefault="00E94736" w:rsidP="00EB144C">
      <w:pPr>
        <w:pStyle w:val="Textoindependiente"/>
        <w:spacing w:line="360" w:lineRule="auto"/>
        <w:ind w:left="0" w:firstLine="707"/>
        <w:jc w:val="left"/>
        <w:rPr>
          <w:spacing w:val="-2"/>
        </w:rPr>
      </w:pPr>
      <w:r>
        <w:t>El segundo efecto cuesta más medirlo y probablemente sale más caro: la gente deja de ir al estadio por voluntad propia. Es de esperar que el miedo a la inseguridad pese en esa decisión, junto con otros factores como el horario o la calidad del juego. Resultado: tribunas a medio llenar. Interés en el fútbol sí hay. Lo que pasa es que algunos aficionados, sobre todo las familias y las personas mayores, prefieren verlo por televisión. El tercer efecto toca a los patrocinadores y a los derechos de televisión, dos fuentes de ingreso de las que depende buena parte de la estabilidad financiera de los clubes. Un contrato de patrocinio puede traer cláusulas de protección de imagen que reducen o cancelan el aporte si el club es sancionado o aparece en los medios por incidentes violentos. Los operadores de televisión, por su lado, pueden llevar la imagen de seguridad del torneo a la mesa donde se negocian los costos; un fútbol violento se vende más barato en el mercado audiovisual que uno que se percibe apto para la familia. Queda un último efecto, el que recae sobre la economía urbana de las ciudades sede. Alrededor del estadio viven del consumo comerciantes, restaurantes, transportadores y proveedores; si la violencia baja la asistencia o cambia el horario del partido, ellos pierden ingresos, y esa pérdida no figura en el balance de ningún club. No la cuantificamos en este trabajo, pero es razonable pensar que el daño agregado a la economía local sea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left"/>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left"/>
      </w:pPr>
      <w:r>
        <w:t>En Inglaterra todo cambió con Hillsborough. El 15 de abril de 1989, en la semifinal de la FA Cup entre el Liverpool y el Nottingham Forest, murieron 97 personas. El Gobierno encargó un informe independiente, el Informe Taylor (1990), que atribuyó la tragedia principalmente a una falla en el control policial y recomendó reconvertir los estadios de primera y segunda división, quitando las zonas de pie para poner asientos individuales. Hacia mediados de los noventa la reforma estaba completa y los vallados perimetrales habían desaparecido. Sobre esa base se montaron las football banning orders de la Football Spectators Act de 1989, que impiden entrar al estadio a quienes están vinculados a hechos violentos (Reino Unido, 1989). El cambio se puede medir con los datos oficiales del Ministerio del Interior británico: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left"/>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left"/>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left"/>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left"/>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left"/>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left"/>
      </w:pPr>
      <w: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juicio de los autores,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pPr>
      <w:r>
        <w:t>La jurisprudencia apunta en la misma dirección. Según la Sentencia C-065 de 2021, las barras no pueden quedar por fuera del diálogo entre entidades, aunque tampoco pueden ocupar el lugar de las autoridades. En lo penal, la Corte Suprema insiste en que para sancionar se necesita prueba concreta del hecho y un autor debidamente identificado, y en que no se confunda el incidente colectivo con la conducta individual. En lo civil, el asistente con boleta tiene una acción contractual fundada en el deber de seguridad del organizador; los terceros ajenos al contrato, la vía extracontractual, reforzada por la figura de la actividad peligrosa. En los dos casos la agresión de otro hincha solo libera al organizador cuando, vistas las circunstancias de la Tabla 1, resulta imprevisible, irresistible y ajena a su esfera de control. Una buena política pública tendría que juntar, como mínimo, estos tres planos con la prevención social.</w:t>
      </w:r>
    </w:p>
    <w:p w14:paraId="693D721B" w14:textId="77777777" w:rsidR="00347D59" w:rsidRDefault="00AD023D" w:rsidP="00EB144C">
      <w:pPr>
        <w:pStyle w:val="Textoindependiente"/>
        <w:spacing w:line="360" w:lineRule="auto"/>
        <w:ind w:left="0" w:firstLine="707"/>
        <w:jc w:val="left"/>
      </w:pPr>
      <w:r>
        <w:t>Las experiencias internacionales concretan el diagnóstico. A juicio de los autores, lo que resultó decisivo en los tres países fue mantener a todos los actores bajo una misma dirección institucional, pues ni la tecnología elegida ni una norma aislada explican por sí solas el resultado. En Inglaterra, la tragedia de Hillsborough obligó a coordinar a actores que hasta entonces actuaban de manera dispersa, y Dunning (1999) sostiene que la transformación cultural de las gradas, esto es, la conversión de la violencia en un comportamiento socialmente reprobable, resultó tan determinante como la transformación material de los estadios, en la medida en que atacó la causa y no solo el síntoma. Argentina y Uruguay, en cambio, no esperaron una tragedia semejante: allí el cambio provino de una decisión política deliberada, mantenida en el tiempo pese a las resistencias, que en ambos casos se apoyó en la identificación de quienes ingresan a los estadios. En Colombia, según se desprende de las fuentes y los casos analizados, la respuesta visible se ha concentrado en las sanciones disciplinarias a los clubes y en los operativos policiales, sin que la identificación de los asistentes haya llegado a operar de manera general, como lo muestran el fracaso de la carnetización y el caso 1.</w:t>
      </w:r>
    </w:p>
    <w:p w14:paraId="754F6287" w14:textId="77777777" w:rsidR="008F59D7" w:rsidRDefault="005A53E5" w:rsidP="00EB144C">
      <w:pPr>
        <w:pStyle w:val="Textoindependiente"/>
        <w:spacing w:line="360" w:lineRule="auto"/>
        <w:ind w:left="0" w:firstLine="382"/>
        <w:jc w:val="left"/>
      </w:pPr>
      <w: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Una asociación no prueba causalidad, es cierto.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left"/>
      </w:pPr>
      <w:r>
        <w:t>Mirados desde la sociología del deporte, estos resultados dialogan con la tesis de Clavijo (2004), que ve en las barras un espacio donde se incluyen jóvenes excluidos. Si eso es cierto, la represión indiscriminada rinde poco, y a veces sale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left"/>
      </w:pPr>
      <w: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Los autores plantean,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left"/>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left"/>
      </w:pPr>
      <w: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La medida, que se articula con la Ley 269 de la Ciudad de Buenos Aires y con la Ley 7411 de Salta, termina convirtiendo el acceso al estadio en un mecanismo coactivo para el cumplimiento de obligaciones alimentarias. Esa expansión pone de manifiesto la potencia de un sistema de identificación consolidado, pero al mismo tiempo plantea interrogantes de proporcionalidad sobre el uso del espectáculo deportivo como instrumento de ejecución de deberes ajenos al ámbito de la seguridad, discusión que Colombia deberá afrontar si llega a establecer un mecanismo semejante.</w:t>
      </w:r>
    </w:p>
    <w:p w14:paraId="39397271" w14:textId="3E3C67FB" w:rsidR="00EB144C" w:rsidRDefault="00347D59" w:rsidP="00720FAB">
      <w:pPr>
        <w:pStyle w:val="Textoindependiente"/>
        <w:spacing w:line="360" w:lineRule="auto"/>
        <w:ind w:left="0" w:firstLine="707"/>
        <w:jc w:val="left"/>
      </w:pPr>
      <w: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juicio de los autores,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left"/>
      </w:pPr>
      <w:r>
        <w:t>Llegamos a seis conclusiones. En cada una separamos tres niveles: lo que el trabajo demostró con las fuentes, los casos y la jurisprudencia; la interpretación jurídica que hacemos a partir de ahí, y las propuestas para modificar o fortalecer el régimen, que no se siguen necesariamente de la evidencia y deben leerse como recomendaciones. Los resultados son consistentes con la hipótesis de la introducción. Ninguno de los países comparados redujo la violencia con una medida puramente punitiva, y en Colombia tener normas sancionatorias no se ha traducido ni en un número de condenas proporcional a los hechos ni en la identificación sistemática de los agresores. Aun así, un estudio documental y comparado como este no alcanza a demostrar la hipótesis en sentido estricto; la dejamos como una tesis que la evidencia revisada respalda.</w:t>
      </w:r>
    </w:p>
    <w:p w14:paraId="535F6711" w14:textId="77777777" w:rsidR="005F1D22" w:rsidRDefault="006E6BE4" w:rsidP="00EB144C">
      <w:pPr>
        <w:pStyle w:val="Textoindependiente"/>
        <w:spacing w:line="360" w:lineRule="auto"/>
        <w:ind w:left="0" w:firstLine="707"/>
        <w:jc w:val="left"/>
      </w:pPr>
      <w:r>
        <w:rPr>
          <w:b/>
        </w:rPr>
        <w:t xml:space="preserve">01. Sobre las causas del fenómeno. </w:t>
      </w:r>
      <w:r>
        <w:rPr>
          <w:i/>
        </w:rPr>
        <w:t xml:space="preserve">Lo demostrado. </w:t>
      </w:r>
      <w:r>
        <w:t>La literatura revisada documenta factores no deportivos detrás de la violencia en el fútbol colombiano. Para Clavijo (2004), las barras integran a jóvenes que no encuentran reconocimiento en otros ámbitos. Pécaut (2001) relaciona la violencia colombiana con la presencia fragmentada del Estado. Y Castaño Pérez et al. (2014), con una muestra de 570 integrantes de barras de Medellín, hallaron una asociación estadísticamente significativa entre el consumo de sustancias y la agresividad física.</w:t>
      </w:r>
      <w:r>
        <w:rPr>
          <w:i/>
        </w:rPr>
        <w:t xml:space="preserve"> Interpretación de los autores. </w:t>
      </w:r>
      <w:r>
        <w:t>Leemos ahí un fenómeno estructural, atado a la desigualdad, a la falta de oportunidades para muchos jóvenes y a la normalización de la violencia. Hay que advertir, eso sí, que la asociación entre consumo y agresividad no prueba por sí sola una relación causal.</w:t>
      </w:r>
      <w:r>
        <w:rPr>
          <w:i/>
        </w:rPr>
        <w:t xml:space="preserve"> Propuesta. </w:t>
      </w:r>
      <w:r>
        <w:t>La política pública debería incluir programas sociales y de reducción del consumo para los jóvenes de las barras. Sin ellos, lo más probable es que las medidas punitivas consigan, a lo sumo, logros aislados.</w:t>
      </w:r>
    </w:p>
    <w:p w14:paraId="0E01C8B3" w14:textId="77777777" w:rsidR="006E6BE4" w:rsidRDefault="006E6BE4" w:rsidP="00EB144C">
      <w:pPr>
        <w:pStyle w:val="Textoindependiente"/>
        <w:spacing w:line="360" w:lineRule="auto"/>
        <w:ind w:left="0" w:firstLine="707"/>
      </w:pPr>
      <w:r>
        <w:rPr>
          <w:b/>
        </w:rPr>
        <w:t xml:space="preserve">02. Sobre el marco normativo y la persecución penal. </w:t>
      </w:r>
      <w:r>
        <w:rPr>
          <w:i/>
        </w:rPr>
        <w:t xml:space="preserve">Lo demostrado. </w:t>
      </w:r>
      <w:r>
        <w:t>Colombia tiene un marco normativo amplio: la Ley 1270 de 2009, las Leyes 1445 y 1453 de 2011, el Código Penal, el Código Nacional de Seguridad y Convivencia Ciudadana, el régimen disciplinario del fútbol y una jurisprudencia constitucional que delimitó la participación de las barras (Sentencia C-065 de 2021). Quedó documentada también la brecha entre muertes y condenas descrita en los resultados (Castro-Lozano, 2020). Los casos mostraron que la persecución penal tropieza sobre todo con la individualización de los autores, que la Sala de Casación Penal exige de manera estricta.</w:t>
      </w:r>
      <w:r>
        <w:rPr>
          <w:i/>
        </w:rPr>
        <w:t xml:space="preserve"> Interpretación de los autores. </w:t>
      </w:r>
      <w:r>
        <w:t>El problema no parece ser la falta de normas, sino que no se aplican de forma sostenida. Esa lectura coincide con la tesis de Pécaut (2001) sobre la debilidad institucional como factor estructural de la violencia en Colombia.</w:t>
      </w:r>
      <w:r>
        <w:rPr>
          <w:i/>
        </w:rPr>
        <w:t xml:space="preserve"> Propuesta. </w:t>
      </w:r>
      <w:r>
        <w:t>Más que leyes nuevas, hacen falta ejecución coordinada, recursos, información confiable y mecanismos para identificar uno a uno a los responsables.</w:t>
      </w:r>
    </w:p>
    <w:p w14:paraId="757D467A" w14:textId="77777777" w:rsidR="006E6BE4" w:rsidRDefault="006E6BE4" w:rsidP="00EB144C">
      <w:pPr>
        <w:pStyle w:val="Textoindependiente"/>
        <w:spacing w:line="360" w:lineRule="auto"/>
        <w:ind w:left="0" w:firstLine="707"/>
        <w:jc w:val="left"/>
      </w:pPr>
      <w:r>
        <w:rPr>
          <w:b/>
        </w:rPr>
        <w:t xml:space="preserve">03. Sobre la responsabilidad civil de los organizadores. </w:t>
      </w:r>
      <w:r>
        <w:rPr>
          <w:i/>
        </w:rPr>
        <w:t xml:space="preserve">Lo demostrado. </w:t>
      </w:r>
      <w:r>
        <w:t>Las víctimas tienen a su disposición dos regímenes distintos. Al asistente con boleta, el organizador le responde por vía contractual cuando incumple el deber de seguridad que forma parte del contrato de espectáculo (artículos 1603 y 1604 del Código Civil). A los terceros sin vínculo contractual les responde por vía extracontractual, y si el daño proviene de una actividad peligrosa, la jurisprudencia de la Sala de Casación Civil (SC2905-2021 y SC2111-2021) no le permite exonerarse probando solo su diligencia.</w:t>
      </w:r>
      <w:r>
        <w:rPr>
          <w:i/>
        </w:rPr>
        <w:t xml:space="preserve"> Interpretación de los autores. </w:t>
      </w:r>
      <w:r>
        <w:t>Frente a terceros, organizar un espectáculo masivo puede calificarse como actividad peligrosa. Frente al asistente, el deber de seguridad es una obligación de medios de intensidad reforzada. La agresión de un tercero solo libera al organizador cuando resulta imprevisible, irresistible y ajena a su esfera de control, algo que se establece valorando la previsibilidad del hecho, las posibilidades de prevención, las medidas y protocolos adoptados, la vigilancia y las condiciones concretas del daño.</w:t>
      </w:r>
      <w:r>
        <w:rPr>
          <w:i/>
        </w:rPr>
        <w:t xml:space="preserve"> Propuesta. </w:t>
      </w:r>
      <w:r>
        <w:t>Si la reglamentación de los planes de seguridad fijara estándares mínimos de requisa, separación de hinchadas y vigilancia según el nivel de riesgo de cada partido, los jueces tendrían más certeza al valorar la diligencia del organizador.</w:t>
      </w:r>
    </w:p>
    <w:p w14:paraId="6205B326" w14:textId="77777777" w:rsidR="006E6BE4" w:rsidRDefault="006E6BE4" w:rsidP="00EB144C">
      <w:pPr>
        <w:pStyle w:val="Textoindependiente"/>
        <w:spacing w:line="360" w:lineRule="auto"/>
        <w:ind w:left="0" w:firstLine="382"/>
      </w:pPr>
      <w:r>
        <w:rPr>
          <w:b/>
        </w:rPr>
        <w:t xml:space="preserve">04. Sobre la identificación de asistentes. </w:t>
      </w:r>
      <w:r>
        <w:rPr>
          <w:i/>
        </w:rPr>
        <w:t xml:space="preserve">Lo demostrado. </w:t>
      </w:r>
      <w:r>
        <w:t>En los países comparados, las fuentes reportan resultados verificables, resumidos en la Tabla 3: en Uruguay bajaron las detenciones después de incorporar el reconocimiento facial, y en Argentina se capturaron prófugos y se dictaron exclusiones administrativas individualizadas. En Colombia la carnetización de 2017 nunca llegó a operar, por falta de lectores en los estadios, de coordinación con las alcaldías y de aceptación de los hinchas. La verificación de identidad en los accesos apenas se prueba en pilotos, y el caso 1 mostró que esa carencia es uno de los obstáculos para individualizar a los agresores.</w:t>
      </w:r>
      <w:r>
        <w:rPr>
          <w:i/>
        </w:rPr>
        <w:t xml:space="preserve"> Interpretación de los autores. </w:t>
      </w:r>
      <w:r>
        <w:t>Con esos resultados no se puede aislar el efecto de la identificación frente a otros factores. Aun así, es la medida cuyos resultados se observan de forma más directa. Lo ocurrido con la carnetización sugiere que en Colombia los límites han sido más institucionales que técnicos; que también sean políticos es una hipótesis nuestra, no un resultado demostrado.</w:t>
      </w:r>
      <w:r>
        <w:rPr>
          <w:i/>
        </w:rPr>
        <w:t xml:space="preserve"> Propuesta. </w:t>
      </w:r>
      <w:r>
        <w:t>Implementar un sistema de identificación de asistentes con garantías de protección de datos personales y de proporcionalidad, teniendo en cuenta las dudas que abre la ampliación argentina de la restricción de concurrencia a los deudores alimentarios.</w:t>
      </w:r>
    </w:p>
    <w:p w14:paraId="0FB6AA53" w14:textId="77777777" w:rsidR="008F59D7" w:rsidRDefault="006E6BE4" w:rsidP="00EB144C">
      <w:pPr>
        <w:pStyle w:val="Textoindependiente"/>
        <w:spacing w:line="360" w:lineRule="auto"/>
        <w:ind w:left="0" w:firstLine="382"/>
        <w:jc w:val="left"/>
      </w:pPr>
      <w:r>
        <w:rPr>
          <w:b/>
        </w:rPr>
        <w:t xml:space="preserve">05. Sobre el régimen disciplinario. </w:t>
      </w:r>
      <w:r>
        <w:rPr>
          <w:i/>
        </w:rPr>
        <w:t xml:space="preserve">Lo demostrado. </w:t>
      </w:r>
      <w:r>
        <w:t>El régimen disciplinario del fútbol sanciona a los clubes resolución por resolución. En lo revisado, las multas van de ocho a diez salarios mínimos por resolución (la Resolución 095 de 2024, por ejemplo, impuso diez), y hay cierres parciales o totales de tribuna (División Mayor del Fútbol Colombiano, 2024). Lo que no existe es un agregado oficial de esas sanciones ni un registro público de reincidencia por club.</w:t>
      </w:r>
      <w:r>
        <w:rPr>
          <w:i/>
        </w:rPr>
        <w:t xml:space="preserve"> Interpretación de los autores. </w:t>
      </w:r>
      <w:r>
        <w:t>Con esa información no podemos afirmar ni descartar que el régimen disuada, porque el hecho de que las conductas sancionadas se repitan no prueba, por sí mismo, que la sanción sea ineficaz. Nos limitamos a advertir que el monto de cada multa parece modesto frente al tamaño del problema, lo que justifica revisar su diseño; el trabajo no permite concluir que el régimen esté mal calibrado.</w:t>
      </w:r>
      <w:r>
        <w:rPr>
          <w:i/>
        </w:rPr>
        <w:t xml:space="preserve"> Propuesta. </w:t>
      </w:r>
      <w:r>
        <w:t>La Dimayor y la Federación Colombiana de Fútbol deberían publicar datos consolidados de sanciones y reincidencia para hacer posible esa evaluación. Si los datos confirman que no hay disuasión, cabría pensar en un esquema progresivo según la reincidencia, respetando el debido proceso, la doble instancia y el control judicial que la jurisprudencia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left"/>
      </w:pPr>
      <w:r>
        <w:rPr>
          <w:b/>
        </w:rPr>
        <w:t xml:space="preserve">06. Sobre la transformación cultural. </w:t>
      </w:r>
      <w:r>
        <w:rPr>
          <w:i/>
        </w:rPr>
        <w:t xml:space="preserve">Lo demostrado. </w:t>
      </w:r>
      <w:r>
        <w:t>En Inglaterra la reducción de la violencia coincidió con varias cosas: la transformación material de los estadios después del Informe Taylor (1990), el régimen de prohibiciones de ingreso de la Football Spectators Act (Reino Unido, 1989) y, según Dunning (1999), un cambio cultural en las gradas. Las cifras del Home Office (2025) registran además una caída de las detenciones asociadas al fútbol en la última década.</w:t>
      </w:r>
      <w:r>
        <w:rPr>
          <w:i/>
        </w:rPr>
        <w:t xml:space="preserve"> Interpretación de los autores. </w:t>
      </w:r>
      <w:r>
        <w:t>Coincidimos con Dunning en que el cambio cultural pesó tanto como las medidas normativas y tecnológicas, aunque con las fuentes revisadas no es posible medir cuánto pesó cada cosa.</w:t>
      </w:r>
      <w:r>
        <w:rPr>
          <w:i/>
        </w:rPr>
        <w:t xml:space="preserve"> Propuesta. </w:t>
      </w:r>
      <w:r>
        <w:t>Acompañar las medidas de control con programas serios de educación y convivencia; dialogar directamente con las barras, desde sus propios códigos, dentro del marco de participación que reconoció la Sentencia C-065 de 2021 y con los filtros que sugiere el caso 2, y contar con el liderazgo visible de jugadores, cuerpos técnicos y directivos. En Colombia el fútbol es una fuerza cultural enorme. La violencia que lo rodea es, en buena medida, el precio de no cuidar esa cultura con el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t>Congreso de Colombia. (2016). Ley 1801 de 2016, por la cual se expide el Código Nacional de Seguridad y Convivencia Ciudadana. Diario Oficial No. 49.949.</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