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left"/>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left"/>
      </w:pPr>
      <w:r>
        <w:rPr/>
        <w:t>En Colombia, la violencia ligada al fútbol profesional cuesta vidas, lesiona la integridad de muchas personas y compromete a clubes y autoridades; es un problema jurídico, pero también social y económico. En este artículo estudiamos sus causas estructurales, la responsabilidad civil, penal, administrativa y disciplinaria de cada actor y qué tan eficaz ha sido el marco normativo. El estudio es cualitativo, de alcance descriptivo y analítico, y se apoya en revisión documental, análisis de tres casos, jurisprudencia y una comparación con Inglaterra, Argentina y Uruguay. Encontramos que el marco normativo es amplio, pero que falla justo donde más importa, en la identificación individual de los agresores, y eso ayuda a explicar por qué hay tantas muertes y tan pocas condenas. En lo civil separamos la responsabilidad contractual del organizador frente a quien compró la boleta de la extracontractual frente a terceros, y proponemos criterios para establecer cuándo la agresión de otro hincha lo exonera, mientras que la información pública disponible no permite verificar si el régimen disciplinario tiene efecto disuasorio. Concluimos que hay que identificar a los infractores, coordinar a las autoridades con los clubes y acompañar las sanciones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left"/>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left"/>
        <w:rPr>
          <w:lang w:val="en-US"/>
        </w:rPr>
      </w:pPr>
      <w:r>
        <w:rPr>
          <w:lang w:val="en-US"/>
        </w:rPr>
        <w:t>In Colombia, violence linked to professional football costs lives, harms the physical integrity of many people and involves clubs and public authorities, which makes it a social and economic problem as well as a legal one. In this article we study its structural causes, the civil, criminal, administrative and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This gap helps to explain the distance between the number of deaths and the number of convictions. In civil matters we distinguish the organizer's contractual liability towards ticket holders from its non-contractual liability towards third parties, and we propose criteria to establish when an attack by another fan releases the organizer, while the publicly available information does not allow us to verify whether the disciplinary regime has a deterrent effect. We conclude that offenders need to be identified, that authorities and clubs need to coordinate, and that sanctions should be accompanied by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left"/>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left"/>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left"/>
      </w:pPr>
      <w: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No hay un registro oficial consolidado, y el Instituto Nacional de Medicina Legal y Ciencias Forenses (Medicina Legal) tampoco clasifica los homicidios según si la víctima pertenecía o no a una barra, así que las cifras toca reconstruirlas con la prensa y con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14:paraId="155BB68E" w14:textId="77777777" w:rsidR="00EF4F7A" w:rsidRDefault="00EF4F7A" w:rsidP="00EB144C">
      <w:pPr>
        <w:pStyle w:val="Textoindependiente"/>
        <w:spacing w:line="360" w:lineRule="auto"/>
        <w:ind w:left="0" w:firstLine="707"/>
        <w:jc w:val="left"/>
      </w:pPr>
      <w:r>
        <w:t xml:space="preserve">Esta situación no ha sido exclusiva de Colombia, sino que se presenta tanto en países </w:t>
      </w:r>
      <w:r>
        <w:lastRenderedPageBreak/>
        <w:t>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left"/>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left"/>
      </w:pPr>
      <w:r>
        <w:t>Por ser estructural, el fenómeno pide ser mirado desde tres planos. Los separamos solo para exponerlos con orden; en la práctica van juntos. En el jurídico se identifican las responsabilidades civiles, penales, administrativas y disciplinarias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Sumamos a lo anterior el derecho comparado.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left"/>
      </w:pPr>
      <w:r>
        <w:rPr/>
        <w:t>La hipótesis es nuestra.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En concreto, sostenemos que ninguna política exclusivamente punitiva reducirá de manera sostenible la violencia asociada al fútbol colombiano, una violencia que no se limita a los escenarios deportivos y alcanza sus alrededores, el transporte público y los trayectos de regreso. Para revertir esa tendencia, las medidas punitivas tendrían que combinarse con programas de inclusión y reinserción social para los jóvenes de las barras, con mecanismos tecnológicos de identificación de asistentes y con un compromiso verificable de clubes y entidades reguladoras. Esa hipótesis la contrastamos con la evidencia académica, con las fuentes oficiales disponibles y con la experiencia comparada.</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left"/>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left"/>
      </w:pPr>
      <w: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provienen de la prensa y de la academia, y reflejan un mínimo del problema, no su totalidad (Castro-Lozano, 2020). Las cifras económicas son aproximaciones; ninguna proviene de una auditoría independiente. Hay también un sesgo geográfico difícil de corregir, porque la investigación académica y doctrinal sobre las barras colombianas es escasa y se concentra en Medellín y Bogotá. Por eso los hallazgos deben leerse como tendencias generales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left"/>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left"/>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left"/>
      </w:pPr>
      <w:r>
        <w:rP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Entre esos estudios, el de Castaño Pérez et al. (2014) tiene un peso especial para nosotros, porque se hizo en Colombia con una muestra amplia de 570 integrantes de las barras bravas del Atlético Nacional y del Deportivo Independiente Medellín (p. 82) y porque combina la medición psicológica con la lectura de los procesos sociales, lo que permite observar a la vez los factores individuales y los estructurales.</w:t>
      </w:r>
    </w:p>
    <w:p w14:paraId="3CC3117A" w14:textId="77777777" w:rsidR="00DD271F" w:rsidRDefault="00DD271F" w:rsidP="00EB144C">
      <w:pPr>
        <w:pStyle w:val="Textoindependiente"/>
        <w:spacing w:line="360" w:lineRule="auto"/>
        <w:ind w:left="0" w:firstLine="707"/>
        <w:jc w:val="left"/>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pPr>
      <w:r>
        <w:rP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caso registramos los actores, las fechas, los hechos y el estado del proceso que se conoce. Los elegimos porque estaban documentados en fuentes públicas verificables, porque las notas de prensa que los reportan son de 2020 y porque cada uno muestra un aspecto distinto del problema, desde la violencia entre hinchas rivales hasta la entrada de economías ilegales a una barra y el paso de esa criminalidad a otro país. También tuvimos en cuenta que pusieran a prueba regímenes de responsabilidad diferentes, que van de la responsabilidad penal individual a la persecución del crimen organizado y la cooperación internacional.</w:t>
      </w:r>
    </w:p>
    <w:p w14:paraId="51F91E50" w14:textId="77777777" w:rsidR="005E4666" w:rsidRDefault="005E4666" w:rsidP="00EB144C">
      <w:pPr>
        <w:pStyle w:val="Textoindependiente"/>
        <w:spacing w:line="360" w:lineRule="auto"/>
        <w:ind w:left="0" w:firstLine="707"/>
      </w:pPr>
      <w:r>
        <w:rPr/>
        <w:t>Estos casos no representan al barrismo en su conjunto ni sirven para sacar conclusiones estadísticas; los usamos para ilustrar el análisis jurídico y ponerlo a prueba. A cada uno le planteamos tres preguntas: qué régimen de responsabilidad se activa, sobre quién recae y qué impide que se haga efectivo. Para responderlas leímos sentencias de la Corte Constitucional y de las Salas de Casación Penal y Civil de la Corte Suprema de Justicia, y revisamos cómo se reparte la responsabilidad entre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left"/>
      </w:pPr>
      <w:r>
        <w:t>Los casos también muestran cómo funciona la respuesta del Estado. Se ve qué obstáculos dejan los hechos sin castigo, en qué lugares y momentos pasan los más graves y cuánta distancia hay entre la sanción disciplinaria del fútbol y la pena. Hay un problema que no queremos esconder. Los datos de la Fiscalía General de la Nación y de la Policía Nacional son difíciles de conseguir y están ordenados con lógica penal, así que casi nunca dejan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left"/>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left"/>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left"/>
      </w:pPr>
      <w:r>
        <w:t>Presentamos los resultados en cuatro partes. Primero el perfil de la violencia en el fútbol colombiano, luego la responsabilidad jurídica de cada actor, después el impacto económico y al final la comparación con otros países. Esa división es solo para ordenar la lectura. En la vida real todo está conectado. Las causas sociales producen violencia y la violencia cuesta plata; esa plata que se pierde les quita a los clubes margen para invertir en seguridad, y la respuesta jurídica es la que termina marcando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left"/>
      </w:pPr>
      <w:r>
        <w:t xml:space="preserve">El primer rasgo del fenómeno es su magnitud. A pesar de las sanciones disciplinarias de la Dimayor y de los dispositivos de la Policía Nacional, las cifras disponibles no permiten afirmar que la violencia asociada al fútbol haya disminuido. El relevamiento de El País de Cali (2020), </w:t>
      </w:r>
      <w:r>
        <w:lastRenderedPageBreak/>
        <w:t>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left"/>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left"/>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left"/>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left"/>
      </w:pPr>
      <w:r>
        <w:t xml:space="preserve">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w:t>
      </w:r>
      <w:r>
        <w:lastRenderedPageBreak/>
        <w:t>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juicio de los autores,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left"/>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left"/>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left"/>
      </w:pPr>
      <w:r>
        <w:rPr>
          <w:b/>
        </w:rPr>
        <w:t xml:space="preserve">Lectura jurídica del caso 1. </w:t>
      </w:r>
      <w:r>
        <w:rP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La sola pertenencia a la barra agresora no permite atribuirle a alguien la muerte, y en ese punto se detiene el caso, porque sin registros de ingreso ni videovigilancia útil la investigación depende de testigos que temen declarar.</w:t>
      </w:r>
    </w:p>
    <w:p w14:paraId="270BE7EB" w14:textId="77777777" w:rsidR="0084558A" w:rsidRDefault="00000000" w:rsidP="00EB144C">
      <w:pPr>
        <w:pStyle w:val="Textoindependiente"/>
        <w:spacing w:line="360" w:lineRule="auto"/>
        <w:ind w:left="0" w:firstLine="707"/>
        <w:jc w:val="left"/>
      </w:pPr>
      <w:r>
        <w:rPr/>
        <w:t>En lo civil, el caso marca un límite que desarrollamos en el apartado siguiente. Como la agresión ocurrió fuera del escenario, la víctima no estaba dentro del ámbito de ejecución del contrato de ingreso al espectáculo y no puede invocar el deber de seguridad contractual del organizador; tampoco es sencillo atribuir al club un daño causado en la vía pública por personas que no estaban bajo su control. La pregunta se traslada entonces al Estado, al que le corresponde de manera indelegable el orden público en el entorno de los partidos (Consejo de Estado, Sala de Consulta y Servicio Civil, 2025), y su eventual responsabilidad patrimonial por omisión, con base en el artículo 90 de la Constitución Política, dependería de probar que el riesgo era conocido y que el dispositivo policial fue insuficiente frente a él. El régimen disciplinario de la Dimayor aporta poco en hechos como este, pues se dirige al club y no al agresor y se ocupa de lo que ocurre en el escenario con ocasión del partido.</w:t>
      </w:r>
    </w:p>
    <w:p w14:paraId="0ECCDB65" w14:textId="77777777" w:rsidR="008F59D7" w:rsidRDefault="005A53E5" w:rsidP="00EB144C">
      <w:pPr>
        <w:pStyle w:val="Textoindependiente"/>
        <w:spacing w:line="360" w:lineRule="auto"/>
        <w:ind w:left="0" w:firstLine="707"/>
        <w:jc w:val="left"/>
      </w:pPr>
      <w:r>
        <w:rPr>
          <w:b/>
        </w:rPr>
        <w:t>Caso</w:t>
      </w:r>
      <w:r>
        <w:rPr>
          <w:b/>
          <w:spacing w:val="-6"/>
        </w:rPr>
        <w:t xml:space="preserve"> </w:t>
      </w:r>
      <w:r>
        <w:rPr>
          <w:b/>
        </w:rPr>
        <w:t>2.</w:t>
      </w:r>
      <w:r>
        <w:rPr>
          <w:b/>
          <w:spacing w:val="-6"/>
        </w:rPr>
        <w:t xml:space="preserve"> </w:t>
      </w:r>
      <w:r>
        <w:rPr>
          <w:b/>
        </w:rPr>
        <w:t>La</w:t>
      </w:r>
      <w:r>
        <w:rPr>
          <w:b/>
          <w:spacing w:val="-6"/>
        </w:rPr>
        <w:t xml:space="preserve"> </w:t>
      </w:r>
      <w:r>
        <w:rPr>
          <w:b/>
        </w:rPr>
        <w:t>infiltración</w:t>
      </w:r>
      <w:r>
        <w:rPr>
          <w:b/>
          <w:spacing w:val="-5"/>
        </w:rPr>
        <w:t xml:space="preserve"> </w:t>
      </w:r>
      <w:r>
        <w:rPr>
          <w:b/>
        </w:rPr>
        <w:t>del</w:t>
      </w:r>
      <w:r>
        <w:rPr>
          <w:b/>
          <w:spacing w:val="-5"/>
        </w:rPr>
        <w:t xml:space="preserve"> </w:t>
      </w:r>
      <w:r>
        <w:rPr>
          <w:b/>
        </w:rPr>
        <w:t>narcotráfico</w:t>
      </w:r>
      <w:r>
        <w:rPr>
          <w:b/>
          <w:spacing w:val="-3"/>
        </w:rPr>
        <w:t xml:space="preserve"> </w:t>
      </w:r>
      <w:r>
        <w:rPr>
          <w:b/>
        </w:rPr>
        <w:t>en</w:t>
      </w:r>
      <w:r>
        <w:rPr>
          <w:b/>
          <w:spacing w:val="-5"/>
        </w:rPr>
        <w:t xml:space="preserve"> </w:t>
      </w:r>
      <w:r>
        <w:rPr>
          <w:b/>
        </w:rPr>
        <w:t>el</w:t>
      </w:r>
      <w:r>
        <w:rPr>
          <w:b/>
          <w:spacing w:val="-5"/>
        </w:rPr>
        <w:t xml:space="preserve"> </w:t>
      </w:r>
      <w:r>
        <w:rPr>
          <w:b/>
        </w:rPr>
        <w:t>Barón</w:t>
      </w:r>
      <w:r>
        <w:rPr>
          <w:b/>
          <w:spacing w:val="-5"/>
        </w:rPr>
        <w:t xml:space="preserve"> </w:t>
      </w:r>
      <w:r>
        <w:rPr>
          <w:b/>
        </w:rPr>
        <w:t>Rojo</w:t>
      </w:r>
      <w:r>
        <w:rPr>
          <w:b/>
          <w:spacing w:val="-6"/>
        </w:rPr>
        <w:t xml:space="preserve"> </w:t>
      </w:r>
      <w:r>
        <w:rPr>
          <w:b/>
        </w:rPr>
        <w:t>Sur</w:t>
      </w:r>
      <w:r>
        <w:rPr>
          <w:b/>
          <w:spacing w:val="-5"/>
        </w:rPr>
        <w:t xml:space="preserve"> </w:t>
      </w:r>
      <w:r>
        <w:rPr>
          <w:b/>
        </w:rPr>
        <w:t xml:space="preserve">(Cali). </w:t>
      </w:r>
      <w:r>
        <w:t>En una investigación, la Fiscalía General de la Nación descubrió una red de tráfico de estupefacientes y lavado de activos que operaba camuflada dentro de la barra Barón Rojo Sur, del América de Cali. Las disputas internas por el control del negocio dejaron cerca de una veintena de homicidios (Caracol Radio, 2020). En este caso la barra ya no es solo el escenario de una violencia expresiva; es el vehículo de una economía ilegal. Con eso cambia el tipo de riesgo, y la respuesta no puede quedarse en medidas de convivencia: hace falta investigación criminal de tipo estructural, junto con intervención social.</w:t>
      </w:r>
    </w:p>
    <w:p w14:paraId="64096DEF" w14:textId="77777777" w:rsidR="0084558A" w:rsidRDefault="00000000" w:rsidP="00EB144C">
      <w:pPr>
        <w:pStyle w:val="Textoindependiente"/>
        <w:spacing w:line="360" w:lineRule="auto"/>
        <w:ind w:left="0" w:firstLine="707"/>
        <w:jc w:val="left"/>
      </w:pPr>
      <w:r>
        <w:rPr>
          <w:b/>
        </w:rPr>
        <w:t xml:space="preserve">Lectura jurídica del caso 2. </w:t>
      </w:r>
      <w:r>
        <w:t>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Responde cada integrante por lo que hizo dentro de la estructura. Esto obliga a leer con cuidado la Sentencia C-065 de 2021. Cuando la Corte reconoce a las barras como interlocutoras en las comisiones de seguridad, está pensando en organizaciones sociales de aficionados. Un caso como este muestra que esas comisiones necesitan filtros, para que el espacio de participación no termine dándole legitimidad a quien usa la barra de fachada. Para los clubes la pregunta es más disciplinaria y de reputación que civil. Si le dan a la barra boletas u otros beneficios, ese apoyo podría acabar financiando la estructura ilegal. No tenemos pruebas de que eso haya pasado en este caso, y por eso lo dejamos solo como un riesgo.</w:t>
      </w:r>
    </w:p>
    <w:p w14:paraId="58CB4529" w14:textId="77777777" w:rsidR="008F59D7" w:rsidRDefault="005A53E5" w:rsidP="00EB144C">
      <w:pPr>
        <w:pStyle w:val="Textoindependiente"/>
        <w:spacing w:line="360" w:lineRule="auto"/>
        <w:ind w:left="0" w:firstLine="707"/>
        <w:jc w:val="left"/>
      </w:pPr>
      <w:r>
        <w:rPr>
          <w:b/>
        </w:rPr>
        <w:t xml:space="preserve">Caso 3. La red transnacional entre la barra del Atlético Nacional y la del club Laferrere (2018). </w:t>
      </w:r>
      <w:r>
        <w:t>En 2018 fueron detenidos unos quince integrantes de la barra del Atlético Nacional por participar en una red que enviaba droga a Argentina, donde la distribuía la barra del club Laferrere (Caracol Radio, 2020). Dos hinchadas de países distintos, articuladas para un negocio ilegal. Eso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left"/>
      </w:pPr>
      <w:r>
        <w:rPr>
          <w:b/>
        </w:rPr>
        <w:t xml:space="preserve">Lectura jurídica del caso 3. </w:t>
      </w:r>
      <w:r>
        <w:t>Aquí se ve hasta dónde llegan las herramientas nacionales. La responsabilidad vuelve a ser penal e individual. Pero perseguirla depende de que colaboren jueces y policías de dos Estados, porque la conducta empieza en Colombia y termina en Argentina. El caso nos interesa además por lo que adelanta de la comparación. El programa argentino Tribuna Segura, que estudiamos más adelante, cruza la identidad de quien entra al estadio con las bases de personas con orden de captura. Un integrante de una red como esta podría ser detectado en la puerta. En Colombia eso no pasa, porque en los accesos nadie verifica quién entra, salvo en los pilotos que describimos luego. Del lado del club no vemos base para una responsabilidad civil o disciplinaria, pues el negocio ilegal no tiene nada que ver con la organización del partido.</w:t>
      </w:r>
    </w:p>
    <w:p w14:paraId="09B7752B" w14:textId="77777777" w:rsidR="0084558A" w:rsidRDefault="00000000" w:rsidP="00EB144C">
      <w:pPr>
        <w:pStyle w:val="Textoindependiente"/>
        <w:spacing w:line="360" w:lineRule="auto"/>
        <w:ind w:left="0" w:firstLine="707"/>
        <w:jc w:val="left"/>
      </w:pPr>
      <w: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cuando la barra funciona como vehículo de economías ilegales, las herramientas de convivencia y las sanciones disciplinarias se quedan cortas: la respuesta tiene que venir de la investigación criminal. De los tres casos describimos el estado procesal que documenta la fuente, sin afirmar condenas que no consten en registros verificables. Tampoco pretendemos que retraten al barrismo en su conjunto. Se escogieron por su valor para el análisis jurídico y no autorizan a atribuir conductas delictivas a todos los integrantes de las barras.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left"/>
      </w:pPr>
      <w:r>
        <w:rPr/>
        <w:t>En el papel, el marco normativo colombiano es amplio, aunque falla en su ejecución. La Constitución Política protege la vida, la integridad, la seguridad, la libre asociación y el derecho al deporte, y sobre esa base la Ley 1270 de 2009 creó la Comisión Nacional para la Seguridad, Comodidad y Convivencia en el Fútbol y las comisiones locales. Después, la Ley 1445 de 2011, modificada por la Ley 1453 del mismo año, fijó medidas contra la agresión, el daño a la infraestructura y las conductas contrarias a la convivencia. Y el Código Penal contiene tipos que permiten individualizar el homicidio, las lesiones personales, el daño en bien ajeno, las amenazas y el lanzamiento o ingreso de objetos peligrosos en escenarios deportivos (Congreso de Colombia, 2000, 2009, 2011a, 2011b).</w:t>
      </w:r>
    </w:p>
    <w:p w14:paraId="26C3AB85" w14:textId="77777777" w:rsidR="008F59D7" w:rsidRDefault="005E4666" w:rsidP="00EB144C">
      <w:pPr>
        <w:pStyle w:val="Textoindependiente"/>
        <w:spacing w:line="360" w:lineRule="auto"/>
        <w:ind w:left="0" w:firstLine="707"/>
        <w:jc w:val="left"/>
      </w:pPr>
      <w:r>
        <w:t>Los hinchas y los integrantes de las barras pueden responder por tres vías. Una es la penal, que aparece cuando la conducta daña bienes jurídicos como la vida, la integridad, la seguridad pública o la propiedad. Otra es la contravencional, para lo que afecta la convivencia sin llegar a delito. En ese caso las autoridades de policía imponen las medidas correctivas del Código Nacional de Seguridad y Convivencia Ciudadana, como multas y actividades pedagógicas (Congreso de Colombia, 2016). La tercera es la administrativa,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Para estas sanciones no hace falta que haya delito. Funcionan como una restricción personal de entrada al estadio, y sirven solo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Lo difícil no es saber qué delito es. Lo difícil es probar quién lo cometió. Una aclaración sobre otra providencia, para no estirar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left"/>
      </w:pPr>
      <w:r>
        <w:t>Con las cifras hay que ir despacio.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apenas disciplinarios y sin respaldo probatorio.</w:t>
      </w:r>
    </w:p>
    <w:p w14:paraId="48B7B2D0" w14:textId="77777777" w:rsidR="00807E98" w:rsidRPr="00807E98" w:rsidRDefault="00807E98" w:rsidP="00EB144C">
      <w:pPr>
        <w:pStyle w:val="Textoindependiente"/>
        <w:spacing w:line="360" w:lineRule="auto"/>
        <w:ind w:left="0" w:firstLine="720"/>
        <w:jc w:val="left"/>
      </w:pPr>
      <w:r>
        <w:t>Clubes y organizadores del espectáculo tienen deberes civiles, disciplinarios y administrativos. Nos detenemos en los civiles, porque son la puerta que el ordenamiento deja abierta a las víctimas. Primero hay que hacer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left"/>
      </w:pPr>
      <w:r>
        <w:rPr>
          <w:b/>
        </w:rPr>
        <w:t xml:space="preserve">El asistente con boleta: responsabilidad contractual. </w:t>
      </w:r>
      <w:r>
        <w:t>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Lo mismo hace el Estatuto del Aficionado al Fútbol (Presidencia de la República de Colombia, 2012). Los presupuestos de la responsabilidad son, entonces, los del régimen contractual. Debe existir el contrato, y la boleta basta para probarlo. Debe haber un incumplimiento del deber de seguridad, o sea, un daño ocurrido durante la ejecución del contrato (al entrar, al estar o al salir del estadio) por una falla en la seguridad que el organizador tenía que garantizar. Y deben probarse el daño y el nexo causal entre ese incumplimiento y el daño.</w:t>
      </w:r>
    </w:p>
    <w:p w14:paraId="08854832" w14:textId="77777777" w:rsidR="0084558A" w:rsidRDefault="00000000" w:rsidP="00EB144C">
      <w:pPr>
        <w:pStyle w:val="Textoindependiente"/>
        <w:spacing w:line="360" w:lineRule="auto"/>
        <w:ind w:left="0" w:firstLine="720"/>
        <w:jc w:val="left"/>
      </w:pPr>
      <w: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left"/>
      </w:pPr>
      <w:r>
        <w:rPr>
          <w:b/>
        </w:rPr>
        <w:t xml:space="preserve">El tercero sin vínculo contractual: responsabilidad extracontractual. </w:t>
      </w:r>
      <w:r>
        <w:t>Otra cosa pasa con el vecino al que se le daña la casa, con el peatón al que le cae un objeto lanzado desde la tribuna o con quien, sin boleta, sufre un daño dentro del perímetro que controla el organizador. Con ellos el club no tiene contrato.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left"/>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left"/>
      </w:pPr>
      <w:r>
        <w:t>La línea viene de atrás. En la sentencia del 8 de septiembre de 2011, expediente 73449-3103-001-2006-00049-01, la Sala decidió el caso de una persona que murió al tocar una red de energía eléctrica. Hay un detalle que nos importa.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left"/>
      </w:pPr>
      <w: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left"/>
      </w:pPr>
      <w: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Llevada al fútbol profesional, esa regla opera frente a terceros que no tienen vínculo contractual con el club. Con el asistente que compró boleta la reclamación va por el contrato, y allí la prueba de la diligencia sí conserva el papel que el artículo 2356 le quita. En ambos regímenes aparece, eso sí, la misma pregunta: qué pasa cuando el daño lo causa un tercero. La agresión de otro hincha es la forma más común de daño en los estadios, y hay que precisar en qué casos esa conducta rompe el nexo entre el daño y la organización del evento.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left"/>
      </w:pPr>
      <w:r>
        <w:rPr>
          <w:b/>
        </w:rPr>
        <w:t xml:space="preserve">La conducta de terceros y la causa extraña. </w:t>
      </w:r>
      <w:r>
        <w:t>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La violencia entre hinchas es uno de los riesgos más conocidos del evento, y el organizador sabe que existe y tiene medios para enfrentarla. Todo depende de lo que pasó en concreto, y para ordenarlo proponemos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left"/>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left"/>
      </w:pPr>
      <w:r>
        <w:rP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La situación cambia si el organizador demuestra que clasificó y atendió el partido según su nivel de riesgo, que cumplió los protocolos de ingreso y vigilancia y que la agresión fue súbita e individual, cometida con un medio imposible de detectar; en ese caso el hecho del tercero puede operar como causa extraña, y en el régimen contractual esa misma prueba puede bastar para demostrar la diligencia exigible aunque no alcance a configurarla.</w:t>
      </w:r>
    </w:p>
    <w:p w14:paraId="71C72833" w14:textId="77777777" w:rsidR="0084558A" w:rsidRDefault="00000000" w:rsidP="00EB144C">
      <w:pPr>
        <w:pStyle w:val="Textoindependiente"/>
        <w:spacing w:line="360" w:lineRule="auto"/>
        <w:ind w:left="0" w:firstLine="720"/>
        <w:jc w:val="left"/>
      </w:pPr>
      <w:r>
        <w:rPr/>
        <w:t>Entre los dos extremos queda una zona gris en la que concurren la conducta del tercero y la falla del organizador. Allí la víctima puede demandar a ambos y, en el terreno extracontractual, invocar la solidaridad que el artículo 2344 del Código Civil establece entre quienes causan un mismo daño, sin perjuicio de la reducción prevista en el artículo 2357 si ella misma se expuso imprudentemente. El caso 1 muestra el borde exterior de este análisis. Si el ataque ocurre en la vía pública, fuera del perímetro de control del organizador y sin relación contractual de por medio, la pregunta se traslada al deber de la Policía Nacional de garantizar el orden público alrededor del partido.</w:t>
      </w:r>
    </w:p>
    <w:p w14:paraId="005E1CC6" w14:textId="77777777" w:rsidR="008F59D7" w:rsidRDefault="00EC1C99" w:rsidP="00EB144C">
      <w:pPr>
        <w:pStyle w:val="Textoindependiente"/>
        <w:spacing w:line="360" w:lineRule="auto"/>
        <w:ind w:left="0" w:firstLine="382"/>
        <w:jc w:val="left"/>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left"/>
      </w:pPr>
      <w:r>
        <w:t>El Estado, las alcaldías, la Policía Nacional y las comisiones de seguridad responden en el plano constitucional y administrativo, porque les toca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left"/>
      </w:pPr>
      <w:r>
        <w:t>La Dimayor y la Federación Colombiana de Fútbol también tienen deberes jurídicos, que les vienen de su condición de reguladores privados del fútbol profesional. Cuando sus decisiones disciplinarias afectan a clubes, jugadores o asistentes, deben respetar el debido proceso, estar motivadas, ser proporcionales y razonables y admitir doble instancia. Dos providencias ayudan a delimitar el punto. La Sentencia SU-386 de 2023 trata del deber de inspección y vigilancia del Ministerio del Deporte y del acceso a la justicia de los futbolistas. Tomamos de ella una regla: la autonomía deportiva y asociativa no excluye el control constitucional cuando las decisiones de organizaciones privadas del fútbol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w:t>
            </w:r>
            <w:r>
              <w:rPr>
                <w:spacing w:val="40"/>
                <w:sz w:val="18"/>
              </w:rPr>
              <w:t xml:space="preserve"> </w:t>
            </w:r>
            <w:r>
              <w:rPr>
                <w:sz w:val="18"/>
              </w:rPr>
              <w:t>contravencional</w:t>
            </w:r>
            <w:r>
              <w:rPr>
                <w:spacing w:val="40"/>
                <w:sz w:val="18"/>
              </w:rPr>
              <w:t xml:space="preserve"> </w:t>
            </w:r>
            <w:r>
              <w:rPr>
                <w:sz w:val="18"/>
              </w:rPr>
              <w:t>y administrativa individual</w:t>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left"/>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left"/>
        <w:rPr>
          <w:spacing w:val="-2"/>
        </w:rPr>
      </w:pPr>
      <w:r>
        <w:t>Las pérdidas económicas golpean toda la cadena de valor del espectáculo, y van más allá de las multas. El primer efecto viene de las sanciones del Comité Disciplinario de la Dimayor, que se imponen resolución por resolución, por fallas de seguridad en las gradas y por conducta impropia de los espectadores. Los montos oscilan entre ocho y diez salarios mínimos legales mensuales vigentes, y la sanción puede llegar al cierre parcial o total de las tribunas. Un ejemplo es la Resolución 095 de 2024: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left"/>
        <w:rPr>
          <w:spacing w:val="-2"/>
        </w:rPr>
      </w:pPr>
      <w:r>
        <w:rP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recae sobre los patrocinadores y los derechos de televisión, dos fuentes de ingreso de las que depende buena parte de la estabilidad financiera de los clubes. Un contrato de patrocinio puede incluir cláusulas de protección de imagen que reducen o cancelan el aporte si el club es sancionado o aparece en los medios por incidentes violentos, y los operadores de televisión pueden llevar la imagen de seguridad del torneo a la negociación de los costos, ya que un fútbol violento se vende más barato en el mercado audiovisual que uno que se percibe apto para la familia.</w:t>
      </w:r>
    </w:p>
    <w:p w14:paraId="321A6EAA" w14:textId="6E93EE59" w:rsidR="00347D59" w:rsidRPr="00FF0028" w:rsidRDefault="00E94736" w:rsidP="00EB144C">
      <w:pPr>
        <w:pStyle w:val="Textoindependiente"/>
        <w:spacing w:line="360" w:lineRule="auto"/>
        <w:ind w:left="0" w:firstLine="707"/>
        <w:jc w:val="left"/>
        <w:rPr>
          <w:spacing w:val="-2"/>
        </w:rPr>
      </w:pPr>
      <w:r>
        <w:rPr/>
        <w:t>El último efecto recae sobre la economía urbana de las ciudades sede. Alrededor del estadio viven del consumo comerciantes, restaurantes, transportadores y proveedores; si la violencia baja la asistencia o cambia el horario del partido, ellos pierden ingresos, y esa pérdida no figura en el balance de ningún club. No la cuantificamos en este trabajo, pero es razonable pensar que el daño agregado a la economía local sea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left"/>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left"/>
      </w:pPr>
      <w:r>
        <w:rPr/>
        <w:t>En Inglaterra todo cambió con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A mediados de los noventa la reforma se había completado y los vallados perimetrales ya no existían, y sobre esa base se aplicaron las football banning orders de la Football Spectators Act de 1989, que impiden el ingreso al estadio de quienes están vinculados a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left"/>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left"/>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left"/>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left"/>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left"/>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left"/>
      </w:pPr>
      <w: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juicio de los autores,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pPr>
      <w:r>
        <w:rPr/>
        <w:t>La jurisprudencia apunta en la misma dirección. Según la Sentencia C-065 de 2021, las barras no pueden quedar por fuera del diálogo entre entidades, aunque tampoco pueden ocupar el lugar de las autoridades. En materia penal, la Corte Suprema exige prueba concreta del hecho y un autor debidamente identificado para imponer una sanción, y advierte que el incidente colectivo no puede confundirse con la conducta individual. En materia civil, el asistente con boleta cuenta con una acción contractual basada en el deber de seguridad del organizador, mientras que los terceros ajenos al contrato acuden a la vía extracontractual, reforzada por la figura de la actividad peligrosa; en ambos casos, la agresión de otro hincha solo exonera al organizador cuando, según las circunstancias de la Tabla 1, resulta imprevisible, irresistible y ajena a su esfera de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left"/>
      </w:pPr>
      <w:r>
        <w:t>Lo que muestran los otros países aterriza el diagnóstico. En nuestra opinión, lo decisivo en los tres fue poner a todos los actores bajo una misma dirección institucional. Ni la tecnología ni una ley aislada explican por sí solas el resultado. En Inglaterra, Hillsborough obligó a coordinar a actores que antes andaban cada uno por su lado. Dunning (1999) sostiene que el cambio cultural en las gradas, que volvió la violencia algo mal visto socialmente, pesó tanto como la reforma física de los estadios, porque atacó la causa y no solo el síntoma. Argentina y Uruguay no esperaron una tragedia así.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La identificación de asistentes nunca llegó a funcionar de forma general, como lo prueban el fracaso de la carnetización y el caso 1.</w:t>
      </w:r>
    </w:p>
    <w:p w14:paraId="754F6287" w14:textId="77777777" w:rsidR="008F59D7" w:rsidRDefault="005A53E5" w:rsidP="00EB144C">
      <w:pPr>
        <w:pStyle w:val="Textoindependiente"/>
        <w:spacing w:line="360" w:lineRule="auto"/>
        <w:ind w:left="0" w:firstLine="382"/>
        <w:jc w:val="left"/>
      </w:pPr>
      <w: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Una asociación no prueba causalidad, es cierto.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left"/>
      </w:pPr>
      <w: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left"/>
      </w:pPr>
      <w: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Los autores plantean,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left"/>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left"/>
      </w:pPr>
      <w: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La medida, que se articula con la Ley 269 de la Ciudad de Buenos Aires y con la Ley 7411 de Salta, termina convirtiendo el acceso al estadio en un mecanismo coactivo para el cumplimiento de obligaciones alimentarias. Esa expansión pone de manifiesto la potencia de un sistema de identificación consolidado, pero al mismo tiempo plantea interrogantes de proporcionalidad sobre el uso del espectáculo deportivo como instrumento de ejecución de deberes ajenos al ámbito de la seguridad, discusión que Colombia deberá afrontar si llega a establecer un mecanismo semejante.</w:t>
      </w:r>
    </w:p>
    <w:p w14:paraId="39397271" w14:textId="3E3C67FB" w:rsidR="00EB144C" w:rsidRDefault="00347D59" w:rsidP="00720FAB">
      <w:pPr>
        <w:pStyle w:val="Textoindependiente"/>
        <w:spacing w:line="360" w:lineRule="auto"/>
        <w:ind w:left="0" w:firstLine="707"/>
        <w:jc w:val="left"/>
      </w:pPr>
      <w: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juicio de los autores,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left"/>
      </w:pPr>
      <w:r>
        <w:rPr/>
        <w:t>Llegamos a seis conclusiones. En cada una separamos tres cosas. Primero, lo que el trabajo demostró con las fuentes, los casos y la jurisprudencia. Luego, cómo lo interpretamos jurídicamente. Y por último, lo que proponemos para cambiar o reforzar el régimen, que no se deduce necesariamente de la evidencia y debe leerse como recomendación.</w:t>
      </w:r>
    </w:p>
    <w:p w14:paraId="529258A4" w14:textId="77777777" w:rsidR="008F59D7" w:rsidRDefault="005A53E5" w:rsidP="00EB144C">
      <w:pPr>
        <w:pStyle w:val="Textoindependiente"/>
        <w:spacing w:line="360" w:lineRule="auto"/>
        <w:ind w:left="0" w:firstLine="707"/>
        <w:jc w:val="left"/>
      </w:pPr>
      <w:r>
        <w:rP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Con todo, un estudio documental y comparado como este no alcanza a demostrarla en sentido estricto, de modo que la presentamos como una tesis apoyada en la evidencia revisada.</w:t>
      </w:r>
    </w:p>
    <w:p w14:paraId="535F6711" w14:textId="77777777" w:rsidR="005F1D22" w:rsidRDefault="006E6BE4" w:rsidP="00EB144C">
      <w:pPr>
        <w:pStyle w:val="Textoindependiente"/>
        <w:spacing w:line="360" w:lineRule="auto"/>
        <w:ind w:left="0" w:firstLine="707"/>
        <w:jc w:val="left"/>
      </w:pPr>
      <w:r>
        <w:rPr>
          <w:b/>
        </w:rPr>
        <w:t xml:space="preserve">01. Sobre las causas del fenómeno. </w:t>
      </w:r>
      <w:r>
        <w:rPr>
          <w:i/>
        </w:rPr>
        <w:t xml:space="preserve">Lo demostrado. </w:t>
      </w:r>
      <w:r>
        <w:rPr/>
        <w:t>Las fuentes revisadas coinciden en que detrás de la violencia en el fútbol colombiano hay factores ajenos al deporte. Según Clavijo (2004), las barras integran a jóvenes que no encuentran reconocimiento en otros espacios, y Pécaut (2001) relaciona la violencia colombiana con la presencia fragmentada del Estado. En Medellín, Castaño Pérez et al. (2014) estudiaron una muestra de 570 integrantes de barras y hallaron una asociación estadísticamente significativa entre el consumo de sustancias y la agresividad física.</w:t>
      </w:r>
    </w:p>
    <w:p w14:paraId="535F6711" w14:textId="77777777" w:rsidR="005F1D22" w:rsidRDefault="006E6BE4" w:rsidP="00EB144C">
      <w:pPr>
        <w:pStyle w:val="Textoindependiente"/>
        <w:spacing w:line="360" w:lineRule="auto"/>
        <w:ind w:left="0" w:firstLine="707"/>
        <w:jc w:val="left"/>
      </w:pPr>
      <w:r>
        <w:rPr>
          <w:i/>
        </w:rPr>
        <w:t xml:space="preserve">Interpretación de los autores. </w:t>
      </w:r>
      <w:r>
        <w:rPr/>
        <w:t>Leemos en esos hallazgos un fenómeno estructural, ligado a la desigualdad, a la falta de oportunidades para muchos jóvenes y a la normalización de la violencia, con la advertencia de que la asociación entre consumo y agresividad no prueba por sí sola una relación causal.</w:t>
      </w:r>
    </w:p>
    <w:p w14:paraId="535F6711" w14:textId="77777777" w:rsidR="005F1D22" w:rsidRDefault="006E6BE4" w:rsidP="00EB144C">
      <w:pPr>
        <w:pStyle w:val="Textoindependiente"/>
        <w:spacing w:line="360" w:lineRule="auto"/>
        <w:ind w:left="0" w:firstLine="707"/>
        <w:jc w:val="left"/>
      </w:pPr>
      <w:r>
        <w:rPr>
          <w:i/>
        </w:rPr>
        <w:t xml:space="preserve">Propuesta. </w:t>
      </w:r>
      <w:r>
        <w:rPr/>
        <w:t>La política pública debería incluir programas sociales y de reducción del consumo dirigidos a los jóvenes de las barras, pues sin ellos es probable que las medidas punitivas consigan, a lo sumo, logros aislados.</w:t>
      </w:r>
    </w:p>
    <w:p w14:paraId="0E01C8B3" w14:textId="77777777" w:rsidR="006E6BE4" w:rsidRDefault="006E6BE4" w:rsidP="00EB144C">
      <w:pPr>
        <w:pStyle w:val="Textoindependiente"/>
        <w:spacing w:line="360" w:lineRule="auto"/>
        <w:ind w:left="0" w:firstLine="707"/>
      </w:pPr>
      <w:r>
        <w:rPr>
          <w:b/>
        </w:rPr>
        <w:t xml:space="preserve">02. Sobre el marco normativo y la persecución penal. </w:t>
      </w:r>
      <w:r>
        <w:rPr>
          <w:i/>
        </w:rPr>
        <w:t xml:space="preserve">Lo demostrado. </w:t>
      </w:r>
      <w:r>
        <w:rPr/>
        <w:t>Colombia tiene muchas normas sobre el tema. Están la Ley 1270 de 2009, las Leyes 1445 y 1453 de 2011, el Código Penal, el Código Nacional de Seguridad y Convivencia Ciudadana y el régimen disciplinario del fútbol, además de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w:t>
      </w:r>
    </w:p>
    <w:p w14:paraId="0E01C8B3" w14:textId="77777777" w:rsidR="006E6BE4" w:rsidRDefault="006E6BE4" w:rsidP="00EB144C">
      <w:pPr>
        <w:pStyle w:val="Textoindependiente"/>
        <w:spacing w:line="360" w:lineRule="auto"/>
        <w:ind w:left="0" w:firstLine="707"/>
      </w:pPr>
      <w:r>
        <w:rPr>
          <w:i/>
        </w:rPr>
        <w:t xml:space="preserve">Interpretación de los autores. </w:t>
      </w:r>
      <w:r>
        <w:rPr/>
        <w:t>El problema no parece ser la falta de normas, sino su aplicación sostenida, lectura que coincide con lo que plantea Pécaut (2001) sobre la debilidad institucional como causa de fondo de la violencia en Colombia.</w:t>
      </w:r>
    </w:p>
    <w:p w14:paraId="0E01C8B3" w14:textId="77777777" w:rsidR="006E6BE4" w:rsidRDefault="006E6BE4" w:rsidP="00EB144C">
      <w:pPr>
        <w:pStyle w:val="Textoindependiente"/>
        <w:spacing w:line="360" w:lineRule="auto"/>
        <w:ind w:left="0" w:firstLine="707"/>
      </w:pPr>
      <w:r>
        <w:rPr>
          <w:i/>
        </w:rPr>
        <w:t xml:space="preserve">Propuesta. </w:t>
      </w:r>
      <w:r>
        <w:rPr/>
        <w:t>Más que leyes nuevas, hace falta que las vigentes se apliquen de forma coordinada, con recursos, con información confiable y con mecanismos para identificar uno a uno a los responsables.</w:t>
      </w:r>
    </w:p>
    <w:p w14:paraId="757D467A" w14:textId="77777777" w:rsidR="006E6BE4" w:rsidRDefault="006E6BE4" w:rsidP="00EB144C">
      <w:pPr>
        <w:pStyle w:val="Textoindependiente"/>
        <w:spacing w:line="360" w:lineRule="auto"/>
        <w:ind w:left="0" w:firstLine="707"/>
        <w:jc w:val="left"/>
      </w:pPr>
      <w:r>
        <w:rPr>
          <w:b/>
        </w:rPr>
        <w:t xml:space="preserve">03. Sobre la responsabilidad civil de los organizadores. </w:t>
      </w:r>
      <w:r>
        <w:rPr>
          <w:i/>
        </w:rPr>
        <w:t xml:space="preserve">Lo demostrado. </w:t>
      </w:r>
      <w:r>
        <w:rPr/>
        <w:t>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Cuando el daño proviene de una actividad peligrosa, la Sala de Casación Civil (SC2905-2021 y SC2111-2021) no permite que el organizador se libere con la sola prueba de su diligencia.</w:t>
      </w:r>
    </w:p>
    <w:p w14:paraId="757D467A" w14:textId="77777777" w:rsidR="006E6BE4" w:rsidRDefault="006E6BE4" w:rsidP="00EB144C">
      <w:pPr>
        <w:pStyle w:val="Textoindependiente"/>
        <w:spacing w:line="360" w:lineRule="auto"/>
        <w:ind w:left="0" w:firstLine="707"/>
        <w:jc w:val="left"/>
      </w:pPr>
      <w:r>
        <w:rPr>
          <w:i/>
        </w:rPr>
        <w:t xml:space="preserve">Interpretación de los autores. </w:t>
      </w:r>
      <w:r>
        <w:rPr/>
        <w:t>Frente a terceros, la organización de un partido masivo puede tratarse como actividad peligrosa, mientras que frente al asistente el deber de seguridad es una obligación de medios, aunque reforzada. En ambos casos, la agresión de otro hincha solo libera al organizador si fue imprevisible, irresistible y ajena a su control, algo que se establece mirando si el hecho se podía prever y evitar, qué medidas y protocolos se adoptaron, cómo funcionó la vigilancia y en qué condiciones ocurrió el daño.</w:t>
      </w:r>
    </w:p>
    <w:p w14:paraId="757D467A" w14:textId="77777777" w:rsidR="006E6BE4" w:rsidRDefault="006E6BE4" w:rsidP="00EB144C">
      <w:pPr>
        <w:pStyle w:val="Textoindependiente"/>
        <w:spacing w:line="360" w:lineRule="auto"/>
        <w:ind w:left="0" w:firstLine="707"/>
        <w:jc w:val="left"/>
      </w:pPr>
      <w:r>
        <w:rPr>
          <w:i/>
        </w:rPr>
        <w:t xml:space="preserve">Propuesta. </w:t>
      </w:r>
      <w:r>
        <w:rPr/>
        <w:t>Sería útil que la reglamentación de los planes de seguridad fijara mínimos de requisa, de separación de hinchadas y de vigilancia según el riesgo de cada partido. Así los jueces tendrían reglas más claras para juzgar si el organizador fue diligente.</w:t>
      </w:r>
    </w:p>
    <w:p w14:paraId="6205B326" w14:textId="77777777" w:rsidR="006E6BE4" w:rsidRDefault="006E6BE4" w:rsidP="00EB144C">
      <w:pPr>
        <w:pStyle w:val="Textoindependiente"/>
        <w:spacing w:line="360" w:lineRule="auto"/>
        <w:ind w:left="0" w:firstLine="382"/>
      </w:pPr>
      <w:r>
        <w:rPr>
          <w:b/>
        </w:rPr>
        <w:t xml:space="preserve">04. Sobre la identificación de asistentes. </w:t>
      </w:r>
      <w:r>
        <w:rPr>
          <w:i/>
        </w:rPr>
        <w:t xml:space="preserve">Lo demostrado. </w:t>
      </w:r>
      <w:r>
        <w:rPr/>
        <w:t>Los países comparados muestran resultados que se pueden verificar, resumidos en la Tabla 3. En Uruguay bajaron las detenciones después de instalar el reconocimiento facial.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14:paraId="6205B326" w14:textId="77777777" w:rsidR="006E6BE4" w:rsidRDefault="006E6BE4" w:rsidP="00EB144C">
      <w:pPr>
        <w:pStyle w:val="Textoindependiente"/>
        <w:spacing w:line="360" w:lineRule="auto"/>
        <w:ind w:left="0" w:firstLine="382"/>
      </w:pPr>
      <w:r>
        <w:rPr>
          <w:i/>
        </w:rPr>
        <w:t xml:space="preserve">Interpretación de los autores. </w:t>
      </w:r>
      <w:r>
        <w:rPr/>
        <w:t>Con estos datos no se puede separar el efecto de la identificación del de otros factores. Aun así, es la medida cuyos resultados se ven más directamente. Lo que pasó con la carnetización sugiere que en Colombia los problemas han sido más de instituciones que de tecnología. Que también sean políticos es una hipótesis nuestra, no algo demostrado.</w:t>
      </w:r>
    </w:p>
    <w:p w14:paraId="6205B326" w14:textId="77777777" w:rsidR="006E6BE4" w:rsidRDefault="006E6BE4" w:rsidP="00EB144C">
      <w:pPr>
        <w:pStyle w:val="Textoindependiente"/>
        <w:spacing w:line="360" w:lineRule="auto"/>
        <w:ind w:left="0" w:firstLine="382"/>
      </w:pPr>
      <w:r>
        <w:rPr>
          <w:i/>
        </w:rPr>
        <w:t xml:space="preserve">Propuesta. </w:t>
      </w:r>
      <w:r>
        <w:rPr/>
        <w:t>Poner en marcha un sistema de identificación de asistentes que proteja los datos personales y sea proporcional, teniendo en cuenta las dudas que deja la decisión argentina de extender la restricción de entrada a los deudores de alimentos.</w:t>
      </w:r>
    </w:p>
    <w:p w14:paraId="0FB6AA53" w14:textId="77777777" w:rsidR="008F59D7" w:rsidRDefault="006E6BE4" w:rsidP="00EB144C">
      <w:pPr>
        <w:pStyle w:val="Textoindependiente"/>
        <w:spacing w:line="360" w:lineRule="auto"/>
        <w:ind w:left="0" w:firstLine="382"/>
        <w:jc w:val="left"/>
      </w:pPr>
      <w:r>
        <w:rPr>
          <w:b/>
        </w:rPr>
        <w:t xml:space="preserve">05. Sobre el régimen disciplinario. </w:t>
      </w:r>
      <w:r>
        <w:rPr>
          <w:i/>
        </w:rPr>
        <w:t xml:space="preserve">Lo demostrado. </w:t>
      </w:r>
      <w:r>
        <w:rPr/>
        <w:t>La Dimayor sanciona a los clubes caso por caso y en resoluciones separadas. En las que revisamos, las multas van de ocho a diez salarios mínimos por resolución (la Resolución 095 de 2024, por ejemplo, impuso diez) y también se ordenan cierres parciales o totales de tribuna (División Mayor del Fútbol Colombiano, 2024), pero no existe un consolidado oficial de esas sanciones ni un registro público de la reincidencia de cada club.</w:t>
      </w:r>
    </w:p>
    <w:p w14:paraId="0FB6AA53" w14:textId="77777777" w:rsidR="008F59D7" w:rsidRDefault="006E6BE4" w:rsidP="00EB144C">
      <w:pPr>
        <w:pStyle w:val="Textoindependiente"/>
        <w:spacing w:line="360" w:lineRule="auto"/>
        <w:ind w:left="0" w:firstLine="382"/>
        <w:jc w:val="left"/>
      </w:pPr>
      <w:r>
        <w:rPr>
          <w:i/>
        </w:rPr>
        <w:t xml:space="preserve">Interpretación de los autores. </w:t>
      </w:r>
      <w:r>
        <w:rPr/>
        <w:t>Con esa información no podemos afirmar si el régimen disuade o no, porque la repetición de conductas sancionadas no prueba por sí sola que la sanción sea inútil. Lo que sí advertimos es que cada multa parece pequeña frente al tamaño del problema, lo cual justifica revisar su diseño, aunque el trabajo no permite concluir que el régimen esté mal calibrado.</w:t>
      </w:r>
    </w:p>
    <w:p w14:paraId="0FB6AA53" w14:textId="77777777" w:rsidR="008F59D7" w:rsidRDefault="006E6BE4" w:rsidP="00EB144C">
      <w:pPr>
        <w:pStyle w:val="Textoindependiente"/>
        <w:spacing w:line="360" w:lineRule="auto"/>
        <w:ind w:left="0" w:firstLine="382"/>
        <w:jc w:val="left"/>
      </w:pPr>
      <w:r>
        <w:rPr>
          <w:i/>
        </w:rPr>
        <w:t xml:space="preserve">Propuesta. </w:t>
      </w:r>
      <w:r>
        <w:rPr/>
        <w:t>Para que esa evaluación sea posible, la Dimayor y la Federación Colombiana de Fútbol deberían publicar datos consolidados de sanciones y reincidencia.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left"/>
      </w:pPr>
      <w:r>
        <w:rPr>
          <w:b/>
        </w:rPr>
        <w:t xml:space="preserve">06. Sobre la transformación cultural. </w:t>
      </w:r>
      <w:r>
        <w:rPr>
          <w:i/>
        </w:rPr>
        <w:t xml:space="preserve">Lo demostrado. </w:t>
      </w:r>
      <w:r>
        <w:rPr/>
        <w:t>En Inglaterra la violencia bajó cuando coincidieron varias cosas. Los estadios se transformaron después del Informe Taylor (1990). Entró a operar el régimen de prohibiciones de ingreso de la Football Spectators Act (Reino Unido, 1989). Y, según Dunning (1999), cambió la cultura de las gradas. Las cifras del Home Office (2025) muestran además que las detenciones ligadas al fútbol cayeron en la última década.</w:t>
      </w:r>
    </w:p>
    <w:p w14:paraId="0F7D48E6" w14:textId="394FEAE9" w:rsidR="00FF0028" w:rsidRDefault="00000000" w:rsidP="00EB144C">
      <w:pPr>
        <w:pStyle w:val="Textoindependiente"/>
        <w:spacing w:line="360" w:lineRule="auto"/>
        <w:ind w:left="0" w:firstLine="382"/>
        <w:jc w:val="left"/>
      </w:pPr>
      <w:r>
        <w:rPr>
          <w:i/>
        </w:rPr>
        <w:t xml:space="preserve">Interpretación de los autores. </w:t>
      </w:r>
      <w:r>
        <w:rPr/>
        <w:t>Estamos de acuerdo con Dunning en que el cambio cultural pesó tanto como las normas y la tecnología. Cuánto pesó cada cosa, eso sí, no se puede medir con las fuentes que revisamos.</w:t>
      </w:r>
    </w:p>
    <w:p w14:paraId="0F7D48E6" w14:textId="394FEAE9" w:rsidR="00FF0028" w:rsidRDefault="00000000" w:rsidP="00EB144C">
      <w:pPr>
        <w:pStyle w:val="Textoindependiente"/>
        <w:spacing w:line="360" w:lineRule="auto"/>
        <w:ind w:left="0" w:firstLine="382"/>
        <w:jc w:val="left"/>
      </w:pPr>
      <w:r>
        <w:rPr>
          <w:i/>
        </w:rPr>
        <w:t xml:space="preserve">Propuesta. </w:t>
      </w:r>
      <w:r>
        <w:rPr/>
        <w:t>Las medidas de control deben ir de la mano de programas serios de educación y convivencia. Hay que hablar directamente con las barras, en sus propios términos, dentro del espacio de participación que abrió la Sentencia C-065 de 2021 y con los filtros que sugiere el caso 2. Y hace falta que jugadores, técnicos y directivos den la cara. En Colombia el fútbol mueve una cultura enorme. La violencia que lo rodea es, en buena parte, lo que pagamos por no cuidar esa cultura con el mismo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t>Congreso de Colombia. (2016). Ley 1801 de 2016, por la cual se expide el Código Nacional de Seguridad y Convivencia Ciudadana. Diario Oficial No. 49.949.</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