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both"/>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both"/>
      </w:pPr>
      <w:r>
        <w:rPr/>
        <w:t>En Colombia, la violencia ligada al fútbol profesional cuesta vidas, lesiona la integridad de muchas personas y compromete a clubes y autoridades; es un problema jurídico, pero también social y económico. En este artículo estudiamos la violencia física entre hinchas, en especial los homicidios y las lesiones personales, sus causas estructurales, la responsabilidad civil, penal, administrativa y disciplinaria deportiva de cada actor y qué tan eficaz ha sido el marco normativo. El estudio es cualitativo, de alcance descriptivo y analítico, y se apoya en revisión documental, análisis de tres casos, jurisprudencia y una comparación con Inglaterra, Argentina y Uruguay. El ordenamiento cuenta con normas suficientes, desde la Ley 1270 de 2009 y la Ley 1445 de 2011 hasta el Código Penal, pero la persecución tropieza con la identificación de los agresores, lo que explica en buena parte la distancia entre muertes y condenas. En lo civil, el organizador responde por contrato a quien compró la boleta y por fuera del contrato a los terceros, y para ambos casos proponemos criterios que permitan decidir cuándo la agresión de otro hincha lo exonera. Con la información pública disponible no fue posible verificar si las sanciones de la Dimayor disuaden. Concluimos que hay que identificar a los infractores, coordinar a las autoridades con los clubes y acompañar las sanciones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both"/>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both"/>
        <w:rPr>
          <w:lang w:val="en-US"/>
        </w:rPr>
      </w:pPr>
      <w:r>
        <w:rPr>
          <w:lang w:val="en-US"/>
        </w:rPr>
        <w:t>In Colombia, violence linked to professional football costs lives, harms the physical integrity of many people and involves clubs and public authorities, which makes it a social and economic problem as well as a legal one. In this article we study physical violence between fans, especially homicides and personal injuries, its structural causes, the civil, criminal, administrative and sports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This gap helps to explain the distance between the number of deaths and the number of convictions. In civil matters we distinguish the organizer's contractual liability towards ticket holders from its non-contractual liability towards third parties, and we propose criteria to establish when an attack by another fan releases the organizer, while the publicly available information does not allow us to verify whether the sports disciplinary regime has a deterrent effect. We conclude that offenders need to be identified, that authorities and clubs need to coordinate, and that sanctions should be accompanied by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both"/>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both"/>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both"/>
      </w:pPr>
      <w:r>
        <w:rP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porque no hay un registro oficial consolidado, y el Instituto Nacional de Medicina Legal y Ciencias Forenses (Medicina Legal) tampoco clasifica los homicidios según si la víctima pertenecía o no a una barra, de modo que las cifras deben reconstruirse a partir de la prensa y de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14:paraId="155BB68E" w14:textId="77777777" w:rsidR="00EF4F7A" w:rsidRDefault="00EF4F7A" w:rsidP="00EB144C">
      <w:pPr>
        <w:pStyle w:val="Textoindependiente"/>
        <w:spacing w:line="360" w:lineRule="auto"/>
        <w:ind w:left="0" w:firstLine="707"/>
        <w:jc w:val="both"/>
      </w:pPr>
      <w:r>
        <w:rPr/>
        <w:t>Esta situación no ha sido exclusiva de Colombia, sino que se presenta tanto en países 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Eso no significa que toda barra ni todo barrista participen de esa violencia, distinción que desarrollamos en los resultados.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both"/>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both"/>
      </w:pPr>
      <w:r>
        <w:rPr/>
        <w:t>Por ser estructural, el fenómeno pide ser mirado desde tres planos, que separamos solo para exponerlos con orden, porque en la práctica van juntos. En el jurídico se identifican las responsabilidades civiles, penales, administrativas y disciplinarias deportivas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A esos tres planos sumamos el derecho comparado, con el que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both"/>
      </w:pPr>
      <w:r>
        <w:rPr/>
        <w:t>Nuestra hipótesis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Sostenemos que ninguna política exclusivamente punitiva va a bajar de manera sostenible esta violencia, que en Colombia no se queda en los estadios y aparece también en sus alrededores, en el transporte público y en los trayectos de regreso, como lo muestra uno de los casos que examinamos más adelante. Creemos que el castigo tiene que ir junto con programas de inclusión y reinserción para los jóvenes de las barras, con identificación tecnológica de los asistentes y con compromisos de clubes y entidades reguladoras que se puedan verificar. Esa hipótesis la contrastamos con la evidencia académica, con las fuentes oficiales disponibles y con la experiencia comparada.</w:t>
      </w:r>
    </w:p>
    <w:p w14:paraId="54158CE6" w14:textId="77777777" w:rsidR="00EF4F7A" w:rsidRDefault="00EF4F7A" w:rsidP="00EB144C">
      <w:pPr>
        <w:pStyle w:val="Textoindependiente"/>
        <w:spacing w:line="360" w:lineRule="auto"/>
        <w:ind w:left="0" w:firstLine="707"/>
        <w:jc w:val="both"/>
      </w:pPr>
      <w:r>
        <w:rPr/>
        <w:t>Precisamos desde ahora qué violencia estudiamos, porque la expresión cubre fenómenos distintos. El foco del trabajo es la violencia física entre hinchas asociada al fútbol profesional colombiano, es decir, los homicidios y las lesiones personales que ocurren antes, durante y después de los partidos, dentro de los estadios y, sobre todo, en sus alrededores, en el transporte público y en los trayectos de regreso, donde se produjeron los 149 homicidios de hinchas que El País de Cali registró entre 2008 y 2020 (Caracol Radio, 2020). El narcotráfico no es para nosotros un foco autónomo, sino un factor que agrava esa violencia cuando se infiltra en una barra, y lo hace dentro del país: en Cali, las disputas por el control del negocio dentro del Barón Rojo Sur dejaron cerca de una veintena de homicidios (Caracol Radio, 2020). Solo en el caso de la red entre la barra del Atlético Nacional y la del club Laferrere la actividad ilícita salió de Colombia, y lo usamos para mostrar los límites de las herramientas nacionales. Las multas, los cierres de tribunas, los daños a la infraestructura y las pérdidas económicas los tratamos como consecuencias de esa violencia y no como el objeto central del estudio.</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both"/>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both"/>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both"/>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both"/>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both"/>
      </w:pPr>
      <w:r>
        <w:rP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Entre esos estudios, el de Castaño Pérez et al. (2014) tiene un peso especial para nosotros, porque se hizo en Colombia con una muestra amplia de 570 integrantes de las barras bravas del Atlético Nacional y del Deportivo Independiente Medellín (p. 82) y porque combina la medición psicológica con la lectura de los procesos sociales, lo que permite observar a la vez los factores individuales y los estructurales.</w:t>
      </w:r>
    </w:p>
    <w:p w14:paraId="3CC3117A" w14:textId="77777777" w:rsidR="00DD271F" w:rsidRDefault="00DD271F" w:rsidP="00EB144C">
      <w:pPr>
        <w:pStyle w:val="Textoindependiente"/>
        <w:spacing w:line="360" w:lineRule="auto"/>
        <w:ind w:left="0" w:firstLine="707"/>
        <w:jc w:val="both"/>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jc w:val="both"/>
      </w:pPr>
      <w:r>
        <w:rP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uno anotamos quiénes intervinieron, cuándo ocurrieron los hechos, cómo se desarrollaron y en qué estado se encuentra el proceso según lo publicado. El homicidio de Andrés Carvajal ocurrió en Cali en febrero de 2020; la red que operaba dentro del Barón Rojo Sur dejó cerca de una veintena de homicidios, y la red entre la barra del Atlético Nacional y la del club Laferrere llevó en 2018 a la detención de unos quince hinchas, hechos reportados por Caracol Radio (2020). Escogimos estos tres porque se pueden verificar en fuentes públicas y porque cada uno obliga a mirar un régimen de responsabilidad distinto: el penal individual en el primero, la persecución del crimen organizado en el segundo y la cooperación internacional en el tercero.</w:t>
      </w:r>
    </w:p>
    <w:p w14:paraId="51F91E50" w14:textId="77777777" w:rsidR="005E4666" w:rsidRDefault="005E4666" w:rsidP="00EB144C">
      <w:pPr>
        <w:pStyle w:val="Textoindependiente"/>
        <w:spacing w:line="360" w:lineRule="auto"/>
        <w:ind w:left="0" w:firstLine="707"/>
        <w:jc w:val="both"/>
      </w:pPr>
      <w:r>
        <w:rPr/>
        <w:t>Somos conscientes de que tres casos no alcanzan para describir al barrismo colombiano, y por eso no sacamos de ellos conclusiones estadísticas; nos sirven para poner a prueba el análisis jurídico frente a hechos reales y documentados. Con cada uno hicimos el mismo ejercicio, que fue preguntarnos qué régimen de responsabilidad se activa, contra quién se dirige y qué impide que funcione. Para contestar acudimos a sentencias de la Corte Constitucional, como la C-065 de 2021, y de las Salas de Casación Penal y Civil de la Corte Suprema de Justicia, como la SC2905-2021, y repasamos lo que le corresponde a cada actor: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both"/>
      </w:pPr>
      <w:r>
        <w:rPr/>
        <w:t>Los casos también muestran cómo funciona la respuesta del Estado, pues en ellos se ve qué obstáculos dejan los hechos sin castigo, en qué lugares y momentos pasan los más graves y cuánta distancia hay entre la sanción disciplinaria del fútbol y la pena. Debemos advertir, además, que los datos de la Fiscalía General de la Nación y de la Policía Nacional son difíciles de conseguir y están ordenados con lógica penal, por lo que casi nunca permiten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both"/>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both"/>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both"/>
      </w:pPr>
      <w:r>
        <w:rPr/>
        <w:t>Presentamos los resultados en cuatro partes: primero el perfil de la violencia en el fútbol colombiano, luego la responsabilidad jurídica de cada actor, después el impacto económico y al final la comparación con otros países. La división sirve solo para ordenar la lectura, porque en la realidad estos aspectos están conectados: las causas sociales producen violencia, la violencia genera pérdidas que les quitan a los clubes margen para invertir en seguridad, y la respuesta jurídica termina marcando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both"/>
      </w:pPr>
      <w:r>
        <w:rPr/>
        <w:t>El primer rasgo del fenómeno es su magnitud, pues a pesar de las sanciones disciplinarias de la Dimayor y de los dispositivos de la Policía Nacional, las cifras disponibles no permiten afirmar que la violencia asociada al fútbol haya disminuido. El relevamiento de El País de Cali (2020), 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both"/>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both"/>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both"/>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both"/>
      </w:pPr>
      <w:r>
        <w:rPr/>
        <w:t>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nuestro juicio,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5D07D781" w14:textId="77777777" w:rsidR="00C321A0" w:rsidRDefault="00C321A0" w:rsidP="00EB144C">
      <w:pPr>
        <w:pStyle w:val="Textoindependiente"/>
        <w:spacing w:line="360" w:lineRule="auto"/>
        <w:ind w:left="0" w:firstLine="360"/>
        <w:jc w:val="both"/>
      </w:pPr>
      <w:r>
        <w:rPr/>
        <w:t>Para entender esa violencia hay que precisar qué papel cumplen las barras, porque no son un actor homogéneo. Tienen funciones positivas que el propio ordenamiento reconoce: dan identidad y pertenencia a jóvenes que no las encuentran en otros espacios, como observó Clavijo (2004) en Bogotá, y adelantan procesos culturales, comunitarios y de convivencia que el Plan Decenal de Seguridad, Comodidad y Convivencia en el Fútbol 2014-2024 agrupa bajo el nombre de barrismo social (Ministerio del Interior, 2014). Por eso la Corte Constitucional, en la Sentencia C-065 de 2021, aceptó que sus delegados participen con voz en las comisiones de seguridad. Su injerencia en la violencia viene de otros rasgos que conviven con los anteriores: las jerarquías internas y los códigos de “honor” que convierten la rivalidad en enfrentamiento (Clavijo, 2004), las disputas por territorios y trayectos que explican que los homicidios ocurran fuera de los estadios, el consumo de sustancias que Castaño Pérez et al. (2014) asociaron con la agresividad física y, en algunos casos, la captura de la barra por economías ilegales, como ocurrió en el Barón Rojo Sur. Nuestra posición es que la barra como colectivo no es la causa de la violencia, sino el espacio en el que actúan sus sectores violentos, y que por eso la respuesta debe separar la sanción individual al integrante violento de la intervención social sobre la barra, distinción que retomamos en la lectura de los casos y en la discusión.</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both"/>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both"/>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both"/>
      </w:pPr>
      <w:r>
        <w:rPr>
          <w:b/>
        </w:rPr>
        <w:t xml:space="preserve">Lectura jurídica del caso 1. </w:t>
      </w:r>
      <w:r>
        <w:rP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La sola pertenencia a la barra agresora no permite atribuirle a alguien la muerte, y en ese punto se detiene el caso, porque sin registros de ingreso ni videovigilancia útil la investigación depende de testigos que temen declarar.</w:t>
      </w:r>
    </w:p>
    <w:p w14:paraId="270BE7EB" w14:textId="77777777" w:rsidR="0084558A" w:rsidRDefault="00000000" w:rsidP="00EB144C">
      <w:pPr>
        <w:pStyle w:val="Textoindependiente"/>
        <w:spacing w:line="360" w:lineRule="auto"/>
        <w:ind w:left="0" w:firstLine="707"/>
        <w:jc w:val="both"/>
      </w:pPr>
      <w:r>
        <w:rPr/>
        <w:t>En lo civil, el homicidio de Andrés Carvajal muestra un límite que retomamos en el apartado siguiente. Carvajal fue atacado fuera del estadio, así que no estaba ejecutando ningún contrato de ingreso al espectáculo y no se puede invocar a su favor el deber de seguridad contractual del organizador; cargarle al club un daño causado en la calle por personas que no controlaba también es difícil de sostener. Queda entonces el Estado, al que le corresponde de manera indelegable el orden público alrededor de los partidos (Consejo de Estado, Sala de Consulta y Servicio Civil, 2025). Una demanda por omisión con base en el artículo 90 de la Constitución Política tendría que probar que el riesgo era conocido y que el dispositivo policial desplegado para ese partido fue insuficiente. El régimen disciplinario de la Dimayor aporta poco en hechos como este, pues se dirige al club y no al agresor y se ocupa de lo que ocurre en el escenario con ocasión del partido.</w:t>
      </w:r>
    </w:p>
    <w:p w14:paraId="0ECCDB65" w14:textId="77777777" w:rsidR="008F59D7" w:rsidRDefault="005A53E5" w:rsidP="00EB144C">
      <w:pPr>
        <w:pStyle w:val="Textoindependiente"/>
        <w:spacing w:line="360" w:lineRule="auto"/>
        <w:ind w:left="0" w:firstLine="707"/>
        <w:jc w:val="both"/>
      </w:pPr>
      <w:r>
        <w:rPr>
          <w:b/>
        </w:rPr>
        <w:t>Caso</w:t>
      </w:r>
      <w:r>
        <w:rPr>
          <w:b/>
        </w:rPr>
        <w:t xml:space="preserve"> </w:t>
      </w:r>
      <w:r>
        <w:rPr>
          <w:b/>
        </w:rPr>
        <w:t>2.</w:t>
      </w:r>
      <w:r>
        <w:rPr>
          <w:b/>
        </w:rPr>
        <w:t xml:space="preserve"> </w:t>
      </w:r>
      <w:r>
        <w:rPr>
          <w:b/>
        </w:rPr>
        <w:t>La</w:t>
      </w:r>
      <w:r>
        <w:rPr>
          <w:b/>
        </w:rPr>
        <w:t xml:space="preserve"> </w:t>
      </w:r>
      <w:r>
        <w:rPr>
          <w:b/>
        </w:rPr>
        <w:t>infiltración</w:t>
      </w:r>
      <w:r>
        <w:rPr>
          <w:b/>
        </w:rPr>
        <w:t xml:space="preserve"> </w:t>
      </w:r>
      <w:r>
        <w:rPr>
          <w:b/>
        </w:rPr>
        <w:t>del</w:t>
      </w:r>
      <w:r>
        <w:rPr>
          <w:b/>
        </w:rPr>
        <w:t xml:space="preserve"> </w:t>
      </w:r>
      <w:r>
        <w:rPr>
          <w:b/>
        </w:rPr>
        <w:t>narcotráfico</w:t>
      </w:r>
      <w:r>
        <w:rPr>
          <w:b/>
        </w:rPr>
        <w:t xml:space="preserve"> </w:t>
      </w:r>
      <w:r>
        <w:rPr>
          <w:b/>
        </w:rPr>
        <w:t>en</w:t>
      </w:r>
      <w:r>
        <w:rPr>
          <w:b/>
        </w:rPr>
        <w:t xml:space="preserve"> </w:t>
      </w:r>
      <w:r>
        <w:rPr>
          <w:b/>
        </w:rPr>
        <w:t>el</w:t>
      </w:r>
      <w:r>
        <w:rPr>
          <w:b/>
        </w:rPr>
        <w:t xml:space="preserve"> </w:t>
      </w:r>
      <w:r>
        <w:rPr>
          <w:b/>
        </w:rPr>
        <w:t>Barón</w:t>
      </w:r>
      <w:r>
        <w:rPr>
          <w:b/>
        </w:rPr>
        <w:t xml:space="preserve"> </w:t>
      </w:r>
      <w:r>
        <w:rPr>
          <w:b/>
        </w:rPr>
        <w:t>Rojo</w:t>
      </w:r>
      <w:r>
        <w:rPr>
          <w:b/>
        </w:rPr>
        <w:t xml:space="preserve"> </w:t>
      </w:r>
      <w:r>
        <w:rPr>
          <w:b/>
        </w:rPr>
        <w:t>Sur</w:t>
      </w:r>
      <w:r>
        <w:rPr>
          <w:b/>
        </w:rPr>
        <w:t xml:space="preserve"> </w:t>
      </w:r>
      <w:r>
        <w:rPr>
          <w:b/>
        </w:rPr>
        <w:t xml:space="preserve">(Cali). </w:t>
      </w:r>
      <w:r>
        <w:rPr/>
        <w:t>Este caso lo conocimos por una investigación de la Fiscalía General de la Nación, que encontró dentro de la barra Barón Rojo Sur, del América de Cali, una red de tráfico de estupefacientes y lavado de activos que se movía camuflada entre los hinchas. Lo que más nos llamó la atención fue el saldo de las peleas internas por el control del negocio, que dejaron cerca de una veintena de homicidios en la propia ciudad (Caracol Radio, 2020). Aquí la barra deja de ser solo el lugar donde estalla una violencia expresiva y pasa a funcionar como vehículo de una economía ilegal, y con ese cambio el riesgo es otro: ya no bastan las medidas de convivencia, porque hace falta una investigación criminal de tipo estructural que vaya de la mano con la intervención social.</w:t>
      </w:r>
    </w:p>
    <w:p w14:paraId="64096DEF" w14:textId="77777777" w:rsidR="0084558A" w:rsidRDefault="00000000" w:rsidP="00EB144C">
      <w:pPr>
        <w:pStyle w:val="Textoindependiente"/>
        <w:spacing w:line="360" w:lineRule="auto"/>
        <w:ind w:left="0" w:firstLine="707"/>
        <w:jc w:val="both"/>
      </w:pPr>
      <w:r>
        <w:rPr>
          <w:b/>
        </w:rPr>
        <w:t xml:space="preserve">Lectura jurídica del caso 2. </w:t>
      </w:r>
      <w:r>
        <w:rPr/>
        <w:t>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Por eso responde cada integrante del Barón Rojo Sur por lo que hizo dentro de la red, y no la barra. El caso también obliga a leer con cuidado la Sentencia C-065 de 2021, que reconoció a las barras como interlocutoras en las comisiones de seguridad pensando en organizaciones sociales de aficionados y no en grupos que usan la barra de fachada para traficar; esas comisiones necesitan filtros para no darles legitimidad. A los clubes el caso les plantea sobre todo un problema disciplinario y de reputación, más que civil. Si le dan a la barra boletas u otros beneficios, ese apoyo podría acabar financiando la estructura ilegal. No tenemos pruebas de que eso haya pasado en este caso, y por eso lo dejamos solo como un riesgo.</w:t>
      </w:r>
    </w:p>
    <w:p w14:paraId="58CB4529" w14:textId="77777777" w:rsidR="008F59D7" w:rsidRDefault="005A53E5" w:rsidP="00EB144C">
      <w:pPr>
        <w:pStyle w:val="Textoindependiente"/>
        <w:spacing w:line="360" w:lineRule="auto"/>
        <w:ind w:left="0" w:firstLine="707"/>
        <w:jc w:val="both"/>
      </w:pPr>
      <w:r>
        <w:rPr>
          <w:b/>
        </w:rPr>
        <w:t xml:space="preserve">Caso 3. La red transnacional entre la barra del Atlético Nacional y la del club Laferrere (2018). </w:t>
      </w:r>
      <w:r>
        <w:rPr/>
        <w:t>En 2018 fueron detenidos unos quince integrantes de la barra del Atlético Nacional por participar en una red que enviaba droga a Argentina, donde la distribuía la barra del club Laferrere (Caracol Radio, 2020). Que dos hinchadas de países distintos se articularan para un negocio ilegal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both"/>
      </w:pPr>
      <w:r>
        <w:rPr>
          <w:b/>
        </w:rPr>
        <w:t xml:space="preserve">Lectura jurídica del caso 3. </w:t>
      </w:r>
      <w:r>
        <w:rPr/>
        <w:t>Incluimos este caso, aunque no gira en torno a una agresión entre hinchas, porque muestra que estructuras como la que en el caso 2 dejó homicidios en Cali pueden extender su negocio fuera del país. Su lectura muestra, además, hasta dónde llegan las herramientas nacionales, porque la responsabilidad vuelve a ser penal e individual, pero perseguirla depende de que colaboren jueces y policías de dos Estados, ya que la conducta empieza en Colombia y termina en Argentina. También nos interesa por lo que adelanta de la comparación: el programa argentino Tribuna Segura, que estudiamos más adelante, cruza la identidad de quien entra al estadio con las bases de personas con orden de captura, de modo que un integrante de una red como esta podría ser detectado en la puerta. En Colombia eso no ocurre, porque en los accesos nadie verifica quién entra, salvo en los pilotos que describimos luego. Del lado del club no vemos base para una responsabilidad civil o disciplinaria deportiva, pues el negocio ilegal no tiene relación con la organización del partido.</w:t>
      </w:r>
    </w:p>
    <w:p w14:paraId="09B7752B" w14:textId="77777777" w:rsidR="0084558A" w:rsidRDefault="00000000" w:rsidP="00EB144C">
      <w:pPr>
        <w:pStyle w:val="Textoindependiente"/>
        <w:spacing w:line="360" w:lineRule="auto"/>
        <w:ind w:left="0" w:firstLine="707"/>
        <w:jc w:val="both"/>
      </w:pPr>
      <w:r>
        <w:rP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el caso del Barón Rojo Sur, con cerca de una veintena de homicidios ligados al control del negocio, muestra que cuando la barra sirve de vehículo a economías ilegales las herramientas de convivencia y las sanciones disciplinarias deportivas no alcanzan, y la respuesta tiene que venir de la investigación criminal. De los tres casos solo contamos el estado procesal que documenta la fuente, sin dar por hechas condenas que no consten en registros verificables, y no los presentamos como retrato del barrismo: los escogimos por su utilidad para el análisis jurídico, y de ellos no se sigue que todos los integrantes de las barras cometan delitos.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both"/>
      </w:pPr>
      <w:r>
        <w:rPr/>
        <w:t>En el papel, el marco normativo colombiano es amplio, aunque falla en su ejecución. Todo arranca en la Constitución Política, que protege la vida, la integridad, la seguridad, la libre asociación y el derecho al deporte. Con la Ley 1270 de 2009 el legislador quiso darle al tema una institucionalidad propia y creó la Comisión Nacional para la Seguridad, Comodidad y Convivencia en el Fútbol, junto con las comisiones locales; dos años después, la Ley 1445 de 2011, modificada por la Ley 1453 de ese mismo año, introdujo medidas contra la agresión, el daño a la infraestructura y las conductas que afectan la convivencia. A eso se suma el Código Penal, cuyos tipos permiten perseguir el homicidio, las lesiones personales, el daño en bien ajeno, las amenazas y el lanzamiento o ingreso de objetos peligrosos en escenarios deportivos (Congreso de Colombia, 2000, 2009, 2011a, 2011b).</w:t>
      </w:r>
    </w:p>
    <w:p w14:paraId="2550C5DE" w14:textId="77777777" w:rsidR="008F59D7" w:rsidRDefault="005A53E5" w:rsidP="00EB144C">
      <w:pPr>
        <w:pStyle w:val="Textoindependiente"/>
        <w:spacing w:line="360" w:lineRule="auto"/>
        <w:ind w:left="0" w:firstLine="707"/>
        <w:jc w:val="both"/>
      </w:pPr>
      <w:r>
        <w:rPr/>
        <w:t>Antes de analizar a cada actor conviene ordenar los regímenes de responsabilidad que aparecen a lo largo del trabajo, porque cumplen funciones distintas y no deben confundirse. El derecho penal castiga las conductas más graves, como el homicidio, las lesiones personales, el daño en bien ajeno, las amenazas o el lanzamiento de objetos peligrosos en escenarios deportivos, y solo se aplica a personas naturales, mediante un proceso que adelantan la Fiscalía General de la Nación y los jueces penales (Congreso de Colombia, 2000). En el derecho administrativo sancionador, al que también nos referimos como sancionatorio, están las sanciones que imponen las autoridades sin que haya delito. En el fútbol tiene dos expresiones: la contravencional o de policía, que aplica el Código Nacional de Seguridad y Convivencia Ciudadana, y la especial que la Ley 1445 de 2011 creó para el espectáculo deportivo, cuyo contenido detallamos más adelante (Congreso de Colombia, 2011a, 2016).</w:t>
      </w:r>
    </w:p>
    <w:p w14:paraId="2550C5DE" w14:textId="77777777" w:rsidR="008F59D7" w:rsidRDefault="005A53E5" w:rsidP="00EB144C">
      <w:pPr>
        <w:pStyle w:val="Textoindependiente"/>
        <w:spacing w:line="360" w:lineRule="auto"/>
        <w:ind w:left="0" w:firstLine="707"/>
        <w:jc w:val="both"/>
      </w:pPr>
      <w:r>
        <w:rPr/>
        <w:t>Lo que en el fútbol se conoce como régimen disciplinario es algo distinto. Se trata del poder sancionador que la Federación Colombiana de Fútbol y la Dimayor ejercen, como entidades privadas, sobre sus afiliados, es decir, sobre clubes, jugadores y dirigentes, conforme al Código Disciplinario Único (Federación Colombiana de Fútbol, 2026). Por eso hablamos de régimen disciplinario deportivo y no de derecho disciplinario, expresión que en Colombia designa el régimen de los servidores públicos, recogido hoy en la Ley 1952 de 2019, Código General Disciplinario (Congreso de Colombia, 2019). La diferencia se ve en la Resolución 095 de 2024: la Dimayor multó al Junior por la conducta impropia de sus espectadores, pero la multa no recayó sobre ninguno de los hinchas que la provocaron, porque ellos no están afiliados a la Federación y el régimen deportivo solo los alcanza a través del club. Sobre el hincha recaen, en cambio, el derecho penal y el administrativo sancionador, y por eso en los casos que estudiamos una multa al club puede convivir con la impunidad del agresor.</w:t>
      </w:r>
    </w:p>
    <w:p w14:paraId="26C3AB85" w14:textId="77777777" w:rsidR="008F59D7" w:rsidRDefault="005E4666" w:rsidP="00EB144C">
      <w:pPr>
        <w:pStyle w:val="Textoindependiente"/>
        <w:spacing w:line="360" w:lineRule="auto"/>
        <w:ind w:left="0" w:firstLine="707"/>
        <w:jc w:val="both"/>
      </w:pPr>
      <w:r>
        <w:rPr/>
        <w:t>Los hinchas y los integrantes de las barras pueden responder, entonces, por tres vías: la penal y las dos del derecho administrativo sancionador. La penal aparece cuando la conducta daña bienes jurídicos como la vida, la integridad, la seguridad pública o la propiedad. La contravencional se ocupa de lo que afecta la convivencia sin llegar a delito. En ese caso las autoridades de policía imponen las medidas correctivas del Código Nacional de Seguridad y Convivencia Ciudadana, como multas y actividades pedagógicas (Congreso de Colombia, 2016). La tercera es la administrativa especial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Estas sanciones no requieren que haya delito y funcionan como una restricción personal de entrada al estadio, que solo sirve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en los que lo difícil no es saber qué delito se cometió, sino probar quién lo cometió. Sobre otra providencia conviene hacer una aclaración, para no atribuirle más de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both"/>
      </w:pPr>
      <w:r>
        <w:rPr/>
        <w:t>Las cifras exigen cautela, porque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y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frecuente, que es sumar a la cifra penal incidentes que solo dieron lugar a sanciones deportivas o de policía y que carecen de respaldo probatorio.</w:t>
      </w:r>
    </w:p>
    <w:p w14:paraId="48B7B2D0" w14:textId="77777777" w:rsidR="00807E98" w:rsidRPr="00807E98" w:rsidRDefault="00807E98" w:rsidP="00EB144C">
      <w:pPr>
        <w:pStyle w:val="Textoindependiente"/>
        <w:spacing w:line="360" w:lineRule="auto"/>
        <w:ind w:left="0" w:firstLine="720"/>
        <w:jc w:val="both"/>
      </w:pPr>
      <w:r>
        <w:rPr/>
        <w:t>Clubes y organizadores del espectáculo tienen deberes civiles, disciplinarios deportivos y administrativos. Nos detenemos en los civiles, porque son la puerta que el ordenamiento deja abierta a las víctimas, y para analizarlos hay que empezar por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both"/>
      </w:pPr>
      <w:r>
        <w:rPr>
          <w:b/>
        </w:rPr>
        <w:t xml:space="preserve">El asistente con boleta: responsabilidad contractual. </w:t>
      </w:r>
      <w:r>
        <w:rPr/>
        <w:t>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El Decreto 1007 de 2012, que expidió el Estatuto del Aficionado al Fútbol, va en la misma línea (Presidencia de la República de Colombia, 2012). Si un asistente resulta herido en la tribuna por un objeto que pasó la requisa, por ejemplo, le basta la boleta para probar el contrato; lo que debe demostrar es que el daño ocurrió mientras se ejecutaba ese contrato, al entrar, al estar o al salir del estadio, que obedeció a una falla en la seguridad que el organizador tenía que garantizar y que hay un nexo causal entre esa falla y el daño.</w:t>
      </w:r>
    </w:p>
    <w:p w14:paraId="08854832" w14:textId="77777777" w:rsidR="0084558A" w:rsidRDefault="00000000" w:rsidP="00EB144C">
      <w:pPr>
        <w:pStyle w:val="Textoindependiente"/>
        <w:spacing w:line="360" w:lineRule="auto"/>
        <w:ind w:left="0" w:firstLine="720"/>
        <w:jc w:val="both"/>
      </w:pPr>
      <w:r>
        <w:rP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both"/>
      </w:pPr>
      <w:r>
        <w:rPr>
          <w:b/>
        </w:rPr>
        <w:t xml:space="preserve">El tercero sin vínculo contractual: responsabilidad extracontractual. </w:t>
      </w:r>
      <w:r>
        <w:rPr/>
        <w:t>Distinta es la situación del vecino al que se le daña la casa, del peatón al que le cae un objeto lanzado desde la tribuna o de quien, sin boleta, sufre un daño dentro del perímetro que controla el organizador. Como el club no tiene contrato con ellos,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both"/>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both"/>
      </w:pPr>
      <w:r>
        <w:rPr/>
        <w:t>La línea viene de atrás: en la sentencia del 8 de septiembre de 2011, expediente 73449-3103-001-2006-00049-01, la Sala decidió el caso de una persona que murió al tocar una red de energía eléctrica. Nos importa un detalle de ese caso: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both"/>
      </w:pPr>
      <w:r>
        <w:rP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pues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both"/>
      </w:pPr>
      <w:r>
        <w:rP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Llevada al fútbol profesional, esa regla protege a los terceros que no tienen contrato con el club, como el vecino al que se le daña la casa o el peatón al que le cae un objeto lanzado desde la tribuna. El asistente que compró boleta, en cambio, reclama por el contrato, y en ese terreno la prueba de la diligencia sí conserva el papel que el artículo 2356 le quita. Lo que une a los dos regímenes es una pregunta que en los estadios se plantea con frecuencia, porque el daño más frecuente lo causa otro hincha: cuándo esa agresión rompe el nexo entre el daño y la organización del partido.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both"/>
      </w:pPr>
      <w:r>
        <w:rPr>
          <w:b/>
        </w:rPr>
        <w:t xml:space="preserve">La conducta de terceros y la causa extraña. </w:t>
      </w:r>
      <w:r>
        <w:rPr/>
        <w:t>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porque la violencia entre hinchas es uno de los riesgos más conocidos del evento y el organizador sabe que existe y tiene medios para enfrentarla; todo depende de lo que pasó en concreto, y para ordenarlo proponemos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both"/>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both"/>
      </w:pPr>
      <w:r>
        <w:rP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Otra cosa ocurre cuando el organizador logra probar que clasificó el partido según su riesgo y lo atendió en consecuencia, que cumplió los protocolos de ingreso y vigilancia y que la agresión fue súbita, individual y hecha con un medio imposible de detectar. Ahí el hecho del tercero sí puede funcionar como causa extraña, y si el reclamo es contractual, esa misma prueba puede bastar para mostrar la diligencia exigible aunque no alcance para la causa extraña.</w:t>
      </w:r>
    </w:p>
    <w:p w14:paraId="71C72833" w14:textId="77777777" w:rsidR="0084558A" w:rsidRDefault="00000000" w:rsidP="00EB144C">
      <w:pPr>
        <w:pStyle w:val="Textoindependiente"/>
        <w:spacing w:line="360" w:lineRule="auto"/>
        <w:ind w:left="0" w:firstLine="720"/>
        <w:jc w:val="both"/>
      </w:pPr>
      <w:r>
        <w:rPr/>
        <w:t>Entre esos dos extremos hay casos mixtos, en los que el tercero agrede, pero el organizador también falló, por ejemplo con una requisa mal hecha. La víctima puede demandar a los dos, y por la vía extracontractual el artículo 2344 del Código Civil los hace solidarios por el mismo daño; si ella misma se expuso imprudentemente, el artículo 2357 permite reducir la indemnización. El homicidio de Andrés Carvajal queda por fuera de todos estos supuestos, porque ocurrió en la vía pública, lejos del perímetro que controla el organizador y sin contrato de por medio, y ahí lo que hay que examinar es si la Policía Nacional cumplió su deber de garantizar el orden público alrededor del partido.</w:t>
      </w:r>
    </w:p>
    <w:p w14:paraId="005E1CC6" w14:textId="77777777" w:rsidR="008F59D7" w:rsidRDefault="00EC1C99" w:rsidP="00EB144C">
      <w:pPr>
        <w:pStyle w:val="Textoindependiente"/>
        <w:spacing w:line="360" w:lineRule="auto"/>
        <w:ind w:left="0" w:firstLine="382"/>
        <w:jc w:val="both"/>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both"/>
      </w:pPr>
      <w:r>
        <w:rPr/>
        <w:t>El Estado, las alcaldías, la Policía Nacional y las comisiones de seguridad responden en el plano constitucional y administrativo, porque les corresponde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both"/>
      </w:pPr>
      <w:r>
        <w:rPr/>
        <w:t>La Dimayor y la Federación Colombiana de Fútbol también tienen deberes jurídicos, que les vienen de su condición de reguladores privados del fútbol profesional. Sus decisiones disciplinarias sobre clubes, jugadores o asistentes tienen que respetar el debido proceso, estar motivadas, ser proporcionales y razonables y admitir doble instancia. En la Sentencia SU-386 de 2023, que se ocupó del deber de inspección y vigilancia del Ministerio del Deporte y del acceso a la justicia de los futbolistas, la Corte Constitucional dejó una regla que nos sirve: la autonomía deportiva y asociativa no impide el control constitucional cuando una organización privada del fútbol toma decisiones que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 y administrativa sancionadora (contravencional y especial de la Ley 1445 de 2011)</w:t>
            </w:r>
            <w:r>
              <w:rPr>
                <w:spacing w:val="40"/>
                <w:sz w:val="18"/>
              </w:rPr>
            </w:r>
            <w:r>
              <w:rPr>
                <w:sz w:val="18"/>
              </w:rPr>
            </w:r>
            <w:r>
              <w:rPr>
                <w:spacing w:val="40"/>
                <w:sz w:val="18"/>
              </w:rPr>
            </w:r>
            <w:r>
              <w:rPr>
                <w:sz w:val="18"/>
              </w:rPr>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deportiva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deportiva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both"/>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both"/>
        <w:rPr>
          <w:spacing w:val="-2"/>
        </w:rPr>
      </w:pPr>
      <w:r>
        <w:rPr/>
        <w:t>Las pérdidas económicas golpean toda la cadena de valor del espectáculo, y van más allá de las multas. El primer efecto lo producen las sanciones del Comité Disciplinario de la Dimayor, que se imponen resolución por resolución cuando hay fallas de seguridad en las gradas o conducta impropia de los espectadores. En las resoluciones que revisamos, las multas van de ocho a diez salarios mínimos legales mensuales vigentes y pueden llegar al cierre parcial o total de las tribunas. Un ejemplo es la Resolución 095 de 2024, con la que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both"/>
        <w:rPr>
          <w:spacing w:val="-2"/>
        </w:rPr>
      </w:pPr>
      <w:r>
        <w:rPr/>
        <w:t>El segundo efecto es más difícil de medir y probablemente más costoso: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alcanza a patrocinadores y derechos de televisión, de los que depende buena parte de las finanzas de los clubes. Un patrocinador puede tener en su contrato cláusulas de protección de imagen que le permiten reducir o cancelar el aporte si el club es sancionado o si sale en las noticias por hechos violentos. Y un operador de televisión puede usar la imagen de inseguridad del torneo para negociar a la baja, porque un fútbol violento vale menos en el mercado audiovisual que uno que la familia puede ver tranquila.</w:t>
      </w:r>
    </w:p>
    <w:p w14:paraId="321A6EAA" w14:textId="6E93EE59" w:rsidR="00347D59" w:rsidRPr="00FF0028" w:rsidRDefault="00E94736" w:rsidP="00EB144C">
      <w:pPr>
        <w:pStyle w:val="Textoindependiente"/>
        <w:spacing w:line="360" w:lineRule="auto"/>
        <w:ind w:left="0" w:firstLine="707"/>
        <w:jc w:val="both"/>
        <w:rPr>
          <w:spacing w:val="-2"/>
        </w:rPr>
      </w:pPr>
      <w:r>
        <w:rPr/>
        <w:t>El último efecto lo sufre la economía de las ciudades sede. Comerciantes, restaurantes, transportadores y proveedores que viven de los partidos pierden ingresos cada vez que la violencia vacía las tribunas o mueve el horario de un encuentro, y esa pérdida no aparece en el balance de ningún club. En este trabajo no la medimos; creemos, sin embargo, que el daño a la economía local puede ser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both"/>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both"/>
      </w:pPr>
      <w:r>
        <w:rPr/>
        <w:t>En Inglaterra, el punto de quiebre fue Hillsborough: el 15 de abril de 1989, en la semifinal de la FA Cup entre el Liverpool y el Nottingham Forest, murieron 97 personas. El Gobierno encargó entonces un informe independiente, el Informe Taylor (1990), que atribuyó la tragedia sobre todo a una falla en el control policial y recomendó reconvertir los estadios de primera y segunda división, cambiando las zonas de pie por asientos individuales. Hacia mediados de los noventa la reforma estaba terminada y ya no quedaban vallados perimetrales; sobre esa base empezaron a aplicarse las football banning orders de la Football Spectators Act de 1989, que le cierran el estadio a quien esté vinculado con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both"/>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both"/>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both"/>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both"/>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both"/>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both"/>
      </w:pPr>
      <w:r>
        <w:rP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nuestro juicio,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jc w:val="both"/>
      </w:pPr>
      <w:r>
        <w:rPr/>
        <w:t>La jurisprudencia apunta en la misma dirección: según la Sentencia C-065 de 2021, las barras no pueden quedar por fuera del diálogo entre entidades, aunque tampoco pueden ocupar el lugar de las autoridades. En lo penal, la Sala de Casación Penal exige prueba concreta del hecho y un autor identificado, y no admite que el incidente colectivo reemplace la conducta individual (Corte Suprema de Justicia, Sala de Casación Penal, 2022); es el mismo requisito con el que tropieza la investigación del homicidio de Andrés Carvajal. En lo civil, el asistente con boleta y el tercero tienen caminos distintos, el del contrato y el de la actividad peligrosa, pero en los dos la agresión de otro hincha solo exonera al organizador si, revisadas las circunstancias de la Tabla 1, fue imprevisible, irresistible y ajena a su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both"/>
      </w:pPr>
      <w:r>
        <w:rPr/>
        <w:t>La experiencia de los otros países permite concretar el diagnóstico. En nuestra opinión, lo decisivo en los tres fue poner a todos los actores bajo una misma dirección institucional, más que la tecnología o una ley aislada. En Inglaterra, Hillsborough obligó a coordinar a actores que antes actuaban por separado, y Dunning (1999) sostiene que el cambio cultural en las gradas, que volvió la violencia algo mal visto socialmente, pesó tanto como la reforma física de los estadios, porque atacó la causa y no solo el síntoma. Argentina y Uruguay, en cambio, no esperaron una tragedia semejante: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y la identificación de asistentes nunca llegó a funcionar de forma general, como lo prueban el fracaso de la carnetización y el caso 1.</w:t>
      </w:r>
    </w:p>
    <w:p w14:paraId="754F6287" w14:textId="77777777" w:rsidR="008F59D7" w:rsidRDefault="005A53E5" w:rsidP="00EB144C">
      <w:pPr>
        <w:pStyle w:val="Textoindependiente"/>
        <w:spacing w:line="360" w:lineRule="auto"/>
        <w:ind w:left="0" w:firstLine="382"/>
        <w:jc w:val="both"/>
      </w:pPr>
      <w:r>
        <w:rP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Es cierto que una asociación no prueba causalidad,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both"/>
      </w:pPr>
      <w:r>
        <w:rPr/>
        <w:t>Mirados desde la sociología del deporte, estos resultados dialogan con la tesis de Clavijo (2004), que ve en las barras un espacio donde se incluyen jóvenes excluidos. Si eso es cierto, la represión indiscriminada produce pocos resultados y, a veces, resulta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both"/>
      </w:pPr>
      <w:r>
        <w:rP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Planteamos,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both"/>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both"/>
      </w:pPr>
      <w:r>
        <w:rP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Esa medida, que se articula con la Ley 269 de la Ciudad de Buenos Aires y con la Ley 7411 de Salta, termina usando el acceso al estadio como presión para que se paguen las cuotas alimentarias. Nos parece que eso muestra la fuerza de un sistema de identificación ya consolidado, pero también abre dudas de proporcionalidad, porque el espectáculo deportivo se vuelve una herramienta para hacer cumplir deberes que nada tienen que ver con la seguridad, y es una discusión que Colombia tendrá que dar si llega a adoptar un mecanismo parecido.</w:t>
      </w:r>
    </w:p>
    <w:p w14:paraId="39397271" w14:textId="3E3C67FB" w:rsidR="00EB144C" w:rsidRDefault="00347D59" w:rsidP="00720FAB">
      <w:pPr>
        <w:pStyle w:val="Textoindependiente"/>
        <w:spacing w:line="360" w:lineRule="auto"/>
        <w:ind w:left="0" w:firstLine="707"/>
        <w:jc w:val="both"/>
      </w:pPr>
      <w:r>
        <w:rP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nuestro juicio,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both"/>
      </w:pPr>
      <w:r>
        <w:rPr/>
        <w:t>Presentamos seis conclusiones, y en cada una distinguimos lo que el trabajo demostró con las fuentes, los casos y la jurisprudencia, la manera como lo interpretamos jurídicamente y lo que proponemos para cambiar o reforzar el régimen, que no se deduce necesariamente de la evidencia y debe leerse como recomendación.</w:t>
      </w:r>
    </w:p>
    <w:p w14:paraId="529258A4" w14:textId="77777777" w:rsidR="008F59D7" w:rsidRDefault="005A53E5" w:rsidP="00EB144C">
      <w:pPr>
        <w:pStyle w:val="Textoindependiente"/>
        <w:spacing w:line="360" w:lineRule="auto"/>
        <w:ind w:left="0" w:firstLine="707"/>
        <w:jc w:val="both"/>
      </w:pPr>
      <w:r>
        <w:rP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Un estudio documental y comparado como este no alcanza, sin embargo, para demostrarla en sentido estricto, y por eso la dejamos planteada como una tesis que los datos revisados apoyan.</w:t>
      </w:r>
    </w:p>
    <w:p w14:paraId="535F6711" w14:textId="77777777" w:rsidR="005F1D22" w:rsidRDefault="006E6BE4" w:rsidP="00EB144C">
      <w:pPr>
        <w:pStyle w:val="Textoindependiente"/>
        <w:spacing w:line="360" w:lineRule="auto"/>
        <w:ind w:left="0" w:firstLine="707"/>
        <w:jc w:val="both"/>
      </w:pPr>
      <w:r>
        <w:rPr>
          <w:b/>
        </w:rPr>
        <w:t xml:space="preserve">01. Sobre las causas del fenómeno. </w:t>
      </w:r>
      <w:r>
        <w:rPr>
          <w:i/>
        </w:rPr>
        <w:t xml:space="preserve">Lo demostrado. </w:t>
      </w:r>
      <w:r>
        <w:rPr/>
        <w:t>Los homicidios y las lesiones entre hinchas, que en el registro de El País de Cali ocurrieron todos fuera de los estadios (Caracol Radio, 2020), tienen causas que no son deportivas. Clavijo (2004) encontró que las barras acogen a jóvenes que no hallan reconocimiento en otros espacios, y Pécaut (2001) vincula la violencia del país con una presencia fragmentada del Estado. En Medellín, Castaño Pérez et al. (2014) estudiaron una muestra de 570 integrantes de barras y hallaron una asociación estadísticamente significativa entre el consumo de sustancias y la agresividad física.</w:t>
      </w:r>
    </w:p>
    <w:p w14:paraId="535F6711" w14:textId="77777777" w:rsidR="005F1D22" w:rsidRDefault="006E6BE4" w:rsidP="00EB144C">
      <w:pPr>
        <w:pStyle w:val="Textoindependiente"/>
        <w:spacing w:line="360" w:lineRule="auto"/>
        <w:ind w:left="0" w:firstLine="707"/>
        <w:jc w:val="both"/>
      </w:pPr>
      <w:r>
        <w:rPr>
          <w:i/>
        </w:rPr>
        <w:t xml:space="preserve">Nuestra interpretación. </w:t>
      </w:r>
      <w:r>
        <w:rPr/>
        <w:t>Leemos en esos hallazgos un fenómeno estructural, ligado a la desigualdad, a la falta de oportunidades para muchos jóvenes y a la normalización de la violencia, con la advertencia de que la asociación entre consumo y agresividad no prueba por sí sola una relación causal. En ese marco, las barras no son la causa de la violencia, sino el espacio en el que actúan sus sectores violentos, y su función de identidad y el barrismo social, reconocidos en el Plan Decenal y en la Sentencia C-065 de 2021, las convierten además en aliadas posibles de la prevención.</w:t>
      </w:r>
    </w:p>
    <w:p w14:paraId="535F6711" w14:textId="77777777" w:rsidR="005F1D22" w:rsidRDefault="006E6BE4" w:rsidP="00EB144C">
      <w:pPr>
        <w:pStyle w:val="Textoindependiente"/>
        <w:spacing w:line="360" w:lineRule="auto"/>
        <w:ind w:left="0" w:firstLine="707"/>
        <w:jc w:val="both"/>
      </w:pPr>
      <w:r>
        <w:rPr>
          <w:i/>
        </w:rPr>
        <w:t xml:space="preserve">Propuesta. </w:t>
      </w:r>
      <w:r>
        <w:rPr/>
        <w:t>La política pública debería incluir programas sociales y de reducción del consumo dirigidos a los jóvenes de las barras, pues sin ellos es probable que las medidas punitivas consigan, a lo sumo, logros aislados.</w:t>
      </w:r>
    </w:p>
    <w:p w14:paraId="0E01C8B3" w14:textId="77777777" w:rsidR="006E6BE4" w:rsidRDefault="006E6BE4" w:rsidP="00EB144C">
      <w:pPr>
        <w:pStyle w:val="Textoindependiente"/>
        <w:spacing w:line="360" w:lineRule="auto"/>
        <w:ind w:left="0" w:firstLine="707"/>
        <w:jc w:val="both"/>
      </w:pPr>
      <w:r>
        <w:rPr>
          <w:b/>
        </w:rPr>
        <w:t xml:space="preserve">02. Sobre el marco normativo y la persecución penal. </w:t>
      </w:r>
      <w:r>
        <w:rPr>
          <w:i/>
        </w:rPr>
        <w:t xml:space="preserve">Lo demostrado. </w:t>
      </w:r>
      <w:r>
        <w:rPr/>
        <w:t>Colombia cuenta con numerosas normas sobre el tema, entre ellas la Ley 1270 de 2009, las Leyes 1445 y 1453 de 2011, el Código Penal, el Código Nacional de Seguridad y Convivencia Ciudadana y el régimen disciplinario deportivo, además de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 Esas normas operan por tres vías: el Código Penal recae sobre el agresor, la Ley 1445 de 2011 permite excluirlo del estadio hasta por seis años sin que haya delito y el Código Disciplinario Único de la Federación solo alcanza a los clubes.</w:t>
      </w:r>
    </w:p>
    <w:p w14:paraId="0E01C8B3" w14:textId="77777777" w:rsidR="006E6BE4" w:rsidRDefault="006E6BE4" w:rsidP="00EB144C">
      <w:pPr>
        <w:pStyle w:val="Textoindependiente"/>
        <w:spacing w:line="360" w:lineRule="auto"/>
        <w:ind w:left="0" w:firstLine="707"/>
        <w:jc w:val="both"/>
      </w:pPr>
      <w:r>
        <w:rPr>
          <w:i/>
        </w:rPr>
        <w:t xml:space="preserve">Nuestra interpretación. </w:t>
      </w:r>
      <w:r>
        <w:rPr/>
        <w:t>A nuestro juicio, lo que falla no son las normas, sino su aplicación: tanto la pena como la prohibición de ingreso exigen saber quién estuvo en el estadio, cosa que en Colombia todavía no se verifica en las puertas, y la multa disciplinaria cae sobre el club y deja por fuera al agresor, como ocurrió con la sanción impuesta al Junior en 2024. Esta lectura coincide con Pécaut (2001), que ve en la debilidad institucional una causa de fondo de la violencia colombiana.</w:t>
      </w:r>
    </w:p>
    <w:p w14:paraId="0E01C8B3" w14:textId="77777777" w:rsidR="006E6BE4" w:rsidRDefault="006E6BE4" w:rsidP="00EB144C">
      <w:pPr>
        <w:pStyle w:val="Textoindependiente"/>
        <w:spacing w:line="360" w:lineRule="auto"/>
        <w:ind w:left="0" w:firstLine="707"/>
        <w:jc w:val="both"/>
      </w:pPr>
      <w:r>
        <w:rPr>
          <w:i/>
        </w:rPr>
        <w:t xml:space="preserve">Propuesta. </w:t>
      </w:r>
      <w:r>
        <w:rPr/>
        <w:t>Más que leyes nuevas, hace falta que las vigentes se apliquen de forma coordinada, con recursos, con información confiable y con mecanismos para identificar uno a uno a los responsables.</w:t>
      </w:r>
    </w:p>
    <w:p w14:paraId="757D467A" w14:textId="77777777" w:rsidR="006E6BE4" w:rsidRDefault="006E6BE4" w:rsidP="00EB144C">
      <w:pPr>
        <w:pStyle w:val="Textoindependiente"/>
        <w:spacing w:line="360" w:lineRule="auto"/>
        <w:ind w:left="0" w:firstLine="707"/>
        <w:jc w:val="both"/>
      </w:pPr>
      <w:r>
        <w:rPr>
          <w:b/>
        </w:rPr>
        <w:t xml:space="preserve">03. Sobre la responsabilidad civil de los organizadores. </w:t>
      </w:r>
      <w:r>
        <w:rPr>
          <w:i/>
        </w:rPr>
        <w:t xml:space="preserve">Lo demostrado. </w:t>
      </w:r>
      <w:r>
        <w:rPr/>
        <w:t>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Y si el daño viene de una actividad peligrosa, las sentencias SC2905-2021 y SC2111-2021 de la Sala de Casación Civil impiden que el organizador se libere probando solamente que fue diligente.</w:t>
      </w:r>
    </w:p>
    <w:p w14:paraId="757D467A" w14:textId="77777777" w:rsidR="006E6BE4" w:rsidRDefault="006E6BE4" w:rsidP="00EB144C">
      <w:pPr>
        <w:pStyle w:val="Textoindependiente"/>
        <w:spacing w:line="360" w:lineRule="auto"/>
        <w:ind w:left="0" w:firstLine="707"/>
        <w:jc w:val="both"/>
      </w:pPr>
      <w:r>
        <w:rPr>
          <w:i/>
        </w:rPr>
        <w:t xml:space="preserve">Nuestra interpretación. </w:t>
      </w:r>
      <w:r>
        <w:rPr/>
        <w:t>Creemos que ante terceros un partido masivo puede tratarse como actividad peligrosa, y que ante el asistente el deber de seguridad sigue siendo de medios, aunque reforzado. La agresión de otro hincha libera al organizador solo si fue imprevisible, irresistible y ajena a su control, y eso se decide con los hechos de cada partido: si se podía prever y evitar, qué protocolos se aplicaron, cómo se vigiló y dónde y cuándo ocurrió el daño.</w:t>
      </w:r>
    </w:p>
    <w:p w14:paraId="757D467A" w14:textId="77777777" w:rsidR="006E6BE4" w:rsidRDefault="006E6BE4" w:rsidP="00EB144C">
      <w:pPr>
        <w:pStyle w:val="Textoindependiente"/>
        <w:spacing w:line="360" w:lineRule="auto"/>
        <w:ind w:left="0" w:firstLine="707"/>
        <w:jc w:val="both"/>
      </w:pPr>
      <w:r>
        <w:rPr>
          <w:i/>
        </w:rPr>
        <w:t xml:space="preserve">Propuesta. </w:t>
      </w:r>
      <w:r>
        <w:rPr/>
        <w:t>Sería útil que la reglamentación de los planes de seguridad fijara mínimos de requisa, de separación de hinchadas y de vigilancia según el riesgo de cada partido. Así los jueces tendrían reglas más claras para juzgar si el organizador fue diligente.</w:t>
      </w:r>
    </w:p>
    <w:p w14:paraId="6205B326" w14:textId="77777777" w:rsidR="006E6BE4" w:rsidRDefault="006E6BE4" w:rsidP="00EB144C">
      <w:pPr>
        <w:pStyle w:val="Textoindependiente"/>
        <w:spacing w:line="360" w:lineRule="auto"/>
        <w:ind w:left="0" w:firstLine="382"/>
        <w:jc w:val="both"/>
      </w:pPr>
      <w:r>
        <w:rPr>
          <w:b/>
        </w:rPr>
        <w:t xml:space="preserve">04. Sobre la identificación de asistentes. </w:t>
      </w:r>
      <w:r>
        <w:rPr>
          <w:i/>
        </w:rPr>
        <w:t xml:space="preserve">Lo demostrado. </w:t>
      </w:r>
      <w:r>
        <w:rPr/>
        <w:t>Los países comparados muestran resultados verificables, resumidos en la Tabla 3: en Uruguay bajaron las detenciones después de instalar el reconocimiento facial, y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14:paraId="6205B326" w14:textId="77777777" w:rsidR="006E6BE4" w:rsidRDefault="006E6BE4" w:rsidP="00EB144C">
      <w:pPr>
        <w:pStyle w:val="Textoindependiente"/>
        <w:spacing w:line="360" w:lineRule="auto"/>
        <w:ind w:left="0" w:firstLine="382"/>
        <w:jc w:val="both"/>
      </w:pPr>
      <w:r>
        <w:rPr>
          <w:i/>
        </w:rPr>
        <w:t xml:space="preserve">Nuestra interpretación. </w:t>
      </w:r>
      <w:r>
        <w:rPr/>
        <w:t>Con estos datos no se puede separar el efecto de la identificación del de otros factores, aunque es la medida cuyos resultados se ven más directamente. Lo que pasó con la carnetización sugiere que en Colombia los problemas han sido más de instituciones que de tecnología; que también sean políticos es una hipótesis que planteamos sin haberla demostrado.</w:t>
      </w:r>
    </w:p>
    <w:p w14:paraId="6205B326" w14:textId="77777777" w:rsidR="006E6BE4" w:rsidRDefault="006E6BE4" w:rsidP="00EB144C">
      <w:pPr>
        <w:pStyle w:val="Textoindependiente"/>
        <w:spacing w:line="360" w:lineRule="auto"/>
        <w:ind w:left="0" w:firstLine="382"/>
        <w:jc w:val="both"/>
      </w:pPr>
      <w:r>
        <w:rPr>
          <w:i/>
        </w:rPr>
        <w:t xml:space="preserve">Propuesta. </w:t>
      </w:r>
      <w:r>
        <w:rPr/>
        <w:t>Proponemos poner en marcha un sistema de identificación de asistentes que proteja los datos personales y sea proporcional, teniendo en cuenta las dudas que deja la decisión argentina de extender la restricción de entrada a los deudores de alimentos.</w:t>
      </w:r>
    </w:p>
    <w:p w14:paraId="0FB6AA53" w14:textId="77777777" w:rsidR="008F59D7" w:rsidRDefault="006E6BE4" w:rsidP="00EB144C">
      <w:pPr>
        <w:pStyle w:val="Textoindependiente"/>
        <w:spacing w:line="360" w:lineRule="auto"/>
        <w:ind w:left="0" w:firstLine="382"/>
        <w:jc w:val="both"/>
      </w:pPr>
      <w:r>
        <w:rPr>
          <w:b/>
        </w:rPr>
        <w:t xml:space="preserve">05. Sobre el régimen disciplinario. </w:t>
      </w:r>
      <w:r>
        <w:rPr>
          <w:i/>
        </w:rPr>
        <w:t xml:space="preserve">Lo demostrado. </w:t>
      </w:r>
      <w:r>
        <w:rPr/>
        <w:t>Cada sanción de la Dimayor a un club sale en una resolución aparte. En las resoluciones que revisamos las multas fueron de ocho a diez salarios mínimos (la Resolución 095 de 2024 le impuso diez al Junior) y hubo cierres parciales o totales de tribuna (División Mayor del Fútbol Colombiano, 2024). No encontramos un consolidado oficial de esas sanciones ni un registro público de reincidencia por club.</w:t>
      </w:r>
    </w:p>
    <w:p w14:paraId="0FB6AA53" w14:textId="77777777" w:rsidR="008F59D7" w:rsidRDefault="006E6BE4" w:rsidP="00EB144C">
      <w:pPr>
        <w:pStyle w:val="Textoindependiente"/>
        <w:spacing w:line="360" w:lineRule="auto"/>
        <w:ind w:left="0" w:firstLine="382"/>
        <w:jc w:val="both"/>
      </w:pPr>
      <w:r>
        <w:rPr>
          <w:i/>
        </w:rPr>
        <w:t xml:space="preserve">Nuestra interpretación. </w:t>
      </w:r>
      <w:r>
        <w:rPr/>
        <w:t>Con esos datos no sabemos si el régimen disuade: que un club vuelva a ser sancionado no prueba que la multa no sirva, porque puede deberse a cuántos partidos de alto riesgo juega o al tamaño de su hinchada. Sí nos parece que una multa de trece millones de pesos, como la impuesta al Junior en 2024, es pequeña frente al problema, y que eso justifica revisar el diseño de las sanciones, aunque no alcanza para concluir que el régimen esté mal calibrado.</w:t>
      </w:r>
    </w:p>
    <w:p w14:paraId="0FB6AA53" w14:textId="77777777" w:rsidR="008F59D7" w:rsidRDefault="006E6BE4" w:rsidP="00EB144C">
      <w:pPr>
        <w:pStyle w:val="Textoindependiente"/>
        <w:spacing w:line="360" w:lineRule="auto"/>
        <w:ind w:left="0" w:firstLine="382"/>
        <w:jc w:val="both"/>
      </w:pPr>
      <w:r>
        <w:rPr>
          <w:i/>
        </w:rPr>
        <w:t xml:space="preserve">Propuesta. </w:t>
      </w:r>
      <w:r>
        <w:rPr/>
        <w:t>La Dimayor y la Federación Colombiana de Fútbol deberían publicar un consolidado de sanciones y de reincidencia por club, que hoy no existe y sin el cual esa evaluación no se puede hacer.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both"/>
      </w:pPr>
      <w:r>
        <w:rPr>
          <w:b/>
        </w:rPr>
        <w:t xml:space="preserve">06. Sobre la transformación cultural. </w:t>
      </w:r>
      <w:r>
        <w:rPr>
          <w:i/>
        </w:rPr>
        <w:t xml:space="preserve">Lo demostrado. </w:t>
      </w:r>
      <w:r>
        <w:rPr/>
        <w:t>En Inglaterra la violencia bajó cuando coincidieron la transformación de los estadios después del Informe Taylor (1990), el régimen de prohibiciones de ingreso de la Football Spectators Act (Reino Unido, 1989) y, según Dunning (1999), un cambio en la cultura de las gradas. Las cifras del Home Office (2025) muestran además que las detenciones ligadas al fútbol cayeron en la última década.</w:t>
      </w:r>
    </w:p>
    <w:p w14:paraId="0F7D48E6" w14:textId="394FEAE9" w:rsidR="00FF0028" w:rsidRDefault="00000000" w:rsidP="00EB144C">
      <w:pPr>
        <w:pStyle w:val="Textoindependiente"/>
        <w:spacing w:line="360" w:lineRule="auto"/>
        <w:ind w:left="0" w:firstLine="382"/>
        <w:jc w:val="both"/>
      </w:pPr>
      <w:r>
        <w:rPr>
          <w:i/>
        </w:rPr>
        <w:t xml:space="preserve">Nuestra interpretación. </w:t>
      </w:r>
      <w:r>
        <w:rPr/>
        <w:t>Coincidimos con Dunning en que el cambio cultural pesó tanto como las normas y la tecnología, aunque con las fuentes revisadas no es posible medir cuánto pesó cada factor.</w:t>
      </w:r>
    </w:p>
    <w:p w14:paraId="0F7D48E6" w14:textId="394FEAE9" w:rsidR="00FF0028" w:rsidRDefault="00000000" w:rsidP="00EB144C">
      <w:pPr>
        <w:pStyle w:val="Textoindependiente"/>
        <w:spacing w:line="360" w:lineRule="auto"/>
        <w:ind w:left="0" w:firstLine="382"/>
        <w:jc w:val="both"/>
      </w:pPr>
      <w:r>
        <w:rPr>
          <w:i/>
        </w:rPr>
        <w:t xml:space="preserve">Propuesta. </w:t>
      </w:r>
      <w:r>
        <w:rPr/>
        <w:t>Las medidas de control deben ir de la mano de programas serios de educación y convivencia. Hay que hablar directamente con las barras, en sus propios términos, dentro del espacio de participación que abrió la Sentencia C-065 de 2021 y con los filtros que sugiere el caso 2. También hace falta que jugadores, técnicos y directivos asuman públicamente un papel activo, porque en Colombia el fútbol mueve una cultura enorme, y la violencia que lo rodea es, en buena parte, lo que pagamos por no cuidar esa cultura con el mismo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rPr/>
        <w:t>Congreso de Colombia. (2016). Ley 1801 de 2016, por la cual se expide el Código Nacional de Seguridad y Convivencia Ciudadana. Diario Oficial No. 49.949.</w:t>
      </w:r>
    </w:p>
    <w:p w14:paraId="4877D804" w14:textId="77777777" w:rsidR="008F59D7" w:rsidRDefault="005A53E5" w:rsidP="00EB144C">
      <w:pPr>
        <w:pStyle w:val="Textoindependiente"/>
        <w:spacing w:line="360" w:lineRule="auto"/>
        <w:ind w:left="709" w:hanging="720"/>
      </w:pPr>
      <w:r>
        <w:rPr/>
        <w:t>Congreso de Colombia. (2019). Ley 1952 de 2019, por medio de la cual se expide el Código General Disciplinario, se derogan la Ley 734 de 2002 y algunas disposiciones de la Ley 1474 de 2011, relacionadas con el derecho disciplinario. Diario Oficial No. 50.850.</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