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0" w:before="240" w:line="480"/>
      </w:pPr>
      <w:r>
        <w:rPr>
          <w:rFonts w:ascii="Times New Roman" w:cs="Times New Roman" w:eastAsia="Times New Roman" w:hAnsi="Times New Roman"/>
          <w:b/>
          <w:bCs/>
          <w:color w:val="000000"/>
          <w:sz w:val="24"/>
          <w:szCs w:val="24"/>
        </w:rPr>
        <w:t xml:space="preserve">6.3.4 Configuración y Disposición Física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se instalará sobre la cubierta de la planta, aprovechando el área disponible y garantizando la orientación e inclinación adecuadas para maximizar la captación solar. Los paneles se orientarán hacia el sur o suroeste, con una inclinación de entre 10° y 15°, acorde con la latitud de la ciudad de Cali. Los planos del proyecto, que deben ser elaborados por el equipo técnico durante la fase de ingeniería de detalle, comprenden el plano de distribución de paneles en cubierta, el plano eléctrico (diagrama unifilar y conexiones), el plano estructural de soporte y el plano de conexión a la red. La Figura 3 presenta el diagrama unifilar simplificado del sistema.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Conviene advertir, antes de entrar en detalle, que la disposición física no es un asunto meramente geométrico. La ubicación de cada módulo determina a qué cadena pertenece, la de cada cadena determina la longitud de conductor que debe tenderse, y esa longitud se traduce en caída de tensión y en costo de cableado. Del mismo modo, la separación que se deje entre filas condiciona cuántos módulos caben en la cubierta y, por tanto, la potencia instalada final. Las decisiones que siguen están encadenadas entre sí y por eso se presentan agrupadas, aunque en el documento de ingeniería de detalle cada una dé lugar a un plano o a una memoria de cálculo independiente.</w:t>
      </w:r>
    </w:p>
    <w:p>
      <w:pPr>
        <w:pStyle w:val="Heading3"/>
        <w:spacing w:after="0" w:before="240" w:line="480"/>
      </w:pPr>
      <w:r>
        <w:rPr>
          <w:rFonts w:ascii="Times New Roman" w:cs="Times New Roman" w:eastAsia="Times New Roman" w:hAnsi="Times New Roman"/>
          <w:b/>
          <w:bCs/>
          <w:i/>
          <w:iCs/>
          <w:color w:val="000000"/>
          <w:sz w:val="24"/>
          <w:szCs w:val="24"/>
        </w:rPr>
        <w:t xml:space="preserve">6.3.4.1 Orientación e inclinación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orientación e inclinación merecen una consideración particular por la latitud de la ciudad. Cali se encuentra cerca de la línea ecuatorial, aproximadamente a 3°27' de latitud norte, de modo que la trayectoria solar es casi cenital durante buena parte del año y la ganancia por orientar los módulos hacia un punto cardinal específico resulta mucho menor que en latitudes altas. Por esa razón la inclinación se define en un rango de 10 a 15 grados, suficiente para garantizar el autolavado con la lluvia y el drenaje del agua, sin sacrificar captación. En la práctica, esto permite adaptar el montaje a la pendiente existente de la cubierta y reducir el costo de la estructura de soporte.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margen de decisión que abre esta baja sensibilidad angular puede aprovecharse. Como la penalización por desviarse del azimut óptimo se mantiene por debajo de unos pocos puntos porcentuales de generación anual, la orientación puede escogerse en función del perfil de consumo de la planta y no solo del recurso solar. Un arreglo desplazado hacia el suroeste concentra algo más de producción en las horas de la tarde, lo que interesa si la operación de EcoVasos del Valle S.A.S. mantiene carga elevada en ese periodo; uno orientado al sur franco maximiza el total anual. Dado que se trata de un sistema pensado para autoconsumo, la energía que se genera en coincidencia con la demanda vale más que la que se exporta, y ese criterio debe prevalecer sobre la maximización del kilovatio hora bruto.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inclinación mínima de 10° no es un requisito de captación sino de mantenimiento. Por debajo de ese ángulo el agua lluvia tiende a estancarse en el marco inferior del módulo, arrastra el polvo hasta el borde y lo deja allí en forma de una franja de sedimento que sombrea la primera fila de celdas y activa los diodos de bypass. En una zona de vocación industrial como el corredor Cali–Yumbo, con tránsito pesado y material particulado en suspensión, esa consideración pesa: las pérdidas por suciedad pueden situarse entre el 2 % y el 5 % anual si no se programa una limpieza periódica, y aumentan con inclinaciones muy planas. La disposición debe entonces prever, desde el plano de distribución, que cada fila sea alcanzable para las labores de aseo.</w:t>
      </w:r>
    </w:p>
    <w:p>
      <w:pPr>
        <w:pStyle w:val="Heading3"/>
        <w:spacing w:after="0" w:before="240" w:line="480"/>
      </w:pPr>
      <w:r>
        <w:rPr>
          <w:rFonts w:ascii="Times New Roman" w:cs="Times New Roman" w:eastAsia="Times New Roman" w:hAnsi="Times New Roman"/>
          <w:b/>
          <w:bCs/>
          <w:i/>
          <w:iCs/>
          <w:color w:val="000000"/>
          <w:sz w:val="24"/>
          <w:szCs w:val="24"/>
        </w:rPr>
        <w:t xml:space="preserve">6.3.4.2 Aprovechamiento del área de cubierta y separación entre filas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área requerida se estima a partir de la potencia objetivo y de las dimensiones del módulo seleccionado. Con módulos monocristalinos de media celda del rango actual, de 550 a 620 Wp y una superficie del orden de 2,6 m² por unidad, la ocupación neta ronda los 4,2 a 4,5 m² por kilovatio pico. Al incorporar los pasillos de circulación, las franjas libres perimetrales y los retiros frente a obstáculos, la superficie bruta de cubierta que debe reservarse asciende a un rango de 6 a 8 m² por kilovatio pico. Este factor permite hacer la verificación en sentido inverso, que es la que interesa aquí: medida el área útil de la cubierta y descontadas las zonas no aprovechables, se obtiene el techo de potencia que el edificio admite, y ese valor debe contrastarse con la potencia derivada del análisis de consumo.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No toda la cubierta es área útil. Deben excluirse las superficies ocupadas o sombreadas por extractores eólicos, ductos de ventilación, tanques, unidades de aire acondicionado, claraboyas, antenas, muros cortafuego y cualquier volumen que sobresalga del plano de la teja. El criterio práctico consiste en trazar, para cada obstáculo, la sombra que proyecta en las horas de mayor irradiancia y mantener los módulos fuera de ella; una regla de campo frecuente es dejar libre una distancia horizontal de al menos dos veces la altura del obstáculo hacia el norte y hacia el occidente. Las claraboyas merecen mención aparte porque, además de sombrear, no soportan carga y representan un riesgo de caída durante el montaje y el mantenimiento.</w:t>
      </w:r>
    </w:p>
    <w:p>
      <w:pPr>
        <w:spacing w:after="0" w:line="480"/>
        <w:ind w:firstLine="720"/>
        <w:jc w:val="both"/>
      </w:pPr>
      <w:r>
        <w:rPr>
          <w:rFonts w:ascii="Times New Roman" w:cs="Times New Roman" w:eastAsia="Times New Roman" w:hAnsi="Times New Roman"/>
          <w:sz w:val="24"/>
          <w:szCs w:val="24"/>
        </w:rPr>
        <w:t xml:space="preserve">Cuando la cubierta es plana y los módulos se montan sobre estructura triangulada, aparece el problema de la separación entre filas. La distancia mínima que evita el sombreado mutuo se obtiene de la altura del borde superior del módulo sobre el plano de montaje, </w:t>
      </w:r>
      <w:r>
        <w:rPr>
          <w:rFonts w:ascii="Times New Roman" w:cs="Times New Roman" w:eastAsia="Times New Roman" w:hAnsi="Times New Roman"/>
          <w:i/>
          <w:iCs/>
          <w:sz w:val="24"/>
          <w:szCs w:val="24"/>
        </w:rPr>
        <w:t xml:space="preserve">h = L · sen β</w:t>
      </w:r>
      <w:r>
        <w:rPr>
          <w:rFonts w:ascii="Times New Roman" w:cs="Times New Roman" w:eastAsia="Times New Roman" w:hAnsi="Times New Roman"/>
          <w:sz w:val="24"/>
          <w:szCs w:val="24"/>
        </w:rPr>
        <w:t xml:space="preserve">, y de la altura solar mínima de diseño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mediante </w:t>
      </w:r>
      <w:r>
        <w:rPr>
          <w:rFonts w:ascii="Times New Roman" w:cs="Times New Roman" w:eastAsia="Times New Roman" w:hAnsi="Times New Roman"/>
          <w:i/>
          <w:iCs/>
          <w:sz w:val="24"/>
          <w:szCs w:val="24"/>
        </w:rPr>
        <w:t xml:space="preserve">d = h / tan α</w:t>
      </w:r>
      <w:r>
        <w:rPr>
          <w:rFonts w:ascii="Times New Roman" w:cs="Times New Roman" w:eastAsia="Times New Roman" w:hAnsi="Times New Roman"/>
          <w:sz w:val="24"/>
          <w:szCs w:val="24"/>
        </w:rPr>
        <w:t xml:space="preserve">, medida entre el borde posterior de una fila y el borde anterior de la siguiente. La latitud de Cali vuelve a jugar a favor: con inclinaciones de 10° a 15° la altura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es pequeña, y como el sol alcanza elevaciones altas durante casi todo el año, la separación resultante es del orden de unas pocas decenas de centímetros, muy inferior a la que exigiría el mismo arreglo en latitudes medias. El resultado es una densidad de ocupación alta, que es precisamente una de las ventajas comparativas de instalar en esta franja del país. En cubiertas inclinadas, donde los módulos se montan coplanares a la teja, el problema desaparece y la única separación necesaria es la que dejan las abrazaderas entre módulos contiguos.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 esa geometría hay que sumarle las servidumbres de operación. Se recomienda dejar una franja perimetral libre de 0,60 a 1,00 m en todos los bordes de la cubierta, tanto para permitir el anclaje de líneas de vida como para dar espacio de maniobra a los cuerpos de bomberos, y pasillos internos de 0,80 a 1,20 m que segmenten el arreglo en bloques y den acceso a los inversores, a las cajas de conexión y a cada fila de módulos. Estas franjas no son área perdida sino condición de que el sistema pueda mantenerse durante los veinticinco años de su vida útil.</w:t>
      </w:r>
    </w:p>
    <w:p>
      <w:pPr>
        <w:pStyle w:val="Heading3"/>
        <w:spacing w:after="0" w:before="240" w:line="480"/>
      </w:pPr>
      <w:r>
        <w:rPr>
          <w:rFonts w:ascii="Times New Roman" w:cs="Times New Roman" w:eastAsia="Times New Roman" w:hAnsi="Times New Roman"/>
          <w:b/>
          <w:bCs/>
          <w:i/>
          <w:iCs/>
          <w:color w:val="000000"/>
          <w:sz w:val="24"/>
          <w:szCs w:val="24"/>
        </w:rPr>
        <w:t xml:space="preserve">6.3.4.3 Sistema de montaje y verificación estructural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de fijación se escoge según la cubierta existente. Sobre teja metálica trapezoidal o de junta alzada la solución preferible es la de abrazaderas o clips que se sujetan a la propia lámina sin perforarla, porque elimina el riesgo de filtración y transmite la carga a la correa de manera repartida. Cuando la perforación es inevitable, cada punto debe sellarse con elemento elastomérico y arandela de estanqueidad, y quedar consignado en el plano estructural. Sobre cubierta plana en concreto se emplean estructuras trianguladas fijadas mecánicamente o lastradas con bloques de concreto; la segunda opción evita perforar la impermeabilización, pero concentra carga en puntos específicos y suele ser la que obliga a un refuerzo estructural.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verificación estructural debe realizarse conforme al Título B del Reglamento Colombiano de Construcción Sismo Resistente NSR-10 y considerar dos efectos de naturaleza distinta. El primero es la carga muerta adicional, modesta en el montaje coplanar —del orden de 12 a 15 kg/m², contando módulo, rieles y accesorios— pero considerablemente mayor en el montaje lastrado, donde puede alcanzar entre 60 y 90 kg/m² en las zonas de bloque. El segundo, y el más determinante en cubiertas ligeras, es la succión del viento: el arreglo actúa como una superficie expuesta y las presiones negativas se concentran en los bordes y las esquinas de la cubierta, donde pueden multiplicar varias veces el valor de la zona central. De ahí que el capítulo B.6 del NSR-10 obligue a zonificar la cubierta y a densificar los puntos de anclaje en las franjas de borde, y que sea buena práctica retirar los módulos de las esquinas o dotarlos de anclaje reforzado.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Un tercer aspecto, ajeno al cálculo pero decisivo para la viabilidad, es el estado y la vida útil remanente de la cubierta. Un sistema fotovoltaico se diseña para veinticinco años; si la teja existente tiene corrosión avanzada o le quedan pocos años de servicio, resulta más económico reemplazarla antes del montaje que desmontar y remontar el arreglo completo a mitad de su vida. La inspección de la cubierta, con levantamiento del estado de láminas, correas y anclajes, debe por tanto anteceder al diseño de detalle y no seguirlo.</w:t>
      </w:r>
    </w:p>
    <w:p>
      <w:pPr>
        <w:pStyle w:val="Heading3"/>
        <w:spacing w:after="0" w:before="240" w:line="480"/>
      </w:pPr>
      <w:r>
        <w:rPr>
          <w:rFonts w:ascii="Times New Roman" w:cs="Times New Roman" w:eastAsia="Times New Roman" w:hAnsi="Times New Roman"/>
          <w:b/>
          <w:bCs/>
          <w:i/>
          <w:iCs/>
          <w:color w:val="000000"/>
          <w:sz w:val="24"/>
          <w:szCs w:val="24"/>
        </w:rPr>
        <w:t xml:space="preserve">6.3.4.4 Agrupación eléctrica: cadenas, entradas de seguimiento y relación de sobredimensionamiento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disposición de los módulos sobre la cubierta debe resolver también la agrupación eléctrica. Los módulos se conectan en serie formando cadenas, y el número de módulos por cadena se define de manera que la tensión de circuito abierto del conjunto permanezca dentro del rango admisible del inversor en las condiciones más frías previstas, mientras que la tensión de operación se mantenga dentro de la ventana de seguimiento del punto de máxima potencia. Las cadenas se distribuyen luego entre las entradas independientes del inversor procurando que todas reciban condiciones de sombreado y orientación similares, ya que una diferencia apreciable entre cadenas conectadas a una misma entrada penaliza el rendimiento del conjunto. Este cálculo forma parte de la ingeniería de detalle y condiciona la ubicación física de cada agrupación sobre la cubierta.</w:t>
      </w:r>
    </w:p>
    <w:p>
      <w:pPr>
        <w:spacing w:after="0" w:line="480"/>
        <w:ind w:firstLine="720"/>
        <w:jc w:val="both"/>
      </w:pPr>
      <w:r>
        <w:rPr>
          <w:rFonts w:ascii="Times New Roman" w:cs="Times New Roman" w:eastAsia="Times New Roman" w:hAnsi="Times New Roman"/>
          <w:sz w:val="24"/>
          <w:szCs w:val="24"/>
        </w:rPr>
        <w:t xml:space="preserve">Formalmente, el número máximo de módulos en serie se obtiene de dividir la tensión máxima admisible del inversor entre la tensión de circuito abierto corregida por temperatura,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oc</w:t>
      </w:r>
      <w:r>
        <w:rPr>
          <w:rFonts w:ascii="Times New Roman" w:cs="Times New Roman" w:eastAsia="Times New Roman" w:hAnsi="Times New Roman"/>
          <w:i/>
          <w:iCs/>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oc,STC</w:t>
      </w:r>
      <w:r>
        <w:rPr>
          <w:rFonts w:ascii="Times New Roman" w:cs="Times New Roman" w:eastAsia="Times New Roman" w:hAnsi="Times New Roman"/>
          <w:i/>
          <w:iCs/>
          <w:sz w:val="24"/>
          <w:szCs w:val="24"/>
        </w:rPr>
        <w:t xml:space="preserve"> · [1 + 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bscript"/>
        </w:rPr>
        <w:t xml:space="preserve">cel,mín</w:t>
      </w:r>
      <w:r>
        <w:rPr>
          <w:rFonts w:ascii="Times New Roman" w:cs="Times New Roman" w:eastAsia="Times New Roman" w:hAnsi="Times New Roman"/>
          <w:i/>
          <w:iCs/>
          <w:sz w:val="24"/>
          <w:szCs w:val="24"/>
        </w:rPr>
        <w:t xml:space="preserve"> − 25 °C)]</w:t>
      </w:r>
      <w:r>
        <w:rPr>
          <w:rFonts w:ascii="Times New Roman" w:cs="Times New Roman" w:eastAsia="Times New Roman" w:hAnsi="Times New Roman"/>
          <w:sz w:val="24"/>
          <w:szCs w:val="24"/>
        </w:rPr>
        <w:t xml:space="preserve">, donde β es el coeficiente térmico de tensión del módulo, del orden de −0,25 a −0,28 %/°C. El número mínimo se obtiene de forma análoga a partir del límite inferior de la ventana de seguimiento y de la tensión en el punto de máxima potencia corregida a la temperatura de celda más alta esperada.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Aquí el clima de Cali invierte la restricción habitual. En instalaciones de clima frío la condición crítica es el límite superior, porque en una mañana bajo cero la tensión de circuito abierto puede subir entre un 15 % y un 20 % sobre el valor de catálogo y llevar la cadena por encima del máximo del inversor. Con temperaturas mínimas ambientes que en Cali difícilmente bajan de 17 °C o 18 °C, esa corrección se reduce a un par de puntos porcentuales y el límite superior deja de ser el condicionante. Lo que sí resulta exigente es el extremo opuesto: la irradiancia elevada y la temperatura ambiente alta llevan la celda a temperaturas de operación de 50 °C a 65 °C, con lo cual la tensión de máxima potencia cae en torno a un 10 % a 13 % respecto de las condiciones estándar de prueba. Si la cadena se dimensiona corta, esa caída puede dejarla por debajo del umbral inferior de seguimiento en las horas centrales del día, justamente cuando hay más energía disponible, y el inversor se desconecta o trabaja fuera de punto óptimo. El diseño debe entonces verificar el caso caliente con al menos tanto cuidado como el frío, lo que en la práctica empuja hacia cadenas largas dentro del margen que permita el límite superior.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relación entre la potencia pico del arreglo y la potencia nominal de salida del inversor se sitúa habitualmente entre 1,10 y 1,25. Un sobredimensionamiento en ese rango aprovecha que el arreglo casi nunca entrega su potencia nominal —por temperatura, suciedad y ángulo de incidencia— y mejora el factor de utilización del inversor en las horas de baja irradiancia, a cambio de un recorte marginal de potencia en unos pocos mediodías despejados al año. En un emplazamiento con la irradiancia de Cali conviene mantenerse en la parte baja de ese rango para no incurrir en recortes significativos.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Finalmente, la agrupación debe reflejarse en la disposición física. Cada cadena tiene que quedar formada por módulos contiguos, dentro de un mismo plano de cubierta y bajo un mismo patrón de sombreado, de modo que los bloques del plano de distribución coincidan uno a uno con las cadenas del diagrama unifilar. Si un obstáculo sombrea parcialmente una zona en determinadas horas, los módulos afectados deben agruparse en una cadena propia y, de ser posible, en una entrada de seguimiento independiente, en lugar de repartirse entre varias.</w:t>
      </w:r>
    </w:p>
    <w:p>
      <w:pPr>
        <w:pStyle w:val="Heading3"/>
        <w:spacing w:after="0" w:before="240" w:line="480"/>
      </w:pPr>
      <w:r>
        <w:rPr>
          <w:rFonts w:ascii="Times New Roman" w:cs="Times New Roman" w:eastAsia="Times New Roman" w:hAnsi="Times New Roman"/>
          <w:b/>
          <w:bCs/>
          <w:i/>
          <w:iCs/>
          <w:color w:val="000000"/>
          <w:sz w:val="24"/>
          <w:szCs w:val="24"/>
        </w:rPr>
        <w:t xml:space="preserve">6.3.4.5 Ubicación de inversores, canalizaciones y caída de tensión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inversores deben ubicarse en un sitio ventilado, protegido de la radiación solar directa y de la lluvia, con espacio libre alrededor para la disipación de calor y para las labores de mantenimiento, según lo que indique el fabricante. Instalarlos sobre la cubierta y expuestos al sol es un error frecuente que eleva su temperatura interna, activa la reducción automática de potencia en las horas de mayor generación y acorta la vida de los componentes electrónicos. La ubicación preferible es un muro sombreado, un cuarto técnico ventilado o el área próxima al tablero general de la planta.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Esa ubicación resuelve además un compromiso entre longitudes de cable. Acercar los inversores al arreglo acorta el tramo de corriente continua pero alarga el de alterna; acercarlos al tablero general hace lo contrario. El criterio de decisión es la caída de tensión: se recomienda no superar el 1 % a 1,5 % en el tramo de continua y el 2 % a 3 % en el de alterna, con un total inferior al 5 % conforme a los valores que la NTC 2050 señala para circuitos ramales y alimentadores. Como la corriente continua circula a tensión elevada y corriente moderada, suele tolerar mejor las distancias largas, lo que en general favorece situar el inversor cerca del punto de conexión con la instalación existente.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cableado de corriente continua debe emplear conductor de doble aislamiento resistente a la radiación ultravioleta y a la intemperie, del tipo específico para uso fotovoltaico, tendido por bandeja portacable o tubería metálica y fijado de manera que no quede en contacto directo con la lámina de cubierta ni forme lazos amplios que aumenten la tensión inducida por descargas atmosféricas. Los circuitos de continua y de alterna deben canalizarse por separado, y todos los tramos, cajas y tableros deben rotularse con la señalización de advertencia que exige el RETIE, incluyendo la indicación de que los conductores del lado de continua permanecen energizados mientras haya luz solar aunque el interruptor general esté abierto.</w:t>
      </w:r>
    </w:p>
    <w:p>
      <w:pPr>
        <w:pStyle w:val="Heading3"/>
        <w:spacing w:after="0" w:before="240" w:line="480"/>
      </w:pPr>
      <w:r>
        <w:rPr>
          <w:rFonts w:ascii="Times New Roman" w:cs="Times New Roman" w:eastAsia="Times New Roman" w:hAnsi="Times New Roman"/>
          <w:b/>
          <w:bCs/>
          <w:i/>
          <w:iCs/>
          <w:color w:val="000000"/>
          <w:sz w:val="24"/>
          <w:szCs w:val="24"/>
        </w:rPr>
        <w:t xml:space="preserve">6.3.4.6 Puesta a tierra, protecciones y condiciones de seguridad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estructuras metálicas de soporte, los marcos de los módulos, las envolventes de los tableros y los chasis de los inversores deben unirse equipotencialmente y conectarse al sistema de puesta a tierra de la planta, evitando la creación de un sistema de tierra aislado que pueda dar lugar a diferencias de potencial peligrosas. La continuidad entre marcos y rieles no debe darse por supuesta a través de las abrazaderas: se resuelve con conductor de unión o con accesorios certificados para ese fin.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Valle del Cauca presenta una densidad de descargas atmosféricas alta, de manera que la evaluación del nivel de riesgo por rayo conforme a la NTC 4552 no es un trámite formal sino una verificación con consecuencias sobre el diseño. De ella se desprende si la instalación requiere un sistema externo de protección contra rayos y qué clase de dispositivos de protección contra sobretensiones transitorias deben instalarse; en la práctica se prevén dispositivos tanto en el lado de corriente continua, próximos al inversor y a las cajas de agrupación, como en el lado de alterna, en el tablero de interconexión.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Del lado de la seguridad de las personas, la disposición debe contemplar los medios de seccionamiento que permitan aislar el arreglo de forma visible y accesible para las labores de mantenimiento y para la atención de emergencias, así como los puntos de anclaje y las líneas de vida necesarios para el trabajo en alturas, en cumplimiento de la reglamentación laboral vigente sobre la materia. Conviene que estos elementos aparezcan en el plano de distribución en cubierta desde el primer momento, porque instalarlos después obliga a intervenir una cubierta ya ocupada por módulos.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Por último, la conformidad no se declara: se certifica. Los módulos e inversores deben contar con certificado de conformidad de producto vigente bajo el RETIE, y la instalación terminada debe someterse a inspección por un organismo acreditado, cuyo dictamen de conformidad es requisito para la puesta en servicio y para la formalización de la conexión ante el operador de red.</w:t>
      </w:r>
    </w:p>
    <w:p>
      <w:pPr>
        <w:pStyle w:val="Heading3"/>
        <w:spacing w:after="0" w:before="240" w:line="480"/>
      </w:pPr>
      <w:r>
        <w:rPr>
          <w:rFonts w:ascii="Times New Roman" w:cs="Times New Roman" w:eastAsia="Times New Roman" w:hAnsi="Times New Roman"/>
          <w:b/>
          <w:bCs/>
          <w:i/>
          <w:iCs/>
          <w:color w:val="000000"/>
          <w:sz w:val="24"/>
          <w:szCs w:val="24"/>
        </w:rPr>
        <w:t xml:space="preserve">6.3.4.7 Punto de interconexión, medición y monitoreo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punto de interconexión se establece en el tablero general de baja tensión de la planta, aguas abajo del equipo de medida, de modo que la energía generada se consuma prioritariamente en las cargas internas y solo el excedente circule hacia la red. La conexión requiere la sustitución del medidor existente por uno bidireccional que registre por separado la energía importada y la exportada, y la actualización de la frontera comercial ante el operador de red que atiende el predio. El trámite se rige por la normativa de la Comisión de Regulación de Energía y Gas aplicable a la autogeneración a pequeña escala y por los procedimientos particulares del operador, e incluye la radicación de la solicitud de conexión, la entrega de los diseños firmados por profesional competente, el dictamen RETIE y la suscripción del contrato correspondiente.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inversor debe incorporar la función de protección anti-isla, que desconecta la generación cuando detecta ausencia de tensión en la red, de manera que ante una falla o una maniobra del operador el sistema deje de energizar el circuito y no ponga en riesgo al personal que interviene la línea. Junto a ella se disponen las protecciones de interfaz por tensión y frecuencia, con los umbrales y tiempos que fije el operador de red.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Conviene prever desde el diseño un sistema de monitoreo que registre la generación por inversor y, cuando la escala lo justifique, por cadena, con acceso remoto para el personal de mantenimiento. Sin ese registro no es posible distinguir una caída de producción por suciedad de una por falla de un módulo o por sombreado imprevisto, ni calcular el desempeño global del sistema, que para instalaciones sobre cubierta en estas condiciones suele situarse entre 0,75 y 0,82. El seguimiento de ese indicador a lo largo del tiempo es lo que permite verificar si el sistema está cumpliendo las proyecciones financieras del proyecto.</w:t>
      </w:r>
    </w:p>
    <w:p>
      <w:pPr>
        <w:pStyle w:val="Heading3"/>
        <w:spacing w:after="0" w:before="240" w:line="480"/>
      </w:pPr>
      <w:r>
        <w:rPr>
          <w:rFonts w:ascii="Times New Roman" w:cs="Times New Roman" w:eastAsia="Times New Roman" w:hAnsi="Times New Roman"/>
          <w:b/>
          <w:bCs/>
          <w:i/>
          <w:iCs/>
          <w:color w:val="000000"/>
          <w:sz w:val="24"/>
          <w:szCs w:val="24"/>
        </w:rPr>
        <w:t xml:space="preserve">6.3.4.8 Contenido esperado de los planos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cuatro planos mencionados al inicio deben desarrollarse con el siguiente contenido mínimo. El plano de distribución en cubierta ha de mostrar la implantación de cada módulo con su identificación de cadena, la ubicación de los obstáculos existentes y sus retiros, los pasillos de circulación y las franjas perimetrales libres, la posición de las cajas de agrupación, los inversores y los puntos de anclaje para trabajo en alturas. El plano eléctrico comprende el diagrama unifilar completo con las cadenas, las protecciones de continua y de alterna, los dispositivos de protección contra sobretensiones y el medidor bidireccional, acompañado del cuadro de cargas, el cuadro de conductores con su calibre, longitud y caída de tensión calculada, y el detalle de la puesta a tierra. El plano estructural debe contener el detalle de anclaje a la cubierta, la zonificación de las cargas de viento, la memoria de cálculo de la estructura de soporte y el detalle de sellado de las perforaciones cuando existan. El plano de conexión a la red presenta el esquema del punto de interconexión con el tablero general, la ubicación del equipo de medida y las protecciones de interfaz. Todos deben ir firmados por el profesional competente y ajustarse a lo dispuesto en el RETIE y en la NTC 2050.</w:t>
      </w:r>
    </w:p>
    <w:p>
      <w:pPr>
        <w:spacing w:line="480"/>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b/>
          <w:bCs/>
          <w:sz w:val="24"/>
          <w:szCs w:val="24"/>
        </w:rPr>
        <w:t xml:space="preserve">Tabla 2</w:t>
      </w:r>
    </w:p>
    <w:p>
      <w:pPr>
        <w:spacing w:after="0" w:line="480"/>
        <w:jc w:val="left"/>
      </w:pPr>
      <w:r>
        <w:rPr>
          <w:rFonts w:ascii="Times New Roman" w:cs="Times New Roman" w:eastAsia="Times New Roman" w:hAnsi="Times New Roman"/>
          <w:i/>
          <w:iCs/>
          <w:sz w:val="24"/>
          <w:szCs w:val="24"/>
        </w:rPr>
        <w:t xml:space="preserve">Parámetros de configuración física adoptados para el sistema propuesto</w:t>
      </w:r>
    </w:p>
    <w:p>
      <w:pPr>
        <w:spacing w:line="240"/>
      </w:pPr>
      <w:r>
        <w:rPr>
          <w:rFonts w:ascii="Times New Roman" w:cs="Times New Roman" w:eastAsia="Times New Roman" w:hAnsi="Times New Roman"/>
          <w:sz w:val="12"/>
          <w:szCs w:val="1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4320"/>
      </w:tblGrid>
      <w:tr>
        <w:tc>
          <w:tcPr>
            <w:tcW w:type="dxa" w:w="25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22"/>
                <w:szCs w:val="22"/>
              </w:rPr>
              <w:t xml:space="preserve">Parámetro</w:t>
            </w:r>
          </w:p>
        </w:tc>
        <w:tc>
          <w:tcPr>
            <w:tcW w:type="dxa" w:w="25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22"/>
                <w:szCs w:val="22"/>
              </w:rPr>
              <w:t xml:space="preserve">Valor o rango adoptado</w:t>
            </w:r>
          </w:p>
        </w:tc>
        <w:tc>
          <w:tcPr>
            <w:tcW w:type="dxa" w:w="4320"/>
            <w:tcBorders>
              <w:top w:val="single" w:color="000000" w:sz="6"/>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bCs/>
                <w:i w:val="false"/>
                <w:iCs w:val="false"/>
                <w:sz w:val="22"/>
                <w:szCs w:val="22"/>
              </w:rPr>
              <w:t xml:space="preserve">Criterio</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Azimut</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Sur a suroeste</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Baja sensibilidad angular por la latitud; ajuste al perfil de carga de la planta</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Inclinación</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10° a 15°</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Autolavado y drenaje; adaptación a la pendiente existente</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Ocupación de cubierta</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6 a 8 m² por kWp (bruta)</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Módulos de 550–620 Wp más pasillos y retiros</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Franja perimetral libre</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0,60 a 1,00 m</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Anclaje de líneas de vida y acceso de emergencia</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Pasillos internos</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0,80 a 1,20 m</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Mantenimiento y limpieza de módulos</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Carga muerta adicional</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12 a 15 kg/m² (montaje coplanar)</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Verificación conforme al Título B del NSR-10</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Relación potencia pico / potencia nominal del inversor</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1,10 a 1,25</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Aprovechamiento del inversor sin recorte significativo</w:t>
            </w:r>
          </w:p>
        </w:tc>
      </w:tr>
      <w:tr>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Caída de tensión máxima</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1,5 % en continua; 3 % en alterna; 5 % total</w:t>
            </w:r>
          </w:p>
        </w:tc>
        <w:tc>
          <w:tcPr>
            <w:tcW w:type="dxa" w:w="432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Valores de referencia de la NTC 2050</w:t>
            </w:r>
          </w:p>
        </w:tc>
      </w:tr>
      <w:tr>
        <w:tc>
          <w:tcPr>
            <w:tcW w:type="dxa" w:w="25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Desempeño global esperado (PR)</w:t>
            </w:r>
          </w:p>
        </w:tc>
        <w:tc>
          <w:tcPr>
            <w:tcW w:type="dxa" w:w="25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0,75 a 0,82</w:t>
            </w:r>
          </w:p>
        </w:tc>
        <w:tc>
          <w:tcPr>
            <w:tcW w:type="dxa" w:w="4320"/>
            <w:tcBorders>
              <w:top w:val="none" w:color="FFFFFF" w:sz="0"/>
              <w:left w:val="none" w:color="FFFFFF" w:sz="0"/>
              <w:bottom w:val="single" w:color="000000" w:sz="6"/>
              <w:right w:val="none" w:color="FFFFFF" w:sz="0"/>
            </w:tcBorders>
            <w:tcMar>
              <w:top w:type="dxa" w:w="60"/>
              <w:left w:type="dxa" w:w="80"/>
              <w:bottom w:type="dxa" w:w="60"/>
              <w:right w:type="dxa" w:w="80"/>
            </w:tcMar>
          </w:tcPr>
          <w:p>
            <w:pPr>
              <w:spacing w:after="0" w:line="240"/>
              <w:jc w:val="left"/>
            </w:pPr>
            <w:r>
              <w:rPr>
                <w:rFonts w:ascii="Times New Roman" w:cs="Times New Roman" w:eastAsia="Times New Roman" w:hAnsi="Times New Roman"/>
                <w:b w:val="false"/>
                <w:bCs w:val="false"/>
                <w:i w:val="false"/>
                <w:iCs w:val="false"/>
                <w:sz w:val="22"/>
                <w:szCs w:val="22"/>
              </w:rPr>
              <w:t xml:space="preserve">Referencia de verificación en operación</w:t>
            </w:r>
          </w:p>
        </w:tc>
      </w:tr>
    </w:tbl>
    <w:p>
      <w:pPr>
        <w:spacing w:line="240"/>
      </w:pPr>
      <w:r>
        <w:rPr>
          <w:rFonts w:ascii="Times New Roman" w:cs="Times New Roman" w:eastAsia="Times New Roman" w:hAnsi="Times New Roman"/>
          <w:sz w:val="12"/>
          <w:szCs w:val="12"/>
        </w:rPr>
        <w:t xml:space="preserve"/>
      </w:r>
    </w:p>
    <w:p>
      <w:pPr>
        <w:spacing w:after="0" w:line="48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Los valores constituyen criterios de diseño preliminares; los definitivos se establecerán en la ingeniería de detalle a partir del levantamiento de la cubierta y de las hojas técnicas de los equipos seleccionados.</w:t>
      </w:r>
    </w:p>
    <w:p>
      <w:pPr>
        <w:spacing w:line="480"/>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b/>
          <w:bCs/>
          <w:sz w:val="24"/>
          <w:szCs w:val="24"/>
        </w:rPr>
        <w:t xml:space="preserve">Figura 3</w:t>
      </w:r>
    </w:p>
    <w:p>
      <w:pPr>
        <w:spacing w:after="0" w:line="480"/>
        <w:jc w:val="left"/>
      </w:pPr>
      <w:r>
        <w:rPr>
          <w:rFonts w:ascii="Times New Roman" w:cs="Times New Roman" w:eastAsia="Times New Roman" w:hAnsi="Times New Roman"/>
          <w:i/>
          <w:iCs/>
          <w:sz w:val="24"/>
          <w:szCs w:val="24"/>
        </w:rPr>
        <w:t xml:space="preserve">Diagrama unifilar del sistema propuesto</w:t>
      </w:r>
    </w:p>
    <w:p>
      <w:pPr>
        <w:spacing w:line="240"/>
      </w:pPr>
      <w:r>
        <w:rPr>
          <w:rFonts w:ascii="Times New Roman" w:cs="Times New Roman" w:eastAsia="Times New Roman" w:hAnsi="Times New Roman"/>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rHeight w:val="2600" w:hRule="atLeast"/>
        </w:trPr>
        <w:tc>
          <w:tcPr>
            <w:tcW w:type="dxa" w:w="9360"/>
            <w:tcBorders>
              <w:top w:val="dashed" w:color="9A9A9A" w:sz="4"/>
              <w:left w:val="dashed" w:color="9A9A9A" w:sz="4"/>
              <w:bottom w:val="dashed" w:color="9A9A9A" w:sz="4"/>
              <w:right w:val="dashed" w:color="9A9A9A" w:sz="4"/>
            </w:tcBorders>
            <w:shd w:fill="F7F7F7" w:color="auto" w:val="clear"/>
            <w:vAlign w:val="center"/>
          </w:tcPr>
          <w:p>
            <w:pPr>
              <w:spacing w:line="240"/>
              <w:jc w:val="center"/>
            </w:pPr>
            <w:r>
              <w:rPr>
                <w:rFonts w:ascii="Times New Roman" w:cs="Times New Roman" w:eastAsia="Times New Roman" w:hAnsi="Times New Roman"/>
                <w:i/>
                <w:iCs/>
                <w:color w:val="777777"/>
                <w:sz w:val="20"/>
                <w:szCs w:val="20"/>
              </w:rPr>
              <w:t xml:space="preserve">[Insertar aquí el diagrama unifilar]</w:t>
            </w:r>
          </w:p>
        </w:tc>
      </w:tr>
    </w:tbl>
    <w:p>
      <w:pPr>
        <w:spacing w:line="240"/>
      </w:pPr>
      <w:r>
        <w:rPr>
          <w:rFonts w:ascii="Times New Roman" w:cs="Times New Roman" w:eastAsia="Times New Roman" w:hAnsi="Times New Roman"/>
          <w:sz w:val="12"/>
          <w:szCs w:val="12"/>
        </w:rPr>
        <w:t xml:space="preserve"/>
      </w:r>
    </w:p>
    <w:p>
      <w:pPr>
        <w:spacing w:after="0" w:line="48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Elaboración propia. Esquema simplificado; el diseño definitivo debe cumplir con el RETIE y la NTC 2050.</w:t>
      </w:r>
    </w:p>
    <w:p>
      <w:pPr>
        <w:spacing w:line="480"/>
      </w:pPr>
      <w:r>
        <w:rPr>
          <w:rFonts w:ascii="Times New Roman" w:cs="Times New Roman" w:eastAsia="Times New Roman" w:hAnsi="Times New Roman"/>
          <w:sz w:val="24"/>
          <w:szCs w:val="24"/>
        </w:rPr>
        <w:t xml:space="preserve"/>
      </w:r>
    </w:p>
    <w:p>
      <w:pPr>
        <w:pStyle w:val="Heading3"/>
        <w:spacing w:after="0" w:before="240" w:line="480"/>
      </w:pPr>
      <w:r>
        <w:rPr>
          <w:rFonts w:ascii="Times New Roman" w:cs="Times New Roman" w:eastAsia="Times New Roman" w:hAnsi="Times New Roman"/>
          <w:b/>
          <w:bCs/>
          <w:i/>
          <w:iCs/>
          <w:color w:val="000000"/>
          <w:sz w:val="24"/>
          <w:szCs w:val="24"/>
        </w:rPr>
        <w:t xml:space="preserve">6.3.4.9 Contraste con una instalación de referencia en la región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Con el propósito de contrastar el diseño propuesto con una instalación efectivamente construida en la región, se incorpora como referencia el proyecto fotovoltaico de KOS Colombia, ubicado en el municipio de Yumbo, a pocos kilómetros de Cali. Se trata de un sistema conectado a la red de 746,48 kilovatios pico montado sobre cubierta industrial, de una escala considerablemente mayor a la aquí propuesta pero con una arquitectura eléctrica equivalente. Su documentación técnica permite verificar que las decisiones de diseño adoptadas en este trabajo —configuración on-grid, protecciones en corriente continua y alterna, medición en el punto de interconexión y cumplimiento del RETIE y de la NTC 2050— corresponden a la práctica vigente en el sector.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diagrama unifilar sintetiza, mediante una sola línea, el recorrido de la energía desde los arreglos de módulos hasta el punto de interconexión con la red. La Figura 4 reproduce el del proyecto de referencia, donde se aprecian los tableros de corriente continua con sus protecciones, la agrupación de cadenas por inversor, el paso a corriente alterna y la conexión al sistema del operador de red. La propuesta para EcoVasos del Valle S.A.S. replica ese mismo esquema a menor escala, con dos o tres inversores en lugar de cinco.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comparación tiene alcance limitado y conviene precisarlo. El proyecto de Yumbo opera en un rango de potencia que lo sitúa en una categoría regulatoria distinta y que justifica soluciones que aquí serían desproporcionadas, entre ellas la subdivisión del arreglo en cinco unidades de conversión y el volumen de tableros de agrupación asociado. Lo que se toma de él no es el dimensionamiento sino la arquitectura: la topología de conexión, la ubicación relativa de las protecciones y la manera de resolver la interfaz con el operador de red. Esa arquitectura es independiente de la escala y es la que respalda el planteamiento de este capítulo. La diferencia de tamaño se traduce, en el caso de EcoVasos del Valle S.A.S., en un menor número de cadenas por inversor y en la posibilidad de integrar las protecciones de continua dentro del propio equipo de conversión, sin tableros de agrupación independientes.</w:t>
      </w:r>
    </w:p>
    <w:p>
      <w:pPr>
        <w:spacing w:line="480"/>
      </w:pPr>
      <w:r>
        <w:rPr>
          <w:rFonts w:ascii="Times New Roman" w:cs="Times New Roman" w:eastAsia="Times New Roman" w:hAnsi="Times New Roman"/>
          <w:sz w:val="24"/>
          <w:szCs w:val="24"/>
        </w:rPr>
        <w:t xml:space="preserve"/>
      </w:r>
    </w:p>
    <w:p>
      <w:pPr>
        <w:spacing w:after="0" w:line="480"/>
        <w:jc w:val="left"/>
      </w:pPr>
      <w:r>
        <w:rPr>
          <w:rFonts w:ascii="Times New Roman" w:cs="Times New Roman" w:eastAsia="Times New Roman" w:hAnsi="Times New Roman"/>
          <w:b/>
          <w:bCs/>
          <w:sz w:val="24"/>
          <w:szCs w:val="24"/>
        </w:rPr>
        <w:t xml:space="preserve">Figura 4</w:t>
      </w:r>
    </w:p>
    <w:p>
      <w:pPr>
        <w:spacing w:after="0" w:line="480"/>
        <w:jc w:val="left"/>
      </w:pPr>
      <w:r>
        <w:rPr>
          <w:rFonts w:ascii="Times New Roman" w:cs="Times New Roman" w:eastAsia="Times New Roman" w:hAnsi="Times New Roman"/>
          <w:i/>
          <w:iCs/>
          <w:sz w:val="24"/>
          <w:szCs w:val="24"/>
        </w:rPr>
        <w:t xml:space="preserve">Diagrama unifilar del proyecto de referencia (KOS Colombia, Yumbo, 746,48 kWp)</w:t>
      </w:r>
    </w:p>
    <w:p>
      <w:pPr>
        <w:spacing w:line="240"/>
      </w:pPr>
      <w:r>
        <w:rPr>
          <w:rFonts w:ascii="Times New Roman" w:cs="Times New Roman" w:eastAsia="Times New Roman" w:hAnsi="Times New Roman"/>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trHeight w:val="2600" w:hRule="atLeast"/>
        </w:trPr>
        <w:tc>
          <w:tcPr>
            <w:tcW w:type="dxa" w:w="9360"/>
            <w:tcBorders>
              <w:top w:val="dashed" w:color="9A9A9A" w:sz="4"/>
              <w:left w:val="dashed" w:color="9A9A9A" w:sz="4"/>
              <w:bottom w:val="dashed" w:color="9A9A9A" w:sz="4"/>
              <w:right w:val="dashed" w:color="9A9A9A" w:sz="4"/>
            </w:tcBorders>
            <w:shd w:fill="F7F7F7" w:color="auto" w:val="clear"/>
            <w:vAlign w:val="center"/>
          </w:tcPr>
          <w:p>
            <w:pPr>
              <w:spacing w:line="240"/>
              <w:jc w:val="center"/>
            </w:pPr>
            <w:r>
              <w:rPr>
                <w:rFonts w:ascii="Times New Roman" w:cs="Times New Roman" w:eastAsia="Times New Roman" w:hAnsi="Times New Roman"/>
                <w:i/>
                <w:iCs/>
                <w:color w:val="777777"/>
                <w:sz w:val="20"/>
                <w:szCs w:val="20"/>
              </w:rPr>
              <w:t xml:space="preserve">[Insertar aquí el diagrama unifilar]</w:t>
            </w:r>
          </w:p>
        </w:tc>
      </w:tr>
    </w:tbl>
    <w:p>
      <w:pPr>
        <w:spacing w:line="240"/>
      </w:pPr>
      <w:r>
        <w:rPr>
          <w:rFonts w:ascii="Times New Roman" w:cs="Times New Roman" w:eastAsia="Times New Roman" w:hAnsi="Times New Roman"/>
          <w:sz w:val="12"/>
          <w:szCs w:val="12"/>
        </w:rPr>
        <w:t xml:space="preserve"/>
      </w:r>
    </w:p>
    <w:p>
      <w:pPr>
        <w:spacing w:after="0" w:line="48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4"/>
          <w:szCs w:val="24"/>
        </w:rPr>
        <w:t xml:space="preserve">Tomado de la documentación técnica del proyecto fotovoltaico de KOS Colombia. Se reproduce con fines de contraste metodológico.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6.3.4 Configuración y Disposición Física</dc:title>
  <dc:creator>EcoVasos del Valle S.A.S.</dc:creator>
  <cp:lastModifiedBy>Un-named</cp:lastModifiedBy>
  <cp:revision>1</cp:revision>
  <dcterms:created xsi:type="dcterms:W3CDTF">2026-08-26T01:01:23.869Z</dcterms:created>
  <dcterms:modified xsi:type="dcterms:W3CDTF">2026-08-26T01:01:23.869Z</dcterms:modified>
</cp:coreProperties>
</file>

<file path=docProps/custom.xml><?xml version="1.0" encoding="utf-8"?>
<Properties xmlns="http://schemas.openxmlformats.org/officeDocument/2006/custom-properties" xmlns:vt="http://schemas.openxmlformats.org/officeDocument/2006/docPropsVTypes"/>
</file>