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En Colombia, la violencia ligada al fútbol profesional cuesta vidas, lesiona la integridad de muchas personas y compromete a clubes y autoridades; es un problema jurídico, pero también social y económico. En este artículo estudiamos sus causas estructurales, la responsabilidad civil, penal, administrativa y disciplinaria de cada actor y qué tan eficaz ha sido el marco normativo. El estudio es cualitativo, de alcance descriptivo y analítico, y se apoya en revisión documental, análisis de tres casos, jurisprudencia y una comparación con Inglaterra, Argentina y Uruguay. Encontramos que el marco normativo es amplio, pero que falla justo donde más importa, en la identificación individual de los agresores, y eso ayuda a explicar por qué hay tantas muertes y tan pocas condenas. En lo civil separamos la responsabilidad contractual del organizador frente a quien compró la boleta de la extracontractual frente a terceros, y proponemos criterios para establecer cuándo la agresión de otro hincha lo exonera, mientras que la información pública disponible no permite verificar si el régimen disciplinario tiene efecto disuasorio. Concluimos que hay que identificar a los infractores, coordinar a las autoridades con los clubes y acompañar las sanciones con políticas sociales.</w:t>
      </w:r>
    </w:p>
    <w:p>
      <w:r>
        <w:t>In Colombia, violence linked to professional football costs lives, harms the physical integrity of many people and involves clubs and public authorities, which makes it a social and economic problem as well as a legal one. In this article we study its structural causes, the civil, criminal, administrative and disciplinary liability of each actor, and how effective the legal framework has been. The study is qualitative, descriptive and analytical, and draws on documentary review, three case analyses, case law and a comparison with England, Argentina and Uruguay. We found a broad legal framework that breaks down where it matters most: identifying offenders one by one. This gap helps to explain the distance between the number of deaths and the number of convictions. In civil matters we distinguish the organizer's contractual liability towards ticket holders from its non-contractual liability towards third parties, and we propose criteria to establish when an attack by another fan releases the organizer, while the publicly available information does not allow us to verify whether the disciplinary regime has a deterrent effect. We conclude that offenders need to be identified, that authorities and clubs need to coordinate, and that sanctions should be accompanied by social policies.</w:t>
      </w:r>
    </w:p>
    <w:p>
      <w:r>
        <w:t>La hipótesis es nuestra. Parte de la lectura sociológica de Dunning (1999), para quien la violencia en el fútbol tiene raíces sociales que la represión por sí sola no alcanza a remover, y de lo que muestran los países con mejores resultados, donde la identificación de los asistentes llegó acompañada de otras medidas (Revista Innovación Seguridad, 2019). En concreto, sostenemos que ninguna política exclusivamente punitiva reducirá de manera sostenible la violencia asociada al fútbol colombiano, una violencia que no se limita a los escenarios deportivos y alcanza sus alrededores, el transporte público y los trayectos de regreso. Para revertir esa tendencia, las medidas punitivas tendrían que combinarse con programas de inclusión y reinserción social para los jóvenes de las barras, con mecanismos tecnológicos de identificación de asistentes y con un compromiso verificable de clubes y entidades reguladoras. Esa hipótesis la contrastamos con la evidencia académica, con las fuentes oficiales disponibles y con la experiencia comparada.</w:t>
      </w:r>
    </w:p>
    <w:p>
      <w:r>
        <w:t>La segunda estrategia de análisis consiste en la lectura crítica de las investigaciones académicas que se han llevado a cabo sobre el objeto de estudio, con énfasis en aquellas que aportan evidencia empírica sobre las causas y sobre las formas que facilitan el fenómeno. Entre esos estudios, el de Castaño Pérez et al. (2014) tiene un peso especial para nosotros, porque se hizo en Colombia con una muestra amplia de 570 integrantes de las barras bravas del Atlético Nacional y del Deportivo Independiente Medellín (p. 82) y porque combina la medición psicológica con la lectura de los procesos sociales, lo que permite observar a la vez los factores individuales y los estructurales.</w:t>
      </w:r>
    </w:p>
    <w:p>
      <w:r>
        <w:t>La tercera estrategia consistió en estudiar tres casos de violencia en el fútbol y contrastarlos con providencias judiciales: el homicidio de un hincha en el marco del clásico caleño, la llegada del narcotráfico a una barra del América de Cali y la red que unió a miembros de una barra colombiana con una hinchada argentina. De cada caso registramos los actores, las fechas, los hechos y el estado del proceso que se conoce. Los elegimos porque estaban documentados en fuentes públicas verificables, porque las notas de prensa que los reportan son de 2020 y porque cada uno muestra un aspecto distinto del problema, desde la violencia entre hinchas rivales hasta la entrada de economías ilegales a una barra y el paso de esa criminalidad a otro país. También tuvimos en cuenta que pusieran a prueba regímenes de responsabilidad diferentes, que van de la responsabilidad penal individual a la persecución del crimen organizado y la cooperación internacional.</w:t>
      </w:r>
    </w:p>
    <w:p>
      <w:r>
        <w:t>Estos casos no representan al barrismo en su conjunto ni sirven para sacar conclusiones estadísticas; los usamos para ilustrar el análisis jurídico y ponerlo a prueba. A cada uno le planteamos tres preguntas: qué régimen de responsabilidad se activa, sobre quién recae y qué impide que se haga efectivo. Para responderlas leímos sentencias de la Corte Constitucional y de las Salas de Casación Penal y Civil de la Corte Suprema de Justicia, y revisamos cómo se reparte la responsabilidad entre hinchas, barras, clubes, Dimayor, Federación Colombiana de Fútbol, Policía Nacional, alcaldías y comisiones de seguridad.</w:t>
      </w:r>
    </w:p>
    <w:p>
      <w:r>
        <w:t>Lectura jurídica del caso 1. Lo primero que activan los hechos es la responsabilidad penal individual por homicidio. Imputarla exige individualizar a cada partícipe y probar su aporte concreto al resultado, como lo ha reiterado la Sala de Casación Penal al exigir la identificación del imputado, punto que retomamos más adelante (Corte Suprema de Justicia, Sala de Casación Penal, 2022). La sola pertenencia a la barra agresora no permite atribuirle a alguien la muerte, y en ese punto se detiene el caso, porque sin registros de ingreso ni videovigilancia útil la investigación depende de testigos que temen declarar.</w:t>
      </w:r>
    </w:p>
    <w:p>
      <w:r>
        <w:t>En lo civil, el caso marca un límite que desarrollamos en el apartado siguiente. Como la agresión ocurrió fuera del escenario, la víctima no estaba dentro del ámbito de ejecución del contrato de ingreso al espectáculo y no puede invocar el deber de seguridad contractual del organizador; tampoco es sencillo atribuir al club un daño causado en la vía pública por personas que no estaban bajo su control. La pregunta se traslada entonces al Estado, al que le corresponde de manera indelegable el orden público en el entorno de los partidos (Consejo de Estado, Sala de Consulta y Servicio Civil, 2025), y su eventual responsabilidad patrimonial por omisión, con base en el artículo 90 de la Constitución Política, dependería de probar que el riesgo era conocido y que el dispositivo policial fue insuficiente frente a él. El régimen disciplinario de la Dimayor aporta poco en hechos como este, pues se dirige al club y no al agresor y se ocupa de lo que ocurre en el escenario con ocasión del partido.</w:t>
      </w:r>
    </w:p>
    <w:p>
      <w:r>
        <w:t>En el papel, el marco normativo colombiano es amplio, aunque falla en su ejecución. La Constitución Política protege la vida, la integridad, la seguridad, la libre asociación y el derecho al deporte, y sobre esa base la Ley 1270 de 2009 creó la Comisión Nacional para la Seguridad, Comodidad y Convivencia en el Fútbol y las comisiones locales. Después, la Ley 1445 de 2011, modificada por la Ley 1453 del mismo año, fijó medidas contra la agresión, el daño a la infraestructura y las conductas contrarias a la convivencia. Y el Código Penal contiene tipos que permiten individualizar el homicidio, las lesiones personales, el daño en bien ajeno, las amenazas y el lanzamiento o ingreso de objetos peligrosos en escenarios deportivos (Congreso de Colombia, 2000, 2009, 2011a, 2011b).</w:t>
      </w:r>
    </w:p>
    <w:p>
      <w:r>
        <w:t>Con esos criterios en la mano se pueden separar varias situaciones. Pensemos primero en una agresión previsible, dado el nivel de riesgo del partido, que ocurrió porque el medio usado pasó una requisa deficiente o porque no se cumplió la separación de hinchadas. En ese supuesto el hecho del tercero no rompe el nexo causal, porque el daño es la realización del riesgo que el organizador debía controlar, lo que en el régimen contractual equivale a incumplir el deber de seguridad y en el extracontractual impide acreditar la causa extraña. La situación cambia si el organizador demuestra que clasificó y atendió el partido según su nivel de riesgo, que cumplió los protocolos de ingreso y vigilancia y que la agresión fue súbita e individual, cometida con un medio imposible de detectar; en ese caso el hecho del tercero puede operar como causa extraña, y en el régimen contractual esa misma prueba puede bastar para demostrar la diligencia exigible aunque no alcance a configurarla.</w:t>
      </w:r>
    </w:p>
    <w:p>
      <w:r>
        <w:t>Entre los dos extremos queda una zona gris en la que concurren la conducta del tercero y la falla del organizador. Allí la víctima puede demandar a ambos y, en el terreno extracontractual, invocar la solidaridad que el artículo 2344 del Código Civil establece entre quienes causan un mismo daño, sin perjuicio de la reducción prevista en el artículo 2357 si ella misma se expuso imprudentemente. El caso 1 muestra el borde exterior de este análisis. Si el ataque ocurre en la vía pública, fuera del perímetro de control del organizador y sin relación contractual de por medio, la pregunta se traslada al deber de la Policía Nacional de garantizar el orden público alrededor del partido.</w:t>
      </w:r>
    </w:p>
    <w:p>
      <w:r>
        <w:t>El segundo efecto cuesta más medirlo y probablemente sale más caro: la gente deja de ir al estadio por voluntad propia. Es de esperar que el miedo a la inseguridad pese en esa decisión junto con otros factores, como el horario o la calidad del juego, y el resultado son tribunas a medio llenar aunque el interés por el fútbol se mantenga, porque algunos aficionados, sobre todo las familias y las personas mayores, prefieren ver los partidos por televisión. El tercer efecto recae sobre los patrocinadores y los derechos de televisión, dos fuentes de ingreso de las que depende buena parte de la estabilidad financiera de los clubes. Un contrato de patrocinio puede incluir cláusulas de protección de imagen que reducen o cancelan el aporte si el club es sancionado o aparece en los medios por incidentes violentos, y los operadores de televisión pueden llevar la imagen de seguridad del torneo a la negociación de los costos, ya que un fútbol violento se vende más barato en el mercado audiovisual que uno que se percibe apto para la familia.</w:t>
      </w:r>
    </w:p>
    <w:p>
      <w:r>
        <w:t>El último efecto recae sobre la economía urbana de las ciudades sede. Alrededor del estadio viven del consumo comerciantes, restaurantes, transportadores y proveedores; si la violencia baja la asistencia o cambia el horario del partido, ellos pierden ingresos, y esa pérdida no figura en el balance de ningún club. No la cuantificamos en este trabajo, pero es razonable pensar que el daño agregado a la economía local sea mayor que el que soportan directamente los clubes.</w:t>
      </w:r>
    </w:p>
    <w:p>
      <w:r>
        <w:t>En Inglaterra todo cambió con Hillsborough. El 15 de abril de 1989, en la semifinal de la FA Cup entre el Liverpool y el Nottingham Forest, murieron 97 personas. El Gobierno encargó un informe independiente, el Informe Taylor (1990), que atribuyó la tragedia principalmente a una falla en el control policial y recomendó reconvertir los estadios de primera y segunda división, quitando las zonas de pie para poner asientos individuales. A mediados de los noventa la reforma se había completado y los vallados perimetrales ya no existían, y sobre esa base se aplicaron las football banning orders de la Football Spectators Act de 1989, que impiden el ingreso al estadio de quienes están vinculados a hechos violentos (Reino Unido, 1989). Los datos oficiales del Ministerio del Interior británico permiten medir el cambio: entre las temporadas 2010-2011 y 2018-2019 las detenciones relacionadas con el fútbol bajaron cerca de un 55 %, y en la temporada 2024-2025 la tasa fue de 4,2 detenciones por cada 100.000 asistentes (Home Office, 2025).</w:t>
      </w:r>
    </w:p>
    <w:p>
      <w:r>
        <w:t>La jurisprudencia apunta en la misma dirección. Según la Sentencia C-065 de 2021, las barras no pueden quedar por fuera del diálogo entre entidades, aunque tampoco pueden ocupar el lugar de las autoridades. En materia penal, la Corte Suprema exige prueba concreta del hecho y un autor debidamente identificado para imponer una sanción, y advierte que el incidente colectivo no puede confundirse con la conducta individual. En materia civil, el asistente con boleta cuenta con una acción contractual basada en el deber de seguridad del organizador, mientras que los terceros ajenos al contrato acuden a la vía extracontractual, reforzada por la figura de la actividad peligrosa; en ambos casos, la agresión de otro hincha solo exonera al organizador cuando, según las circunstancias de la Tabla 1, resulta imprevisible, irresistible y ajena a su esfera de control. Una buena política pública tendría que juntar, como mínimo, estos tres planos con la prevención social.</w:t>
      </w:r>
    </w:p>
    <w:p>
      <w:r>
        <w:t>Llegamos a seis conclusiones. En cada una separamos tres cosas. Primero, lo que el trabajo demostró con las fuentes, los casos y la jurisprudencia. Luego, cómo lo interpretamos jurídicamente. Y por último, lo que proponemos para cambiar o reforzar el régimen, que no se deduce necesariamente de la evidencia y debe leerse como recomendación.</w:t>
      </w:r>
    </w:p>
    <w:p>
      <w:r>
        <w:t>En cuanto a la hipótesis planteada en la introducción, los resultados van en la misma dirección, porque ninguno de los países comparados redujo la violencia solo con castigo y en Colombia la existencia de normas sancionatorias no se ha traducido en condenas proporcionales a los hechos ni en la identificación sistemática de los agresores. Con todo, un estudio documental y comparado como este no alcanza a demostrarla en sentido estricto, de modo que la presentamos como una tesis apoyada en la evidencia revisada.</w:t>
      </w:r>
    </w:p>
    <w:p>
      <w:r>
        <w:t>01. Sobre las causas del fenómeno. Lo demostrado. Las fuentes revisadas coinciden en que detrás de la violencia en el fútbol colombiano hay factores ajenos al deporte. Según Clavijo (2004), las barras integran a jóvenes que no encuentran reconocimiento en otros espacios, y Pécaut (2001) relaciona la violencia colombiana con la presencia fragmentada del Estado. En Medellín, Castaño Pérez et al. (2014) estudiaron una muestra de 570 integrantes de barras y hallaron una asociación estadísticamente significativa entre el consumo de sustancias y la agresividad física.</w:t>
      </w:r>
    </w:p>
    <w:p>
      <w:r>
        <w:t>Interpretación de los autores. Leemos en esos hallazgos un fenómeno estructural, ligado a la desigualdad, a la falta de oportunidades para muchos jóvenes y a la normalización de la violencia, con la advertencia de que la asociación entre consumo y agresividad no prueba por sí sola una relación causal.</w:t>
      </w:r>
    </w:p>
    <w:p>
      <w:r>
        <w:t>Propuesta. La política pública debería incluir programas sociales y de reducción del consumo dirigidos a los jóvenes de las barras, pues sin ellos es probable que las medidas punitivas consigan, a lo sumo, logros aislados.</w:t>
      </w:r>
    </w:p>
    <w:p>
      <w:r>
        <w:t>02. Sobre el marco normativo y la persecución penal. Lo demostrado. Colombia tiene muchas normas sobre el tema. Están la Ley 1270 de 2009, las Leyes 1445 y 1453 de 2011, el Código Penal, el Código Nacional de Seguridad y Convivencia Ciudadana y el régimen disciplinario del fútbol, además de una sentencia constitucional que fijó los límites de la participación de las barras (Sentencia C-065 de 2021). También quedó documentada la brecha entre muertes y condenas (Castro-Lozano, 2020). Los casos estudiados mostraron que la persecución penal tropieza sobre todo con la individualización de los autores, un requisito que la Sala de Casación Penal exige con rigor.</w:t>
      </w:r>
    </w:p>
    <w:p>
      <w:r>
        <w:t>Interpretación de los autores. El problema no parece ser la falta de normas, sino su aplicación sostenida, lectura que coincide con lo que plantea Pécaut (2001) sobre la debilidad institucional como causa de fondo de la violencia en Colombia.</w:t>
      </w:r>
    </w:p>
    <w:p>
      <w:r>
        <w:t>Propuesta. Más que leyes nuevas, hace falta que las vigentes se apliquen de forma coordinada, con recursos, con información confiable y con mecanismos para identificar uno a uno a los responsables.</w:t>
      </w:r>
    </w:p>
    <w:p>
      <w:r>
        <w:t>03. Sobre la responsabilidad civil de los organizadores. Lo demostrado. Las víctimas tienen dos caminos: quien compró boleta puede reclamar al organizador por la vía contractual cuando este falla en el deber de seguridad incluido en el contrato de espectáculo (artículos 1603 y 1604 del Código Civil), y el tercero sin contrato debe acudir a la vía extracontractual. Cuando el daño proviene de una actividad peligrosa, la Sala de Casación Civil (SC2905-2021 y SC2111-2021) no permite que el organizador se libere con la sola prueba de su diligencia.</w:t>
      </w:r>
    </w:p>
    <w:p>
      <w:r>
        <w:t>Interpretación de los autores. Frente a terceros, la organización de un partido masivo puede tratarse como actividad peligrosa, mientras que frente al asistente el deber de seguridad es una obligación de medios, aunque reforzada. En ambos casos, la agresión de otro hincha solo libera al organizador si fue imprevisible, irresistible y ajena a su control, algo que se establece mirando si el hecho se podía prever y evitar, qué medidas y protocolos se adoptaron, cómo funcionó la vigilancia y en qué condiciones ocurrió el daño.</w:t>
      </w:r>
    </w:p>
    <w:p>
      <w:r>
        <w:t>Propuesta. Sería útil que la reglamentación de los planes de seguridad fijara mínimos de requisa, de separación de hinchadas y de vigilancia según el riesgo de cada partido. Así los jueces tendrían reglas más claras para juzgar si el organizador fue diligente.</w:t>
      </w:r>
    </w:p>
    <w:p>
      <w:r>
        <w:t>04. Sobre la identificación de asistentes. Lo demostrado. Los países comparados muestran resultados que se pueden verificar, resumidos en la Tabla 3. En Uruguay bajaron las detenciones después de instalar el reconocimiento facial. En Argentina se capturó a prófugos y se excluyó de los estadios a personas concretas por vía administrativa. En Colombia la carnetización de 2017 nunca funcionó, porque faltaron lectores en los estadios, coordinación con las alcaldías y aceptación de los hinchas. Hoy la verificación de identidad en las puertas solo se ensaya en pilotos. Y el caso 1 mostró que esa falta es uno de los obstáculos para saber quiénes fueron los agresores.</w:t>
      </w:r>
    </w:p>
    <w:p>
      <w:r>
        <w:t>Interpretación de los autores. Con estos datos no se puede separar el efecto de la identificación del de otros factores. Aun así, es la medida cuyos resultados se ven más directamente. Lo que pasó con la carnetización sugiere que en Colombia los problemas han sido más de instituciones que de tecnología. Que también sean políticos es una hipótesis nuestra, no algo demostrado.</w:t>
      </w:r>
    </w:p>
    <w:p>
      <w:r>
        <w:t>Propuesta. Poner en marcha un sistema de identificación de asistentes que proteja los datos personales y sea proporcional, teniendo en cuenta las dudas que deja la decisión argentina de extender la restricción de entrada a los deudores de alimentos.</w:t>
      </w:r>
    </w:p>
    <w:p>
      <w:r>
        <w:t>05. Sobre el régimen disciplinario. Lo demostrado. La Dimayor sanciona a los clubes caso por caso y en resoluciones separadas. En las que revisamos, las multas van de ocho a diez salarios mínimos por resolución (la Resolución 095 de 2024, por ejemplo, impuso diez) y también se ordenan cierres parciales o totales de tribuna (División Mayor del Fútbol Colombiano, 2024), pero no existe un consolidado oficial de esas sanciones ni un registro público de la reincidencia de cada club.</w:t>
      </w:r>
    </w:p>
    <w:p>
      <w:r>
        <w:t>Interpretación de los autores. Con esa información no podemos afirmar si el régimen disuade o no, porque la repetición de conductas sancionadas no prueba por sí sola que la sanción sea inútil. Lo que sí advertimos es que cada multa parece pequeña frente al tamaño del problema, lo cual justifica revisar su diseño, aunque el trabajo no permite concluir que el régimen esté mal calibrado.</w:t>
      </w:r>
    </w:p>
    <w:p>
      <w:r>
        <w:t>Propuesta. Para que esa evaluación sea posible, la Dimayor y la Federación Colombiana de Fútbol deberían publicar datos consolidados de sanciones y reincidencia. Si los datos muestran que las multas no disuaden, se podría pensar en sanciones que suban con la reincidencia, siempre con debido proceso, doble instancia y el control judicial que la Corte Constitucional exige también a los reguladores privados (Corte Constitucional, 2022, 2023).</w:t>
      </w:r>
    </w:p>
    <w:p>
      <w:r>
        <w:t>06. Sobre la transformación cultural. Lo demostrado. En Inglaterra la violencia bajó cuando coincidieron varias cosas. Los estadios se transformaron después del Informe Taylor (1990). Entró a operar el régimen de prohibiciones de ingreso de la Football Spectators Act (Reino Unido, 1989). Y, según Dunning (1999), cambió la cultura de las gradas. Las cifras del Home Office (2025) muestran además que las detenciones ligadas al fútbol cayeron en la última década.</w:t>
      </w:r>
    </w:p>
    <w:p>
      <w:r>
        <w:t>Interpretación de los autores. Estamos de acuerdo con Dunning en que el cambio cultural pesó tanto como las normas y la tecnología. Cuánto pesó cada cosa, eso sí, no se puede medir con las fuentes que revisamos.</w:t>
      </w:r>
    </w:p>
    <w:p>
      <w:r>
        <w:t>Propuesta. Las medidas de control deben ir de la mano de programas serios de educación y convivencia. Hay que hablar directamente con las barras, en sus propios términos, dentro del espacio de participación que abrió la Sentencia C-065 de 2021 y con los filtros que sugiere el caso 2. Y hace falta que jugadores, técnicos y directivos den la cara. En Colombia el fútbol mueve una cultura enorme. La violencia que lo rodea es, en buena parte, lo que pagamos por no cuidar esa cultura con el mismo celo con que el país dice proteger otras cosas que considera importantes.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