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Normas no faltan, desde la Ley 1270 de 2009 y la Ley 1445 de 2011 hasta el Código Penal, pero la persecución se estrella con la identificación de los agresores, y por eso hay tantas muertes y tan pocas condenas. En lo civil, el organizador responde por contrato a quien compró la boleta y por fuera del contrato a los terceros, y para ambos casos proponemos criterios que permitan decidir cuándo la agresión de otro hincha lo exonera. Con la información pública disponible no fue posible verificar si las sanciones de la Dimayor disuaden. Concluimos que hay que identificar a los infractores, coordinar a las autoridades con los clubes y acompañar las sanciones con políticas sociales.</w:t>
      </w:r>
    </w:p>
    <w:p>
      <w:r>
        <w:t>La hipótesis es nuestra.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Nuestra apuesta es que ninguna política exclusivamente punitiva va a bajar de manera sostenible esta violencia, que en Colombia no se queda en los estadios y aparece también en sus alrededores, en el transporte público y en los trayectos de regreso, como en el homicidio de Andrés Carvajal en Cali. Creemos que el castigo tiene que ir junto con programas de inclusión y reinserción para los jóvenes de las barras, con identificación tecnológica de los asistentes y con compromisos de clubes y entidades reguladoras que se puedan verificar. Esa hipótesis la contrastamos con la evidencia académica, con las fuentes oficiales disponibles y con la experiencia comparada.</w:t>
      </w:r>
    </w:p>
    <w:p>
      <w: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uno anotamos quiénes intervinieron, cuándo pasó, qué ocurrió y en qué va el proceso según lo publicado. El homicidio de Andrés Carvajal ocurrió en Cali en febrero de 2020; la red que operaba dentro del Barón Rojo Sur dejó cerca de una veintena de homicidios, y la red entre la barra del Atlético Nacional y la del club Laferrere llevó en 2018 a la detención de unos quince hinchas, hechos reportados por Caracol Radio (2020). Escogimos estos tres porque se pueden verificar en fuentes públicas y porque cada uno obliga a mirar un régimen de responsabilidad distinto: el penal individual en el primero, la persecución del crimen organizado en el segundo y la cooperación internacional en el tercero.</w:t>
      </w:r>
    </w:p>
    <w:p>
      <w:r>
        <w:t>Tres casos no son una muestra del barrismo colombiano, y no sacamos de ellos conclusiones estadísticas; los usamos para probar el análisis jurídico contra hechos reales. En cada uno nos preguntamos qué régimen de responsabilidad se activa, contra quién y qué impide que funcione. Las respuestas salen de sentencias de la Corte Constitucional, como la C-065 de 2021, y de las Salas de Casación Penal y Civil de la Corte Suprema de Justicia, como la SC2905-2021, y de revisar lo que le corresponde a cada actor: hinchas, barras, clubes, Dimayor, Federación Colombiana de Fútbol, Policía Nacional, alcaldías y comisiones de seguridad.</w:t>
      </w:r>
    </w:p>
    <w:p>
      <w:r>
        <w:t>En lo civil, el homicidio de Andrés Carvajal muestra un límite que retomamos en el apartado siguiente. Carvajal fue atacado fuera del estadio, así que no estaba ejecutando ningún contrato de ingreso al espectáculo y no se puede invocar a su favor el deber de seguridad contractual del organizador; cargarle al club un daño causado en la calle por personas que no controlaba también es difícil de sostener. Queda entonces el Estado, al que le corresponde de manera indelegable el orden público alrededor de los partidos (Consejo de Estado, Sala de Consulta y Servicio Civil, 2025). Una demanda por omisión con base en el artículo 90 de la Constitución Política tendría que probar que el riesgo era conocido y que el dispositivo policial desplegado para ese partido fue insuficiente. El régimen disciplinario de la Dimayor aporta poco en hechos como este, pues se dirige al club y no al agresor y se ocupa de lo que ocurre en el escenario con ocasión del partido.</w:t>
      </w:r>
    </w:p>
    <w:p>
      <w:r>
        <w:t>Lectura jurídica del caso 2. 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Por eso responde cada integrante del Barón Rojo Sur por lo que hizo dentro de la red, y no la barra. El caso también obliga a leer con cuidado la Sentencia C-065 de 2021, que reconoció a las barras como interlocutoras en las comisiones de seguridad pensando en organizaciones sociales de aficionados y no en grupos que usan la barra de fachada para traficar; esas comisiones necesitan filtros para no darles legitimidad. A los clubes el caso les plantea sobre todo un problema disciplinario y de reputación, más que civil. Si le dan a la barra boletas u otros beneficios, ese apoyo podría acabar financiando la estructura ilegal. No tenemos pruebas de que eso haya pasado en este caso, y por eso lo dejamos solo como un riesgo.</w:t>
      </w:r>
    </w:p>
    <w:p>
      <w: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el caso del Barón Rojo Sur, con cerca de una veintena de homicidios ligados al control del negocio, muestra que cuando la barra sirve de vehículo a economías ilegales las herramientas de convivencia y las sanciones disciplinarias no alcanzan, y la respuesta tiene que venir de la investigación criminal. De los tres casos solo contamos el estado procesal que documenta la fuente, sin dar por hechas condenas que no consten en registros verificables, y no los presentamos como retrato del barrismo: los escogimos por su utilidad para el análisis jurídico, y de ellos no se sigue que todos los integrantes de las barras cometan delitos.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r>
        <w:t>El asistente con boleta: responsabilidad contractual. 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El Decreto 1007 de 2012, que expidió el Estatuto del Aficionado al Fútbol, va en la misma línea (Presidencia de la República de Colombia, 2012). Si un asistente resulta herido en la tribuna por un objeto que pasó la requisa, por ejemplo, le basta la boleta para probar el contrato; lo que debe demostrar es que el daño ocurrió mientras se ejecutaba ese contrato, al entrar, al estar o al salir del estadio, que obedeció a una falla en la seguridad que el organizador tenía que garantizar y que hay un nexo causal entre esa falla y el daño.</w:t>
      </w:r>
    </w:p>
    <w:p>
      <w: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En el fútbol profesional, esa regla sirve para los terceros sin contrato con el club, como el vecino al que se le daña la casa o el peatón al que le cae un objeto lanzado desde la tribuna. Al asistente que compró boleta, en cambio, lo cobija el contrato, y ahí la prueba de la diligencia conserva el papel que el artículo 2356 le quita. Los dos regímenes comparten un problema práctico, porque en los estadios el daño más frecuente lo causa otro hincha, y hay que definir cuándo esa agresión rompe el nexo entre el daño y la organización del partido. La responsabilidad penal es otro asunto y no se deriva de lo anterior: el organizador no se vuelve autor de lo que haga un hincha.</w:t>
      </w:r>
    </w:p>
    <w:p>
      <w: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Otra cosa ocurre cuando el organizador logra probar que clasificó el partido según su riesgo y lo atendió en consecuencia, que cumplió los protocolos de ingreso y vigilancia y que la agresión fue súbita, individual y hecha con un medio imposible de detectar. Ahí el hecho del tercero sí puede funcionar como causa extraña, y si el reclamo es contractual, esa misma prueba puede bastar para mostrar la diligencia exigible aunque no alcance para la causa extraña.</w:t>
      </w:r>
    </w:p>
    <w:p>
      <w:r>
        <w:t>Entre esos dos extremos hay casos mixtos, en los que el tercero agrede, pero el organizador también falló, por ejemplo con una requisa mal hecha. La víctima puede demandar a los dos, y por la vía extracontractual el artículo 2344 del Código Civil los hace solidarios por el mismo daño; si ella misma se expuso imprudentemente, el artículo 2357 permite reducir la indemnización. El homicidio de Andrés Carvajal queda por fuera de todos estos supuestos, porque ocurrió en la vía pública, lejos del perímetro que controla el organizador y sin contrato de por medio, y ahí lo que hay que examinar es si la Policía Nacional cumplió su deber de garantizar el orden público alrededor del partido.</w:t>
      </w:r>
    </w:p>
    <w:p>
      <w:r>
        <w:t>La Dimayor y la Federación Colombiana de Fútbol también tienen deberes jurídicos, que les vienen de su condición de reguladores privados del fútbol profesional. Sus decisiones disciplinarias sobre clubes, jugadores o asistentes tienen que respetar el debido proceso, estar motivadas, ser proporcionales y razonables y admitir doble instancia. En la Sentencia SU-386 de 2023, que se ocupó del deber de inspección y vigilancia del Ministerio del Deporte y del acceso a la justicia de los futbolistas, la Corte Constitucional dejó una regla que nos sirve: la autonomía deportiva y asociativa no impide el control constitucional cuando una organización privada del fútbol toma decisiones que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toca a patrocinadores y derechos de televisión, de los que depende buena parte de las finanzas de los clubes. Un patrocinador puede tener en su contrato cláusulas de protección de imagen que le permiten reducir o cancelar el aporte si el club es sancionado (el Junior, por ejemplo, fue multado mediante la Resolución 095 de 2024) o si sale en las noticias por hechos violentos. Y un operador de televisión puede usar la imagen de inseguridad del torneo para negociar a la baja, porque un fútbol violento vale menos en el mercado audiovisual que uno que la familia puede ver tranquila.</w:t>
      </w:r>
    </w:p>
    <w:p>
      <w:r>
        <w:t>El último efecto lo sufre la economía de las ciudades sede. Comerciantes, restaurantes, transportadores y proveedores que viven de los partidos pierden ingresos cada vez que la violencia vacía las tribunas o mueve el horario de un encuentro, y esa pérdida no aparece en el balance de ningún club. En este trabajo no la medimos; creemos, sin embargo, que el daño a la economía local puede ser mayor que el que soportan directamente los clubes.</w:t>
      </w:r>
    </w:p>
    <w:p>
      <w:r>
        <w:t>La jurisprudencia apunta en la misma dirección. Según la Sentencia C-065 de 2021, las barras no pueden quedar por fuera del diálogo entre entidades, aunque tampoco pueden ocupar el lugar de las autoridades. En lo penal, la Sala de Casación Penal pide prueba concreta del hecho y un autor identificado, y no acepta que el incidente colectivo reemplace la conducta individual (Corte Suprema de Justicia, Sala de Casación Penal, 2022). En lo civil, quien tiene boleta demanda por contrato con base en el deber de seguridad, y el tercero demanda por fuera del contrato con apoyo en la actividad peligrosa; para los dos, la agresión de otro hincha solo exonera al organizador si, revisadas las circunstancias de la Tabla 1, fue imprevisible, irresistible y ajena a su control. Una buena política pública tendría que juntar, como mínimo, estos tres planos con la prevención social.</w:t>
      </w:r>
    </w:p>
    <w:p>
      <w: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Un estudio documental y comparado como este no alcanza, sin embargo, para demostrarla en sentido estricto, y por eso la dejamos planteada como una tesis que los datos revisados apoyan.</w:t>
      </w:r>
    </w:p>
    <w:p>
      <w:r>
        <w:t>01. Sobre las causas del fenómeno. Lo demostrado. La violencia en el fútbol colombiano tiene causas que no son deportivas. Clavijo (2004) encontró que las barras acogen a jóvenes que no hallan reconocimiento en otros espacios, y Pécaut (2001) vincula la violencia del país con una presencia fragmentada del Estado. En Medellín, Castaño Pérez et al. (2014) estudiaron una muestra de 570 integrantes de barras y hallaron una asociación estadísticamente significativa entre el consumo de sustancias y la agresividad física.</w:t>
      </w:r>
    </w:p>
    <w:p>
      <w:r>
        <w:t>03. Sobre la responsabilidad civil de los organizadores. Lo demostrado. 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Y si el daño viene de una actividad peligrosa, las sentencias SC2905-2021 y SC2111-2021 de la Sala de Casación Civil impiden que el organizador se libere probando solamente que fue diligente.</w:t>
      </w:r>
    </w:p>
    <w:p>
      <w:r>
        <w:t>Interpretación de los autores. Creemos que ante terceros un partido masivo puede tratarse como actividad peligrosa, y que ante el asistente el deber de seguridad sigue siendo de medios, aunque reforzado. La agresión de otro hincha libera al organizador solo si fue imprevisible, irresistible y ajena a su control, y eso se decide con los hechos de cada partido: si se podía prever y evitar, qué protocolos se aplicaron, cómo se vigiló y dónde y cuándo ocurrió el daño.</w:t>
      </w:r>
    </w:p>
    <w:p>
      <w:r>
        <w:t>05. Sobre el régimen disciplinario. Lo demostrado. Cada sanción de la Dimayor a un club sale en una resolución aparte. En las resoluciones que revisamos las multas fueron de ocho a diez salarios mínimos (la Resolución 095 de 2024 le impuso diez al Junior) y hubo cierres parciales o totales de tribuna (División Mayor del Fútbol Colombiano, 2024). No encontramos un consolidado oficial de esas sanciones ni un registro público de reincidencia por club.</w:t>
      </w:r>
    </w:p>
    <w:p>
      <w:r>
        <w:t>Interpretación de los autores. Con esos datos no sabemos si el régimen disuade: que un club vuelva a ser sancionado no prueba que la multa no sirva, porque puede deberse a cuántos partidos de alto riesgo juega o al tamaño de su hinchada. Sí nos parece que una multa de trece millones de pesos, como la impuesta al Junior en 2024, es pequeña frente al problema, y que eso justifica revisar el diseño de las sanciones, aunque no alcanza para concluir que el régimen esté mal calibrado.</w:t>
      </w:r>
    </w:p>
    <w:p>
      <w:r>
        <w:t>Propuesta. La Dimayor y la Federación Colombiana de Fútbol deberían publicar un consolidado de sanciones y de reincidencia por club, que hoy no existe y sin el cual esa evaluación no se puede hacer.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