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GUÍA DE DILIGENCIAMIENTO DE FORMULARIOS Y LIQUIDACIÓN DE DERECHOS DE REGISTRO</w:t>
      </w:r>
    </w:p>
    <w:p>
      <w:pPr>
        <w:spacing w:after="280"/>
        <w:jc w:val="center"/>
      </w:pPr>
      <w:r>
        <w:rPr>
          <w:rFonts w:ascii="Times New Roman" w:hAnsi="Times New Roman"/>
          <w:b/>
          <w:i w:val="0"/>
          <w:sz w:val="24"/>
          <w:u w:val="none"/>
        </w:rPr>
        <w:t>Constitución de NOVA BIENESTAR INTEGRAL S.A.S. ante la Cámara de Comercio de Medellín para Antioquia</w:t>
      </w:r>
    </w:p>
    <w:p>
      <w:r>
        <w:rPr>
          <w:rFonts w:ascii="Times New Roman" w:hAnsi="Times New Roman"/>
          <w:b w:val="0"/>
          <w:i w:val="0"/>
          <w:u w:val="none"/>
        </w:rPr>
        <w:t xml:space="preserve">Este documento reúne, en un solo instrumento de trabajo, </w:t>
      </w:r>
      <w:r>
        <w:rPr>
          <w:rFonts w:ascii="Times New Roman" w:hAnsi="Times New Roman"/>
          <w:b/>
          <w:i w:val="0"/>
          <w:u w:val="none"/>
        </w:rPr>
        <w:t>la totalidad de los formularios que deben diligenciarse</w:t>
      </w:r>
      <w:r>
        <w:rPr>
          <w:rFonts w:ascii="Times New Roman" w:hAnsi="Times New Roman"/>
          <w:b w:val="0"/>
          <w:i w:val="0"/>
          <w:u w:val="none"/>
        </w:rPr>
        <w:t xml:space="preserve"> para obtener la matrícula mercantil de la sociedad NOVA BIENESTAR INTEGRAL S.A.S. y de su establecimiento de comercio, con el valor concreto que debe consignarse en cada campo a partir del levantamiento de información, así como la </w:t>
      </w:r>
      <w:r>
        <w:rPr>
          <w:rFonts w:ascii="Times New Roman" w:hAnsi="Times New Roman"/>
          <w:b/>
          <w:i w:val="0"/>
          <w:u w:val="none"/>
        </w:rPr>
        <w:t>liquidación estimada de los derechos e impuestos</w:t>
      </w:r>
      <w:r>
        <w:rPr>
          <w:rFonts w:ascii="Times New Roman" w:hAnsi="Times New Roman"/>
          <w:b w:val="0"/>
          <w:i w:val="0"/>
          <w:u w:val="none"/>
        </w:rPr>
        <w:t xml:space="preserve"> que causa el trámite.</w:t>
      </w:r>
    </w:p>
    <w:p>
      <w:pPr>
        <w:spacing w:after="160"/>
        <w:ind w:left="680" w:right="567"/>
      </w:pPr>
      <w:r>
        <w:rPr>
          <w:rFonts w:ascii="Times New Roman" w:hAnsi="Times New Roman"/>
          <w:b w:val="0"/>
          <w:i/>
          <w:sz w:val="22"/>
          <w:u w:val="none"/>
        </w:rPr>
        <w:t xml:space="preserve">Advertencia metodológica: la numeración de casillas de los formularios (en especial la del formulario 001 de la DIAN y la del formulario RUES) es modificada periódicamente por la DIAN y por Confecámaras. Por esa razón, esta guía identifica cada campo </w:t>
      </w:r>
      <w:r>
        <w:rPr>
          <w:rFonts w:ascii="Times New Roman" w:hAnsi="Times New Roman"/>
          <w:b/>
          <w:i/>
          <w:sz w:val="22"/>
          <w:u w:val="none"/>
        </w:rPr>
        <w:t>por su nombre</w:t>
      </w:r>
      <w:r>
        <w:rPr>
          <w:rFonts w:ascii="Times New Roman" w:hAnsi="Times New Roman"/>
          <w:b w:val="0"/>
          <w:i/>
          <w:sz w:val="22"/>
          <w:u w:val="none"/>
        </w:rPr>
        <w:t xml:space="preserve">, no por su número de casilla, y debe contrastarse con la versión del formulario vigente al momento de la radicación. Los valores de los derechos se calculan con la </w:t>
      </w:r>
      <w:r>
        <w:rPr>
          <w:rFonts w:ascii="Times New Roman" w:hAnsi="Times New Roman"/>
          <w:b/>
          <w:i/>
          <w:sz w:val="22"/>
          <w:u w:val="none"/>
        </w:rPr>
        <w:t>Unidad de Valor Básico (UVB) de 2026, fijada en $12.110</w:t>
      </w:r>
      <w:r>
        <w:rPr>
          <w:rFonts w:ascii="Times New Roman" w:hAnsi="Times New Roman"/>
          <w:b w:val="0"/>
          <w:i/>
          <w:sz w:val="22"/>
          <w:u w:val="none"/>
        </w:rPr>
        <w:t xml:space="preserve"> por la Resolución 3488 del 31 de diciembre de 2025 del Ministerio de Hacienda y Crédito Público.</w:t>
      </w:r>
    </w:p>
    <w:p>
      <w:pPr>
        <w:keepNext/>
        <w:spacing w:before="320" w:after="160"/>
        <w:jc w:val="center"/>
      </w:pPr>
      <w:r>
        <w:rPr>
          <w:rFonts w:ascii="Times New Roman" w:hAnsi="Times New Roman"/>
          <w:b/>
          <w:i w:val="0"/>
          <w:sz w:val="24"/>
          <w:u w:val="none"/>
        </w:rPr>
        <w:t>1. RUTA DEL TRÁMITE Y ORDEN DE LOS FORMULARIOS</w:t>
      </w:r>
    </w:p>
    <w:p>
      <w:r>
        <w:rPr>
          <w:rFonts w:ascii="Times New Roman" w:hAnsi="Times New Roman"/>
          <w:b w:val="0"/>
          <w:i w:val="0"/>
          <w:u w:val="none"/>
        </w:rPr>
        <w:t>El orden en que se diligencian los formularios no es indiferente: el número del formulario del RUT alimenta el formulario adicional de registro con otras entidades, y la matrícula del establecimiento de comercio depende de la matrícula previa de la persona jurídica. La secuencia correcta es la siguiente:</w:t>
      </w:r>
    </w:p>
    <w:tbl>
      <w:tblPr>
        <w:tblStyle w:val="TableGrid"/>
        <w:tblW w:type="auto" w:w="0"/>
        <w:jc w:val="center"/>
        <w:tblLayout w:type="fixed"/>
        <w:tblLook w:firstColumn="1" w:firstRow="1" w:lastColumn="0" w:lastRow="0" w:noHBand="0" w:noVBand="1" w:val="04A0"/>
        <w:tblW w:w="9122" w:type="dxa"/>
        <w:tblLayout w:type="fixed"/>
      </w:tblPr>
      <w:tblGrid>
        <w:gridCol w:w="730"/>
        <w:gridCol w:w="2919"/>
        <w:gridCol w:w="5473"/>
      </w:tblGrid>
      <w:tr>
        <w:tc>
          <w:tcPr>
            <w:tcW w:type="dxa" w:w="730"/>
            <w:shd w:val="clear" w:color="auto" w:fill="D9D9D9"/>
          </w:tcPr>
          <w:p>
            <w:pPr>
              <w:spacing w:after="40" w:before="40" w:line="240" w:lineRule="auto"/>
              <w:jc w:val="center"/>
            </w:pPr>
            <w:r>
              <w:rPr>
                <w:rFonts w:ascii="Times New Roman" w:hAnsi="Times New Roman"/>
                <w:b/>
                <w:i w:val="0"/>
                <w:sz w:val="20"/>
                <w:u w:val="none"/>
              </w:rPr>
              <w:t>Paso</w:t>
            </w:r>
          </w:p>
        </w:tc>
        <w:tc>
          <w:tcPr>
            <w:tcW w:type="dxa" w:w="2919"/>
            <w:shd w:val="clear" w:color="auto" w:fill="D9D9D9"/>
          </w:tcPr>
          <w:p>
            <w:pPr>
              <w:spacing w:after="40" w:before="40" w:line="240" w:lineRule="auto"/>
              <w:jc w:val="center"/>
            </w:pPr>
            <w:r>
              <w:rPr>
                <w:rFonts w:ascii="Times New Roman" w:hAnsi="Times New Roman"/>
                <w:b/>
                <w:i w:val="0"/>
                <w:sz w:val="20"/>
                <w:u w:val="none"/>
              </w:rPr>
              <w:t>Actuación</w:t>
            </w:r>
          </w:p>
        </w:tc>
        <w:tc>
          <w:tcPr>
            <w:tcW w:type="dxa" w:w="5473"/>
            <w:shd w:val="clear" w:color="auto" w:fill="D9D9D9"/>
          </w:tcPr>
          <w:p>
            <w:pPr>
              <w:spacing w:after="40" w:before="40" w:line="240" w:lineRule="auto"/>
              <w:jc w:val="center"/>
            </w:pPr>
            <w:r>
              <w:rPr>
                <w:rFonts w:ascii="Times New Roman" w:hAnsi="Times New Roman"/>
                <w:b/>
                <w:i w:val="0"/>
                <w:sz w:val="20"/>
                <w:u w:val="none"/>
              </w:rPr>
              <w:t>Observación</w:t>
            </w:r>
          </w:p>
        </w:tc>
      </w:tr>
      <w:tr>
        <w:tc>
          <w:tcPr>
            <w:tcW w:type="dxa" w:w="730"/>
          </w:tcPr>
          <w:p>
            <w:pPr>
              <w:spacing w:after="40" w:before="40" w:line="240" w:lineRule="auto"/>
              <w:jc w:val="left"/>
            </w:pPr>
            <w:r>
              <w:rPr>
                <w:rFonts w:ascii="Times New Roman" w:hAnsi="Times New Roman"/>
                <w:b w:val="0"/>
                <w:i w:val="0"/>
                <w:sz w:val="20"/>
                <w:u w:val="none"/>
              </w:rPr>
              <w:t>1</w:t>
            </w:r>
          </w:p>
        </w:tc>
        <w:tc>
          <w:tcPr>
            <w:tcW w:type="dxa" w:w="2919"/>
          </w:tcPr>
          <w:p>
            <w:pPr>
              <w:spacing w:after="40" w:before="40" w:line="240" w:lineRule="auto"/>
              <w:jc w:val="left"/>
            </w:pPr>
            <w:r>
              <w:rPr>
                <w:rFonts w:ascii="Times New Roman" w:hAnsi="Times New Roman"/>
                <w:b w:val="0"/>
                <w:i w:val="0"/>
                <w:sz w:val="20"/>
                <w:u w:val="none"/>
              </w:rPr>
              <w:t>Consulta de homonimia del nombre en el RUES</w:t>
            </w:r>
          </w:p>
        </w:tc>
        <w:tc>
          <w:tcPr>
            <w:tcW w:type="dxa" w:w="5473"/>
          </w:tcPr>
          <w:p>
            <w:pPr>
              <w:spacing w:after="40" w:before="40" w:line="240" w:lineRule="auto"/>
              <w:jc w:val="left"/>
            </w:pPr>
            <w:r>
              <w:rPr>
                <w:rFonts w:ascii="Times New Roman" w:hAnsi="Times New Roman"/>
                <w:b w:val="0"/>
                <w:i w:val="0"/>
                <w:sz w:val="20"/>
                <w:u w:val="none"/>
              </w:rPr>
              <w:t>Verificar que la denominación "NOVA BIENESTAR INTEGRAL S.A.S." no esté registrada por otro comerciante en el país (artículo 35 del Código de Comercio). Se realiza gratuitamente en www.rues.org.co.</w:t>
            </w:r>
          </w:p>
        </w:tc>
      </w:tr>
      <w:tr>
        <w:tc>
          <w:tcPr>
            <w:tcW w:type="dxa" w:w="730"/>
          </w:tcPr>
          <w:p>
            <w:pPr>
              <w:spacing w:after="40" w:before="40" w:line="240" w:lineRule="auto"/>
              <w:jc w:val="left"/>
            </w:pPr>
            <w:r>
              <w:rPr>
                <w:rFonts w:ascii="Times New Roman" w:hAnsi="Times New Roman"/>
                <w:b w:val="0"/>
                <w:i w:val="0"/>
                <w:sz w:val="20"/>
                <w:u w:val="none"/>
              </w:rPr>
              <w:t>2</w:t>
            </w:r>
          </w:p>
        </w:tc>
        <w:tc>
          <w:tcPr>
            <w:tcW w:type="dxa" w:w="2919"/>
          </w:tcPr>
          <w:p>
            <w:pPr>
              <w:spacing w:after="40" w:before="40" w:line="240" w:lineRule="auto"/>
              <w:jc w:val="left"/>
            </w:pPr>
            <w:r>
              <w:rPr>
                <w:rFonts w:ascii="Times New Roman" w:hAnsi="Times New Roman"/>
                <w:b w:val="0"/>
                <w:i w:val="0"/>
                <w:sz w:val="20"/>
                <w:u w:val="none"/>
              </w:rPr>
              <w:t>Consulta de la clasificación por actividad económica (CIIU)</w:t>
            </w:r>
          </w:p>
        </w:tc>
        <w:tc>
          <w:tcPr>
            <w:tcW w:type="dxa" w:w="5473"/>
          </w:tcPr>
          <w:p>
            <w:pPr>
              <w:spacing w:after="40" w:before="40" w:line="240" w:lineRule="auto"/>
              <w:jc w:val="left"/>
            </w:pPr>
            <w:r>
              <w:rPr>
                <w:rFonts w:ascii="Times New Roman" w:hAnsi="Times New Roman"/>
                <w:b w:val="0"/>
                <w:i w:val="0"/>
                <w:sz w:val="20"/>
                <w:u w:val="none"/>
              </w:rPr>
              <w:t>Determinar los códigos CIIU Rev. 4 A.C. principal y secundarios.</w:t>
            </w:r>
          </w:p>
        </w:tc>
      </w:tr>
      <w:tr>
        <w:tc>
          <w:tcPr>
            <w:tcW w:type="dxa" w:w="730"/>
          </w:tcPr>
          <w:p>
            <w:pPr>
              <w:spacing w:after="40" w:before="40" w:line="240" w:lineRule="auto"/>
              <w:jc w:val="left"/>
            </w:pPr>
            <w:r>
              <w:rPr>
                <w:rFonts w:ascii="Times New Roman" w:hAnsi="Times New Roman"/>
                <w:b w:val="0"/>
                <w:i w:val="0"/>
                <w:sz w:val="20"/>
                <w:u w:val="none"/>
              </w:rPr>
              <w:t>3</w:t>
            </w:r>
          </w:p>
        </w:tc>
        <w:tc>
          <w:tcPr>
            <w:tcW w:type="dxa" w:w="2919"/>
          </w:tcPr>
          <w:p>
            <w:pPr>
              <w:spacing w:after="40" w:before="40" w:line="240" w:lineRule="auto"/>
              <w:jc w:val="left"/>
            </w:pPr>
            <w:r>
              <w:rPr>
                <w:rFonts w:ascii="Times New Roman" w:hAnsi="Times New Roman"/>
                <w:b w:val="0"/>
                <w:i w:val="0"/>
                <w:sz w:val="20"/>
                <w:u w:val="none"/>
              </w:rPr>
              <w:t>Consulta de uso del suelo</w:t>
            </w:r>
          </w:p>
        </w:tc>
        <w:tc>
          <w:tcPr>
            <w:tcW w:type="dxa" w:w="5473"/>
          </w:tcPr>
          <w:p>
            <w:pPr>
              <w:spacing w:after="40" w:before="40" w:line="240" w:lineRule="auto"/>
              <w:jc w:val="left"/>
            </w:pPr>
            <w:r>
              <w:rPr>
                <w:rFonts w:ascii="Times New Roman" w:hAnsi="Times New Roman"/>
                <w:b w:val="0"/>
                <w:i w:val="0"/>
                <w:sz w:val="20"/>
                <w:u w:val="none"/>
              </w:rPr>
              <w:t>Verificar ante la Curaduría o la Secretaría de Gestión y Control Territorial de Medellín que la dirección permita la actividad.</w:t>
            </w:r>
          </w:p>
        </w:tc>
      </w:tr>
      <w:tr>
        <w:tc>
          <w:tcPr>
            <w:tcW w:type="dxa" w:w="730"/>
          </w:tcPr>
          <w:p>
            <w:pPr>
              <w:spacing w:after="40" w:before="40" w:line="240" w:lineRule="auto"/>
              <w:jc w:val="left"/>
            </w:pPr>
            <w:r>
              <w:rPr>
                <w:rFonts w:ascii="Times New Roman" w:hAnsi="Times New Roman"/>
                <w:b w:val="0"/>
                <w:i w:val="0"/>
                <w:sz w:val="20"/>
                <w:u w:val="none"/>
              </w:rPr>
              <w:t>4</w:t>
            </w:r>
          </w:p>
        </w:tc>
        <w:tc>
          <w:tcPr>
            <w:tcW w:type="dxa" w:w="2919"/>
          </w:tcPr>
          <w:p>
            <w:pPr>
              <w:spacing w:after="40" w:before="40" w:line="240" w:lineRule="auto"/>
              <w:jc w:val="left"/>
            </w:pPr>
            <w:r>
              <w:rPr>
                <w:rFonts w:ascii="Times New Roman" w:hAnsi="Times New Roman"/>
                <w:b w:val="0"/>
                <w:i w:val="0"/>
                <w:sz w:val="20"/>
                <w:u w:val="none"/>
              </w:rPr>
              <w:t>Suscripción y autenticación del documento privado de constitución</w:t>
            </w:r>
          </w:p>
        </w:tc>
        <w:tc>
          <w:tcPr>
            <w:tcW w:type="dxa" w:w="5473"/>
          </w:tcPr>
          <w:p>
            <w:pPr>
              <w:spacing w:after="40" w:before="40" w:line="240" w:lineRule="auto"/>
              <w:jc w:val="left"/>
            </w:pPr>
            <w:r>
              <w:rPr>
                <w:rFonts w:ascii="Times New Roman" w:hAnsi="Times New Roman"/>
                <w:b w:val="0"/>
                <w:i w:val="0"/>
                <w:sz w:val="20"/>
                <w:u w:val="none"/>
              </w:rPr>
              <w:t>Presentación personal ante el secretario de la Cámara o reconocimiento ante notario (artículo 40 del Código de Comercio).</w:t>
            </w:r>
          </w:p>
        </w:tc>
      </w:tr>
      <w:tr>
        <w:tc>
          <w:tcPr>
            <w:tcW w:type="dxa" w:w="730"/>
          </w:tcPr>
          <w:p>
            <w:pPr>
              <w:spacing w:after="40" w:before="40" w:line="240" w:lineRule="auto"/>
              <w:jc w:val="left"/>
            </w:pPr>
            <w:r>
              <w:rPr>
                <w:rFonts w:ascii="Times New Roman" w:hAnsi="Times New Roman"/>
                <w:b w:val="0"/>
                <w:i w:val="0"/>
                <w:sz w:val="20"/>
                <w:u w:val="none"/>
              </w:rPr>
              <w:t>5</w:t>
            </w:r>
          </w:p>
        </w:tc>
        <w:tc>
          <w:tcPr>
            <w:tcW w:type="dxa" w:w="2919"/>
          </w:tcPr>
          <w:p>
            <w:pPr>
              <w:spacing w:after="40" w:before="40" w:line="240" w:lineRule="auto"/>
              <w:jc w:val="left"/>
            </w:pPr>
            <w:r>
              <w:rPr>
                <w:rFonts w:ascii="Times New Roman" w:hAnsi="Times New Roman"/>
                <w:b w:val="0"/>
                <w:i w:val="0"/>
                <w:sz w:val="20"/>
                <w:u w:val="none"/>
              </w:rPr>
              <w:t>Solicitud del RUT provisional (pre-RUT) ante la DIAN</w:t>
            </w:r>
          </w:p>
        </w:tc>
        <w:tc>
          <w:tcPr>
            <w:tcW w:type="dxa" w:w="5473"/>
          </w:tcPr>
          <w:p>
            <w:pPr>
              <w:spacing w:after="40" w:before="40" w:line="240" w:lineRule="auto"/>
              <w:jc w:val="left"/>
            </w:pPr>
            <w:r>
              <w:rPr>
                <w:rFonts w:ascii="Times New Roman" w:hAnsi="Times New Roman"/>
                <w:b w:val="0"/>
                <w:i w:val="0"/>
                <w:sz w:val="20"/>
                <w:u w:val="none"/>
              </w:rPr>
              <w:t>Formulario 001. Genera el número de formulario que se traslada al formulario adicional de registro con otras entidades.</w:t>
            </w:r>
          </w:p>
        </w:tc>
      </w:tr>
      <w:tr>
        <w:tc>
          <w:tcPr>
            <w:tcW w:type="dxa" w:w="730"/>
          </w:tcPr>
          <w:p>
            <w:pPr>
              <w:spacing w:after="40" w:before="40" w:line="240" w:lineRule="auto"/>
              <w:jc w:val="left"/>
            </w:pPr>
            <w:r>
              <w:rPr>
                <w:rFonts w:ascii="Times New Roman" w:hAnsi="Times New Roman"/>
                <w:b w:val="0"/>
                <w:i w:val="0"/>
                <w:sz w:val="20"/>
                <w:u w:val="none"/>
              </w:rPr>
              <w:t>6</w:t>
            </w:r>
          </w:p>
        </w:tc>
        <w:tc>
          <w:tcPr>
            <w:tcW w:type="dxa" w:w="2919"/>
          </w:tcPr>
          <w:p>
            <w:pPr>
              <w:spacing w:after="40" w:before="40" w:line="240" w:lineRule="auto"/>
              <w:jc w:val="left"/>
            </w:pPr>
            <w:r>
              <w:rPr>
                <w:rFonts w:ascii="Times New Roman" w:hAnsi="Times New Roman"/>
                <w:b w:val="0"/>
                <w:i w:val="0"/>
                <w:sz w:val="20"/>
                <w:u w:val="none"/>
              </w:rPr>
              <w:t>Diligenciamiento de la carátula única empresarial y sus anexos</w:t>
            </w:r>
          </w:p>
        </w:tc>
        <w:tc>
          <w:tcPr>
            <w:tcW w:type="dxa" w:w="5473"/>
          </w:tcPr>
          <w:p>
            <w:pPr>
              <w:spacing w:after="40" w:before="40" w:line="240" w:lineRule="auto"/>
              <w:jc w:val="left"/>
            </w:pPr>
            <w:r>
              <w:rPr>
                <w:rFonts w:ascii="Times New Roman" w:hAnsi="Times New Roman"/>
                <w:b w:val="0"/>
                <w:i w:val="0"/>
                <w:sz w:val="20"/>
                <w:u w:val="none"/>
              </w:rPr>
              <w:t>Persona jurídica y establecimiento de comercio.</w:t>
            </w:r>
          </w:p>
        </w:tc>
      </w:tr>
      <w:tr>
        <w:tc>
          <w:tcPr>
            <w:tcW w:type="dxa" w:w="730"/>
          </w:tcPr>
          <w:p>
            <w:pPr>
              <w:spacing w:after="40" w:before="40" w:line="240" w:lineRule="auto"/>
              <w:jc w:val="left"/>
            </w:pPr>
            <w:r>
              <w:rPr>
                <w:rFonts w:ascii="Times New Roman" w:hAnsi="Times New Roman"/>
                <w:b w:val="0"/>
                <w:i w:val="0"/>
                <w:sz w:val="20"/>
                <w:u w:val="none"/>
              </w:rPr>
              <w:t>7</w:t>
            </w:r>
          </w:p>
        </w:tc>
        <w:tc>
          <w:tcPr>
            <w:tcW w:type="dxa" w:w="2919"/>
          </w:tcPr>
          <w:p>
            <w:pPr>
              <w:spacing w:after="40" w:before="40" w:line="240" w:lineRule="auto"/>
              <w:jc w:val="left"/>
            </w:pPr>
            <w:r>
              <w:rPr>
                <w:rFonts w:ascii="Times New Roman" w:hAnsi="Times New Roman"/>
                <w:b w:val="0"/>
                <w:i w:val="0"/>
                <w:sz w:val="20"/>
                <w:u w:val="none"/>
              </w:rPr>
              <w:t>Diligenciamiento del formulario adicional de registro con otras entidades</w:t>
            </w:r>
          </w:p>
        </w:tc>
        <w:tc>
          <w:tcPr>
            <w:tcW w:type="dxa" w:w="5473"/>
          </w:tcPr>
          <w:p>
            <w:pPr>
              <w:spacing w:after="40" w:before="40" w:line="240" w:lineRule="auto"/>
              <w:jc w:val="left"/>
            </w:pPr>
            <w:r>
              <w:rPr>
                <w:rFonts w:ascii="Times New Roman" w:hAnsi="Times New Roman"/>
                <w:b w:val="0"/>
                <w:i w:val="0"/>
                <w:sz w:val="20"/>
                <w:u w:val="none"/>
              </w:rPr>
              <w:t>DIAN, Municipio de Medellín y demás entidades.</w:t>
            </w:r>
          </w:p>
        </w:tc>
      </w:tr>
      <w:tr>
        <w:tc>
          <w:tcPr>
            <w:tcW w:type="dxa" w:w="730"/>
          </w:tcPr>
          <w:p>
            <w:pPr>
              <w:spacing w:after="40" w:before="40" w:line="240" w:lineRule="auto"/>
              <w:jc w:val="left"/>
            </w:pPr>
            <w:r>
              <w:rPr>
                <w:rFonts w:ascii="Times New Roman" w:hAnsi="Times New Roman"/>
                <w:b w:val="0"/>
                <w:i w:val="0"/>
                <w:sz w:val="20"/>
                <w:u w:val="none"/>
              </w:rPr>
              <w:t>8</w:t>
            </w:r>
          </w:p>
        </w:tc>
        <w:tc>
          <w:tcPr>
            <w:tcW w:type="dxa" w:w="2919"/>
          </w:tcPr>
          <w:p>
            <w:pPr>
              <w:spacing w:after="40" w:before="40" w:line="240" w:lineRule="auto"/>
              <w:jc w:val="left"/>
            </w:pPr>
            <w:r>
              <w:rPr>
                <w:rFonts w:ascii="Times New Roman" w:hAnsi="Times New Roman"/>
                <w:b w:val="0"/>
                <w:i w:val="0"/>
                <w:sz w:val="20"/>
                <w:u w:val="none"/>
              </w:rPr>
              <w:t>Liquidación y pago del impuesto de registro</w:t>
            </w:r>
          </w:p>
        </w:tc>
        <w:tc>
          <w:tcPr>
            <w:tcW w:type="dxa" w:w="5473"/>
          </w:tcPr>
          <w:p>
            <w:pPr>
              <w:spacing w:after="40" w:before="40" w:line="240" w:lineRule="auto"/>
              <w:jc w:val="left"/>
            </w:pPr>
            <w:r>
              <w:rPr>
                <w:rFonts w:ascii="Times New Roman" w:hAnsi="Times New Roman"/>
                <w:b w:val="0"/>
                <w:i w:val="0"/>
                <w:sz w:val="20"/>
                <w:u w:val="none"/>
              </w:rPr>
              <w:t>Gobernación de Antioquia; puede recaudarse a través de la Cámara por convenio.</w:t>
            </w:r>
          </w:p>
        </w:tc>
      </w:tr>
      <w:tr>
        <w:tc>
          <w:tcPr>
            <w:tcW w:type="dxa" w:w="730"/>
          </w:tcPr>
          <w:p>
            <w:pPr>
              <w:spacing w:after="40" w:before="40" w:line="240" w:lineRule="auto"/>
              <w:jc w:val="left"/>
            </w:pPr>
            <w:r>
              <w:rPr>
                <w:rFonts w:ascii="Times New Roman" w:hAnsi="Times New Roman"/>
                <w:b w:val="0"/>
                <w:i w:val="0"/>
                <w:sz w:val="20"/>
                <w:u w:val="none"/>
              </w:rPr>
              <w:t>9</w:t>
            </w:r>
          </w:p>
        </w:tc>
        <w:tc>
          <w:tcPr>
            <w:tcW w:type="dxa" w:w="2919"/>
          </w:tcPr>
          <w:p>
            <w:pPr>
              <w:spacing w:after="40" w:before="40" w:line="240" w:lineRule="auto"/>
              <w:jc w:val="left"/>
            </w:pPr>
            <w:r>
              <w:rPr>
                <w:rFonts w:ascii="Times New Roman" w:hAnsi="Times New Roman"/>
                <w:b w:val="0"/>
                <w:i w:val="0"/>
                <w:sz w:val="20"/>
                <w:u w:val="none"/>
              </w:rPr>
              <w:t>Radicación del expediente y pago de derechos de registro</w:t>
            </w:r>
          </w:p>
        </w:tc>
        <w:tc>
          <w:tcPr>
            <w:tcW w:type="dxa" w:w="5473"/>
          </w:tcPr>
          <w:p>
            <w:pPr>
              <w:spacing w:after="40" w:before="40" w:line="240" w:lineRule="auto"/>
              <w:jc w:val="left"/>
            </w:pPr>
            <w:r>
              <w:rPr>
                <w:rFonts w:ascii="Times New Roman" w:hAnsi="Times New Roman"/>
                <w:b w:val="0"/>
                <w:i w:val="0"/>
                <w:sz w:val="20"/>
                <w:u w:val="none"/>
              </w:rPr>
              <w:t>Presencial o virtual, en la sede virtual de la Cámara.</w:t>
            </w:r>
          </w:p>
        </w:tc>
      </w:tr>
      <w:tr>
        <w:tc>
          <w:tcPr>
            <w:tcW w:type="dxa" w:w="730"/>
          </w:tcPr>
          <w:p>
            <w:pPr>
              <w:spacing w:after="40" w:before="40" w:line="240" w:lineRule="auto"/>
              <w:jc w:val="left"/>
            </w:pPr>
            <w:r>
              <w:rPr>
                <w:rFonts w:ascii="Times New Roman" w:hAnsi="Times New Roman"/>
                <w:b w:val="0"/>
                <w:i w:val="0"/>
                <w:sz w:val="20"/>
                <w:u w:val="none"/>
              </w:rPr>
              <w:t>10</w:t>
            </w:r>
          </w:p>
        </w:tc>
        <w:tc>
          <w:tcPr>
            <w:tcW w:type="dxa" w:w="2919"/>
          </w:tcPr>
          <w:p>
            <w:pPr>
              <w:spacing w:after="40" w:before="40" w:line="240" w:lineRule="auto"/>
              <w:jc w:val="left"/>
            </w:pPr>
            <w:r>
              <w:rPr>
                <w:rFonts w:ascii="Times New Roman" w:hAnsi="Times New Roman"/>
                <w:b w:val="0"/>
                <w:i w:val="0"/>
                <w:sz w:val="20"/>
                <w:u w:val="none"/>
              </w:rPr>
              <w:t>Inscripción de los libros de comercio</w:t>
            </w:r>
          </w:p>
        </w:tc>
        <w:tc>
          <w:tcPr>
            <w:tcW w:type="dxa" w:w="5473"/>
          </w:tcPr>
          <w:p>
            <w:pPr>
              <w:spacing w:after="40" w:before="40" w:line="240" w:lineRule="auto"/>
              <w:jc w:val="left"/>
            </w:pPr>
            <w:r>
              <w:rPr>
                <w:rFonts w:ascii="Times New Roman" w:hAnsi="Times New Roman"/>
                <w:b w:val="0"/>
                <w:i w:val="0"/>
                <w:sz w:val="20"/>
                <w:u w:val="none"/>
              </w:rPr>
              <w:t>Libro de registro de accionistas y libro de actas de la asamblea.</w:t>
            </w:r>
          </w:p>
        </w:tc>
      </w:tr>
      <w:tr>
        <w:tc>
          <w:tcPr>
            <w:tcW w:type="dxa" w:w="730"/>
          </w:tcPr>
          <w:p>
            <w:pPr>
              <w:spacing w:after="40" w:before="40" w:line="240" w:lineRule="auto"/>
              <w:jc w:val="left"/>
            </w:pPr>
            <w:r>
              <w:rPr>
                <w:rFonts w:ascii="Times New Roman" w:hAnsi="Times New Roman"/>
                <w:b w:val="0"/>
                <w:i w:val="0"/>
                <w:sz w:val="20"/>
                <w:u w:val="none"/>
              </w:rPr>
              <w:t>11</w:t>
            </w:r>
          </w:p>
        </w:tc>
        <w:tc>
          <w:tcPr>
            <w:tcW w:type="dxa" w:w="2919"/>
          </w:tcPr>
          <w:p>
            <w:pPr>
              <w:spacing w:after="40" w:before="40" w:line="240" w:lineRule="auto"/>
              <w:jc w:val="left"/>
            </w:pPr>
            <w:r>
              <w:rPr>
                <w:rFonts w:ascii="Times New Roman" w:hAnsi="Times New Roman"/>
                <w:b w:val="0"/>
                <w:i w:val="0"/>
                <w:sz w:val="20"/>
                <w:u w:val="none"/>
              </w:rPr>
              <w:t>Formalización del RUT y asignación definitiva del NIT</w:t>
            </w:r>
          </w:p>
        </w:tc>
        <w:tc>
          <w:tcPr>
            <w:tcW w:type="dxa" w:w="5473"/>
          </w:tcPr>
          <w:p>
            <w:pPr>
              <w:spacing w:after="40" w:before="40" w:line="240" w:lineRule="auto"/>
              <w:jc w:val="left"/>
            </w:pPr>
            <w:r>
              <w:rPr>
                <w:rFonts w:ascii="Times New Roman" w:hAnsi="Times New Roman"/>
                <w:b w:val="0"/>
                <w:i w:val="0"/>
                <w:sz w:val="20"/>
                <w:u w:val="none"/>
              </w:rPr>
              <w:t>Una vez inscrita la sociedad, la DIAN formaliza el RUT.</w:t>
            </w:r>
          </w:p>
        </w:tc>
      </w:tr>
      <w:tr>
        <w:tc>
          <w:tcPr>
            <w:tcW w:type="dxa" w:w="730"/>
          </w:tcPr>
          <w:p>
            <w:pPr>
              <w:spacing w:after="40" w:before="40" w:line="240" w:lineRule="auto"/>
              <w:jc w:val="left"/>
            </w:pPr>
            <w:r>
              <w:rPr>
                <w:rFonts w:ascii="Times New Roman" w:hAnsi="Times New Roman"/>
                <w:b w:val="0"/>
                <w:i w:val="0"/>
                <w:sz w:val="20"/>
                <w:u w:val="none"/>
              </w:rPr>
              <w:t>12</w:t>
            </w:r>
          </w:p>
        </w:tc>
        <w:tc>
          <w:tcPr>
            <w:tcW w:type="dxa" w:w="2919"/>
          </w:tcPr>
          <w:p>
            <w:pPr>
              <w:spacing w:after="40" w:before="40" w:line="240" w:lineRule="auto"/>
              <w:jc w:val="left"/>
            </w:pPr>
            <w:r>
              <w:rPr>
                <w:rFonts w:ascii="Times New Roman" w:hAnsi="Times New Roman"/>
                <w:b w:val="0"/>
                <w:i w:val="0"/>
                <w:sz w:val="20"/>
                <w:u w:val="none"/>
              </w:rPr>
              <w:t>Inscripción en el Registro de Información Tributaria (RIT) del Municipio de Medellín</w:t>
            </w:r>
          </w:p>
        </w:tc>
        <w:tc>
          <w:tcPr>
            <w:tcW w:type="dxa" w:w="5473"/>
          </w:tcPr>
          <w:p>
            <w:pPr>
              <w:spacing w:after="40" w:before="40" w:line="240" w:lineRule="auto"/>
              <w:jc w:val="left"/>
            </w:pPr>
            <w:r>
              <w:rPr>
                <w:rFonts w:ascii="Times New Roman" w:hAnsi="Times New Roman"/>
                <w:b w:val="0"/>
                <w:i w:val="0"/>
                <w:sz w:val="20"/>
                <w:u w:val="none"/>
              </w:rPr>
              <w:t>Impuesto de industria y comercio.</w:t>
            </w:r>
          </w:p>
        </w:tc>
      </w:tr>
    </w:tbl>
    <w:p>
      <w:pPr>
        <w:spacing w:after="80"/>
      </w:pPr>
    </w:p>
    <w:p>
      <w:r>
        <w:rPr>
          <w:rFonts w:ascii="Times New Roman" w:hAnsi="Times New Roman"/>
          <w:b/>
          <w:i w:val="0"/>
          <w:u w:val="none"/>
        </w:rPr>
        <w:t>Nota sobre la oportunidad del trámite.</w:t>
      </w:r>
      <w:r>
        <w:rPr>
          <w:rFonts w:ascii="Times New Roman" w:hAnsi="Times New Roman"/>
          <w:b w:val="0"/>
          <w:i w:val="0"/>
          <w:u w:val="none"/>
        </w:rPr>
        <w:t xml:space="preserve"> El artículo 31 del Código de Comercio dispone que la solicitud de matrícula debe presentarse </w:t>
      </w:r>
      <w:r>
        <w:rPr>
          <w:rFonts w:ascii="Times New Roman" w:hAnsi="Times New Roman"/>
          <w:b/>
          <w:i w:val="0"/>
          <w:u w:val="none"/>
        </w:rPr>
        <w:t>dentro del mes siguiente</w:t>
      </w:r>
      <w:r>
        <w:rPr>
          <w:rFonts w:ascii="Times New Roman" w:hAnsi="Times New Roman"/>
          <w:b w:val="0"/>
          <w:i w:val="0"/>
          <w:u w:val="none"/>
        </w:rPr>
        <w:t xml:space="preserve"> a la fecha en que la persona jurídica fue creada. Como el documento de constitución tiene fecha del </w:t>
      </w:r>
      <w:r>
        <w:rPr>
          <w:rFonts w:ascii="Times New Roman" w:hAnsi="Times New Roman"/>
          <w:b/>
          <w:i w:val="0"/>
          <w:u w:val="none"/>
        </w:rPr>
        <w:t>1.º de octubre de 2026</w:t>
      </w:r>
      <w:r>
        <w:rPr>
          <w:rFonts w:ascii="Times New Roman" w:hAnsi="Times New Roman"/>
          <w:b w:val="0"/>
          <w:i w:val="0"/>
          <w:u w:val="none"/>
        </w:rPr>
        <w:t xml:space="preserve">, la solicitud debe radicarse a más tardar el </w:t>
      </w:r>
      <w:r>
        <w:rPr>
          <w:rFonts w:ascii="Times New Roman" w:hAnsi="Times New Roman"/>
          <w:b/>
          <w:i w:val="0"/>
          <w:u w:val="none"/>
        </w:rPr>
        <w:t>1.º de noviembre de 2026</w:t>
      </w:r>
      <w:r>
        <w:rPr>
          <w:rFonts w:ascii="Times New Roman" w:hAnsi="Times New Roman"/>
          <w:b w:val="0"/>
          <w:i w:val="0"/>
          <w:u w:val="none"/>
        </w:rPr>
        <w:t>. La radicación extemporánea no impide la matrícula, pero expone a la sociedad a la sanción del artículo 37 del mismo código.</w:t>
      </w:r>
    </w:p>
    <w:p>
      <w:pPr>
        <w:keepNext/>
        <w:spacing w:before="320" w:after="160"/>
        <w:jc w:val="center"/>
      </w:pPr>
      <w:r>
        <w:rPr>
          <w:rFonts w:ascii="Times New Roman" w:hAnsi="Times New Roman"/>
          <w:b/>
          <w:i w:val="0"/>
          <w:sz w:val="24"/>
          <w:u w:val="none"/>
        </w:rPr>
        <w:t>2. FORMULARIO DEL REGISTRO ÚNICO TRIBUTARIO (RUT) — FORMULARIO 001 DE LA DIAN</w:t>
      </w:r>
    </w:p>
    <w:p>
      <w:r>
        <w:rPr>
          <w:rFonts w:ascii="Times New Roman" w:hAnsi="Times New Roman"/>
          <w:b w:val="0"/>
          <w:i w:val="0"/>
          <w:u w:val="none"/>
        </w:rPr>
        <w:t xml:space="preserve">Se diligencia en línea en el portal de la DIAN, seleccionando la opción de inscripción para persona jurídica </w:t>
      </w:r>
      <w:r>
        <w:rPr>
          <w:rFonts w:ascii="Times New Roman" w:hAnsi="Times New Roman"/>
          <w:b/>
          <w:i w:val="0"/>
          <w:u w:val="none"/>
        </w:rPr>
        <w:t>sin NIT asignado</w:t>
      </w:r>
      <w:r>
        <w:rPr>
          <w:rFonts w:ascii="Times New Roman" w:hAnsi="Times New Roman"/>
          <w:b w:val="0"/>
          <w:i w:val="0"/>
          <w:u w:val="none"/>
        </w:rPr>
        <w:t xml:space="preserve">. El documento resultante es el </w:t>
      </w:r>
      <w:r>
        <w:rPr>
          <w:rFonts w:ascii="Times New Roman" w:hAnsi="Times New Roman"/>
          <w:b/>
          <w:i w:val="0"/>
          <w:u w:val="none"/>
        </w:rPr>
        <w:t>RUT provisional o "pre-RUT"</w:t>
      </w:r>
      <w:r>
        <w:rPr>
          <w:rFonts w:ascii="Times New Roman" w:hAnsi="Times New Roman"/>
          <w:b w:val="0"/>
          <w:i w:val="0"/>
          <w:u w:val="none"/>
        </w:rPr>
        <w:t>, que debe imprimirse y anexarse al expediente de la Cámara. La DIAN formaliza el RUT y asigna el NIT definitivo una vez la Cámara comunica la matrícula.</w:t>
      </w:r>
    </w:p>
    <w:tbl>
      <w:tblPr>
        <w:tblStyle w:val="TableGrid"/>
        <w:tblW w:type="auto" w:w="0"/>
        <w:jc w:val="center"/>
        <w:tblLayout w:type="fixed"/>
        <w:tblLook w:firstColumn="1" w:firstRow="1" w:lastColumn="0" w:lastRow="0" w:noHBand="0" w:noVBand="1" w:val="04A0"/>
        <w:tblW w:w="9122" w:type="dxa"/>
        <w:tblLayout w:type="fixed"/>
      </w:tblPr>
      <w:tblGrid>
        <w:gridCol w:w="3466"/>
        <w:gridCol w:w="5656"/>
      </w:tblGrid>
      <w:tr>
        <w:tc>
          <w:tcPr>
            <w:tcW w:type="dxa" w:w="3466"/>
            <w:shd w:val="clear" w:color="auto" w:fill="D9D9D9"/>
          </w:tcPr>
          <w:p>
            <w:pPr>
              <w:spacing w:after="40" w:before="40" w:line="240" w:lineRule="auto"/>
              <w:jc w:val="center"/>
            </w:pPr>
            <w:r>
              <w:rPr>
                <w:rFonts w:ascii="Times New Roman" w:hAnsi="Times New Roman"/>
                <w:b/>
                <w:i w:val="0"/>
                <w:sz w:val="20"/>
                <w:u w:val="none"/>
              </w:rPr>
              <w:t>Campo del formulario 001</w:t>
            </w:r>
          </w:p>
        </w:tc>
        <w:tc>
          <w:tcPr>
            <w:tcW w:type="dxa" w:w="5656"/>
            <w:shd w:val="clear" w:color="auto" w:fill="D9D9D9"/>
          </w:tcPr>
          <w:p>
            <w:pPr>
              <w:spacing w:after="40" w:before="40" w:line="240" w:lineRule="auto"/>
              <w:jc w:val="center"/>
            </w:pPr>
            <w:r>
              <w:rPr>
                <w:rFonts w:ascii="Times New Roman" w:hAnsi="Times New Roman"/>
                <w:b/>
                <w:i w:val="0"/>
                <w:sz w:val="20"/>
                <w:u w:val="none"/>
              </w:rPr>
              <w:t>Valor que debe diligenciarse</w:t>
            </w:r>
          </w:p>
        </w:tc>
      </w:tr>
      <w:tr>
        <w:tc>
          <w:tcPr>
            <w:tcW w:type="dxa" w:w="3466"/>
          </w:tcPr>
          <w:p>
            <w:pPr>
              <w:spacing w:after="40" w:before="40" w:line="240" w:lineRule="auto"/>
              <w:jc w:val="left"/>
            </w:pPr>
            <w:r>
              <w:rPr>
                <w:rFonts w:ascii="Times New Roman" w:hAnsi="Times New Roman"/>
                <w:b w:val="0"/>
                <w:i w:val="0"/>
                <w:sz w:val="20"/>
                <w:u w:val="none"/>
              </w:rPr>
              <w:t>Tipo de contribuyente</w:t>
            </w:r>
          </w:p>
        </w:tc>
        <w:tc>
          <w:tcPr>
            <w:tcW w:type="dxa" w:w="5656"/>
          </w:tcPr>
          <w:p>
            <w:pPr>
              <w:spacing w:after="40" w:before="40" w:line="240" w:lineRule="auto"/>
              <w:jc w:val="left"/>
            </w:pPr>
            <w:r>
              <w:rPr>
                <w:rFonts w:ascii="Times New Roman" w:hAnsi="Times New Roman"/>
                <w:b w:val="0"/>
                <w:i w:val="0"/>
                <w:sz w:val="20"/>
                <w:u w:val="none"/>
              </w:rPr>
              <w:t>Persona jurídica</w:t>
            </w:r>
          </w:p>
        </w:tc>
      </w:tr>
      <w:tr>
        <w:tc>
          <w:tcPr>
            <w:tcW w:type="dxa" w:w="3466"/>
          </w:tcPr>
          <w:p>
            <w:pPr>
              <w:spacing w:after="40" w:before="40" w:line="240" w:lineRule="auto"/>
              <w:jc w:val="left"/>
            </w:pPr>
            <w:r>
              <w:rPr>
                <w:rFonts w:ascii="Times New Roman" w:hAnsi="Times New Roman"/>
                <w:b w:val="0"/>
                <w:i w:val="0"/>
                <w:sz w:val="20"/>
                <w:u w:val="none"/>
              </w:rPr>
              <w:t>Tipo de inscripción</w:t>
            </w:r>
          </w:p>
        </w:tc>
        <w:tc>
          <w:tcPr>
            <w:tcW w:type="dxa" w:w="5656"/>
          </w:tcPr>
          <w:p>
            <w:pPr>
              <w:spacing w:after="40" w:before="40" w:line="240" w:lineRule="auto"/>
              <w:jc w:val="left"/>
            </w:pPr>
            <w:r>
              <w:rPr>
                <w:rFonts w:ascii="Times New Roman" w:hAnsi="Times New Roman"/>
                <w:b w:val="0"/>
                <w:i w:val="0"/>
                <w:sz w:val="20"/>
                <w:u w:val="none"/>
              </w:rPr>
              <w:t>Inscripción por primera vez, sin NIT asignado</w:t>
            </w:r>
          </w:p>
        </w:tc>
      </w:tr>
      <w:tr>
        <w:tc>
          <w:tcPr>
            <w:tcW w:type="dxa" w:w="3466"/>
          </w:tcPr>
          <w:p>
            <w:pPr>
              <w:spacing w:after="40" w:before="40" w:line="240" w:lineRule="auto"/>
              <w:jc w:val="left"/>
            </w:pPr>
            <w:r>
              <w:rPr>
                <w:rFonts w:ascii="Times New Roman" w:hAnsi="Times New Roman"/>
                <w:b w:val="0"/>
                <w:i w:val="0"/>
                <w:sz w:val="20"/>
                <w:u w:val="none"/>
              </w:rPr>
              <w:t>Razón social</w:t>
            </w:r>
          </w:p>
        </w:tc>
        <w:tc>
          <w:tcPr>
            <w:tcW w:type="dxa" w:w="5656"/>
          </w:tcPr>
          <w:p>
            <w:pPr>
              <w:spacing w:after="40" w:before="40" w:line="240" w:lineRule="auto"/>
              <w:jc w:val="left"/>
            </w:pPr>
            <w:r>
              <w:rPr>
                <w:rFonts w:ascii="Times New Roman" w:hAnsi="Times New Roman"/>
                <w:b w:val="0"/>
                <w:i w:val="0"/>
                <w:sz w:val="20"/>
                <w:u w:val="none"/>
              </w:rPr>
              <w:t>NOVA BIENESTAR INTEGRAL S.A.S.</w:t>
            </w:r>
          </w:p>
        </w:tc>
      </w:tr>
      <w:tr>
        <w:tc>
          <w:tcPr>
            <w:tcW w:type="dxa" w:w="3466"/>
          </w:tcPr>
          <w:p>
            <w:pPr>
              <w:spacing w:after="40" w:before="40" w:line="240" w:lineRule="auto"/>
              <w:jc w:val="left"/>
            </w:pPr>
            <w:r>
              <w:rPr>
                <w:rFonts w:ascii="Times New Roman" w:hAnsi="Times New Roman"/>
                <w:b w:val="0"/>
                <w:i w:val="0"/>
                <w:sz w:val="20"/>
                <w:u w:val="none"/>
              </w:rPr>
              <w:t>Nombre comercial</w:t>
            </w:r>
          </w:p>
        </w:tc>
        <w:tc>
          <w:tcPr>
            <w:tcW w:type="dxa" w:w="5656"/>
          </w:tcPr>
          <w:p>
            <w:pPr>
              <w:spacing w:after="40" w:before="40" w:line="240" w:lineRule="auto"/>
              <w:jc w:val="left"/>
            </w:pPr>
            <w:r>
              <w:rPr>
                <w:rFonts w:ascii="Times New Roman" w:hAnsi="Times New Roman"/>
                <w:b w:val="0"/>
                <w:i w:val="0"/>
                <w:sz w:val="20"/>
                <w:u w:val="none"/>
              </w:rPr>
              <w:t>NOVA BIENESTAR</w:t>
            </w:r>
          </w:p>
        </w:tc>
      </w:tr>
      <w:tr>
        <w:tc>
          <w:tcPr>
            <w:tcW w:type="dxa" w:w="3466"/>
          </w:tcPr>
          <w:p>
            <w:pPr>
              <w:spacing w:after="40" w:before="40" w:line="240" w:lineRule="auto"/>
              <w:jc w:val="left"/>
            </w:pPr>
            <w:r>
              <w:rPr>
                <w:rFonts w:ascii="Times New Roman" w:hAnsi="Times New Roman"/>
                <w:b w:val="0"/>
                <w:i w:val="0"/>
                <w:sz w:val="20"/>
                <w:u w:val="none"/>
              </w:rPr>
              <w:t>Sigla</w:t>
            </w:r>
          </w:p>
        </w:tc>
        <w:tc>
          <w:tcPr>
            <w:tcW w:type="dxa" w:w="5656"/>
          </w:tcPr>
          <w:p>
            <w:pPr>
              <w:spacing w:after="40" w:before="40" w:line="240" w:lineRule="auto"/>
              <w:jc w:val="left"/>
            </w:pPr>
            <w:r>
              <w:rPr>
                <w:rFonts w:ascii="Times New Roman" w:hAnsi="Times New Roman"/>
                <w:b w:val="0"/>
                <w:i w:val="0"/>
                <w:sz w:val="20"/>
                <w:u w:val="none"/>
              </w:rPr>
              <w:t>(No se registra sigla distinta de la denominación)</w:t>
            </w:r>
          </w:p>
        </w:tc>
      </w:tr>
      <w:tr>
        <w:tc>
          <w:tcPr>
            <w:tcW w:type="dxa" w:w="3466"/>
          </w:tcPr>
          <w:p>
            <w:pPr>
              <w:spacing w:after="40" w:before="40" w:line="240" w:lineRule="auto"/>
              <w:jc w:val="left"/>
            </w:pPr>
            <w:r>
              <w:rPr>
                <w:rFonts w:ascii="Times New Roman" w:hAnsi="Times New Roman"/>
                <w:b w:val="0"/>
                <w:i w:val="0"/>
                <w:sz w:val="20"/>
                <w:u w:val="none"/>
              </w:rPr>
              <w:t>País / Departamento / Municipio</w:t>
            </w:r>
          </w:p>
        </w:tc>
        <w:tc>
          <w:tcPr>
            <w:tcW w:type="dxa" w:w="5656"/>
          </w:tcPr>
          <w:p>
            <w:pPr>
              <w:spacing w:after="40" w:before="40" w:line="240" w:lineRule="auto"/>
              <w:jc w:val="left"/>
            </w:pPr>
            <w:r>
              <w:rPr>
                <w:rFonts w:ascii="Times New Roman" w:hAnsi="Times New Roman"/>
                <w:b w:val="0"/>
                <w:i w:val="0"/>
                <w:sz w:val="20"/>
                <w:u w:val="none"/>
              </w:rPr>
              <w:t>Colombia / Antioquia / Medellín</w:t>
            </w:r>
          </w:p>
        </w:tc>
      </w:tr>
      <w:tr>
        <w:tc>
          <w:tcPr>
            <w:tcW w:type="dxa" w:w="3466"/>
          </w:tcPr>
          <w:p>
            <w:pPr>
              <w:spacing w:after="40" w:before="40" w:line="240" w:lineRule="auto"/>
              <w:jc w:val="left"/>
            </w:pPr>
            <w:r>
              <w:rPr>
                <w:rFonts w:ascii="Times New Roman" w:hAnsi="Times New Roman"/>
                <w:b w:val="0"/>
                <w:i w:val="0"/>
                <w:sz w:val="20"/>
                <w:u w:val="none"/>
              </w:rPr>
              <w:t>Dirección principal</w:t>
            </w:r>
          </w:p>
        </w:tc>
        <w:tc>
          <w:tcPr>
            <w:tcW w:type="dxa" w:w="5656"/>
          </w:tcPr>
          <w:p>
            <w:pPr>
              <w:spacing w:after="40" w:before="40" w:line="240" w:lineRule="auto"/>
              <w:jc w:val="left"/>
            </w:pPr>
            <w:r>
              <w:rPr>
                <w:rFonts w:ascii="Times New Roman" w:hAnsi="Times New Roman"/>
                <w:b w:val="0"/>
                <w:i w:val="0"/>
                <w:sz w:val="20"/>
                <w:u w:val="none"/>
              </w:rPr>
              <w:t>Carrera 37 n.º 10A-58, oficina 804</w:t>
            </w:r>
          </w:p>
        </w:tc>
      </w:tr>
      <w:tr>
        <w:tc>
          <w:tcPr>
            <w:tcW w:type="dxa" w:w="3466"/>
          </w:tcPr>
          <w:p>
            <w:pPr>
              <w:spacing w:after="40" w:before="40" w:line="240" w:lineRule="auto"/>
              <w:jc w:val="left"/>
            </w:pPr>
            <w:r>
              <w:rPr>
                <w:rFonts w:ascii="Times New Roman" w:hAnsi="Times New Roman"/>
                <w:b w:val="0"/>
                <w:i w:val="0"/>
                <w:sz w:val="20"/>
                <w:u w:val="none"/>
              </w:rPr>
              <w:t>Correo electrónico</w:t>
            </w:r>
          </w:p>
        </w:tc>
        <w:tc>
          <w:tcPr>
            <w:tcW w:type="dxa" w:w="5656"/>
          </w:tcPr>
          <w:p>
            <w:pPr>
              <w:spacing w:after="40" w:before="40" w:line="240" w:lineRule="auto"/>
              <w:jc w:val="left"/>
            </w:pPr>
            <w:r>
              <w:rPr>
                <w:rFonts w:ascii="Times New Roman" w:hAnsi="Times New Roman"/>
                <w:b w:val="0"/>
                <w:i w:val="0"/>
                <w:sz w:val="20"/>
                <w:u w:val="none"/>
              </w:rPr>
              <w:t>contacto@novabienestarintegral.com</w:t>
            </w:r>
          </w:p>
        </w:tc>
      </w:tr>
      <w:tr>
        <w:tc>
          <w:tcPr>
            <w:tcW w:type="dxa" w:w="3466"/>
          </w:tcPr>
          <w:p>
            <w:pPr>
              <w:spacing w:after="40" w:before="40" w:line="240" w:lineRule="auto"/>
              <w:jc w:val="left"/>
            </w:pPr>
            <w:r>
              <w:rPr>
                <w:rFonts w:ascii="Times New Roman" w:hAnsi="Times New Roman"/>
                <w:b w:val="0"/>
                <w:i w:val="0"/>
                <w:sz w:val="20"/>
                <w:u w:val="none"/>
              </w:rPr>
              <w:t>Teléfono</w:t>
            </w:r>
          </w:p>
        </w:tc>
        <w:tc>
          <w:tcPr>
            <w:tcW w:type="dxa" w:w="5656"/>
          </w:tcPr>
          <w:p>
            <w:pPr>
              <w:spacing w:after="40" w:before="40" w:line="240" w:lineRule="auto"/>
              <w:jc w:val="left"/>
            </w:pPr>
            <w:r>
              <w:rPr>
                <w:rFonts w:ascii="Times New Roman" w:hAnsi="Times New Roman"/>
                <w:b w:val="0"/>
                <w:i w:val="0"/>
                <w:sz w:val="20"/>
                <w:u w:val="none"/>
              </w:rPr>
              <w:t>315 684 9271</w:t>
            </w:r>
          </w:p>
        </w:tc>
      </w:tr>
      <w:tr>
        <w:tc>
          <w:tcPr>
            <w:tcW w:type="dxa" w:w="3466"/>
          </w:tcPr>
          <w:p>
            <w:pPr>
              <w:spacing w:after="40" w:before="40" w:line="240" w:lineRule="auto"/>
              <w:jc w:val="left"/>
            </w:pPr>
            <w:r>
              <w:rPr>
                <w:rFonts w:ascii="Times New Roman" w:hAnsi="Times New Roman"/>
                <w:b w:val="0"/>
                <w:i w:val="0"/>
                <w:sz w:val="20"/>
                <w:u w:val="none"/>
              </w:rPr>
              <w:t>Actividad económica principal (CIIU)</w:t>
            </w:r>
          </w:p>
        </w:tc>
        <w:tc>
          <w:tcPr>
            <w:tcW w:type="dxa" w:w="5656"/>
          </w:tcPr>
          <w:p>
            <w:pPr>
              <w:spacing w:after="40" w:before="40" w:line="240" w:lineRule="auto"/>
              <w:jc w:val="left"/>
            </w:pPr>
            <w:r>
              <w:rPr>
                <w:rFonts w:ascii="Times New Roman" w:hAnsi="Times New Roman"/>
                <w:b/>
                <w:i w:val="0"/>
                <w:sz w:val="20"/>
                <w:u w:val="none"/>
              </w:rPr>
              <w:t>8692</w:t>
            </w:r>
            <w:r>
              <w:rPr>
                <w:rFonts w:ascii="Times New Roman" w:hAnsi="Times New Roman"/>
                <w:b w:val="0"/>
                <w:i w:val="0"/>
                <w:sz w:val="20"/>
                <w:u w:val="none"/>
              </w:rPr>
              <w:t xml:space="preserve"> — Actividades de apoyo terapéutico</w:t>
            </w:r>
          </w:p>
        </w:tc>
      </w:tr>
      <w:tr>
        <w:tc>
          <w:tcPr>
            <w:tcW w:type="dxa" w:w="3466"/>
          </w:tcPr>
          <w:p>
            <w:pPr>
              <w:spacing w:after="40" w:before="40" w:line="240" w:lineRule="auto"/>
              <w:jc w:val="left"/>
            </w:pPr>
            <w:r>
              <w:rPr>
                <w:rFonts w:ascii="Times New Roman" w:hAnsi="Times New Roman"/>
                <w:b w:val="0"/>
                <w:i w:val="0"/>
                <w:sz w:val="20"/>
                <w:u w:val="none"/>
              </w:rPr>
              <w:t>Actividad económica secundaria (CIIU)</w:t>
            </w:r>
          </w:p>
        </w:tc>
        <w:tc>
          <w:tcPr>
            <w:tcW w:type="dxa" w:w="5656"/>
          </w:tcPr>
          <w:p>
            <w:pPr>
              <w:spacing w:after="40" w:before="40" w:line="240" w:lineRule="auto"/>
              <w:jc w:val="left"/>
            </w:pPr>
            <w:r>
              <w:rPr>
                <w:rFonts w:ascii="Times New Roman" w:hAnsi="Times New Roman"/>
                <w:b/>
                <w:i w:val="0"/>
                <w:sz w:val="20"/>
                <w:u w:val="none"/>
              </w:rPr>
              <w:t>9311</w:t>
            </w:r>
            <w:r>
              <w:rPr>
                <w:rFonts w:ascii="Times New Roman" w:hAnsi="Times New Roman"/>
                <w:b w:val="0"/>
                <w:i w:val="0"/>
                <w:sz w:val="20"/>
                <w:u w:val="none"/>
              </w:rPr>
              <w:t xml:space="preserve"> — Gestión de instalaciones deportivas</w:t>
            </w:r>
          </w:p>
        </w:tc>
      </w:tr>
      <w:tr>
        <w:tc>
          <w:tcPr>
            <w:tcW w:type="dxa" w:w="3466"/>
          </w:tcPr>
          <w:p>
            <w:pPr>
              <w:spacing w:after="40" w:before="40" w:line="240" w:lineRule="auto"/>
              <w:jc w:val="left"/>
            </w:pPr>
            <w:r>
              <w:rPr>
                <w:rFonts w:ascii="Times New Roman" w:hAnsi="Times New Roman"/>
                <w:b w:val="0"/>
                <w:i w:val="0"/>
                <w:sz w:val="20"/>
                <w:u w:val="none"/>
              </w:rPr>
              <w:t>Otra actividad (CIIU)</w:t>
            </w:r>
          </w:p>
        </w:tc>
        <w:tc>
          <w:tcPr>
            <w:tcW w:type="dxa" w:w="5656"/>
          </w:tcPr>
          <w:p>
            <w:pPr>
              <w:spacing w:after="40" w:before="40" w:line="240" w:lineRule="auto"/>
              <w:jc w:val="left"/>
            </w:pPr>
            <w:r>
              <w:rPr>
                <w:rFonts w:ascii="Times New Roman" w:hAnsi="Times New Roman"/>
                <w:b/>
                <w:i w:val="0"/>
                <w:sz w:val="20"/>
                <w:u w:val="none"/>
              </w:rPr>
              <w:t>9609</w:t>
            </w:r>
            <w:r>
              <w:rPr>
                <w:rFonts w:ascii="Times New Roman" w:hAnsi="Times New Roman"/>
                <w:b w:val="0"/>
                <w:i w:val="0"/>
                <w:sz w:val="20"/>
                <w:u w:val="none"/>
              </w:rPr>
              <w:t xml:space="preserve"> — Otras actividades de servicios personales n.c.p.</w:t>
            </w:r>
          </w:p>
        </w:tc>
      </w:tr>
      <w:tr>
        <w:tc>
          <w:tcPr>
            <w:tcW w:type="dxa" w:w="3466"/>
          </w:tcPr>
          <w:p>
            <w:pPr>
              <w:spacing w:after="40" w:before="40" w:line="240" w:lineRule="auto"/>
              <w:jc w:val="left"/>
            </w:pPr>
            <w:r>
              <w:rPr>
                <w:rFonts w:ascii="Times New Roman" w:hAnsi="Times New Roman"/>
                <w:b w:val="0"/>
                <w:i w:val="0"/>
                <w:sz w:val="20"/>
                <w:u w:val="none"/>
              </w:rPr>
              <w:t>Fecha de inicio de actividad</w:t>
            </w:r>
          </w:p>
        </w:tc>
        <w:tc>
          <w:tcPr>
            <w:tcW w:type="dxa" w:w="5656"/>
          </w:tcPr>
          <w:p>
            <w:pPr>
              <w:spacing w:after="40" w:before="40" w:line="240" w:lineRule="auto"/>
              <w:jc w:val="left"/>
            </w:pPr>
            <w:r>
              <w:rPr>
                <w:rFonts w:ascii="Times New Roman" w:hAnsi="Times New Roman"/>
                <w:b w:val="0"/>
                <w:i w:val="0"/>
                <w:sz w:val="20"/>
                <w:u w:val="none"/>
              </w:rPr>
              <w:t>1.º de octubre de 2026</w:t>
            </w:r>
          </w:p>
        </w:tc>
      </w:tr>
      <w:tr>
        <w:tc>
          <w:tcPr>
            <w:tcW w:type="dxa" w:w="3466"/>
          </w:tcPr>
          <w:p>
            <w:pPr>
              <w:spacing w:after="40" w:before="40" w:line="240" w:lineRule="auto"/>
              <w:jc w:val="left"/>
            </w:pPr>
            <w:r>
              <w:rPr>
                <w:rFonts w:ascii="Times New Roman" w:hAnsi="Times New Roman"/>
                <w:b w:val="0"/>
                <w:i w:val="0"/>
                <w:sz w:val="20"/>
                <w:u w:val="none"/>
              </w:rPr>
              <w:t>Representante legal</w:t>
            </w:r>
          </w:p>
        </w:tc>
        <w:tc>
          <w:tcPr>
            <w:tcW w:type="dxa" w:w="5656"/>
          </w:tcPr>
          <w:p>
            <w:pPr>
              <w:spacing w:after="40" w:before="40" w:line="240" w:lineRule="auto"/>
              <w:jc w:val="left"/>
            </w:pPr>
            <w:r>
              <w:rPr>
                <w:rFonts w:ascii="Times New Roman" w:hAnsi="Times New Roman"/>
                <w:b w:val="0"/>
                <w:i w:val="0"/>
                <w:sz w:val="20"/>
                <w:u w:val="none"/>
              </w:rPr>
              <w:t>Mariana López Castaño — C.C. 1.039.672.481</w:t>
            </w:r>
          </w:p>
        </w:tc>
      </w:tr>
      <w:tr>
        <w:tc>
          <w:tcPr>
            <w:tcW w:type="dxa" w:w="3466"/>
          </w:tcPr>
          <w:p>
            <w:pPr>
              <w:spacing w:after="40" w:before="40" w:line="240" w:lineRule="auto"/>
              <w:jc w:val="left"/>
            </w:pPr>
            <w:r>
              <w:rPr>
                <w:rFonts w:ascii="Times New Roman" w:hAnsi="Times New Roman"/>
                <w:b w:val="0"/>
                <w:i w:val="0"/>
                <w:sz w:val="20"/>
                <w:u w:val="none"/>
              </w:rPr>
              <w:t>Calidad de representante</w:t>
            </w:r>
          </w:p>
        </w:tc>
        <w:tc>
          <w:tcPr>
            <w:tcW w:type="dxa" w:w="5656"/>
          </w:tcPr>
          <w:p>
            <w:pPr>
              <w:spacing w:after="40" w:before="40" w:line="240" w:lineRule="auto"/>
              <w:jc w:val="left"/>
            </w:pPr>
            <w:r>
              <w:rPr>
                <w:rFonts w:ascii="Times New Roman" w:hAnsi="Times New Roman"/>
                <w:b w:val="0"/>
                <w:i w:val="0"/>
                <w:sz w:val="20"/>
                <w:u w:val="none"/>
              </w:rPr>
              <w:t>Representante legal principal</w:t>
            </w:r>
          </w:p>
        </w:tc>
      </w:tr>
      <w:tr>
        <w:tc>
          <w:tcPr>
            <w:tcW w:type="dxa" w:w="3466"/>
          </w:tcPr>
          <w:p>
            <w:pPr>
              <w:spacing w:after="40" w:before="40" w:line="240" w:lineRule="auto"/>
              <w:jc w:val="left"/>
            </w:pPr>
            <w:r>
              <w:rPr>
                <w:rFonts w:ascii="Times New Roman" w:hAnsi="Times New Roman"/>
                <w:b w:val="0"/>
                <w:i w:val="0"/>
                <w:sz w:val="20"/>
                <w:u w:val="none"/>
              </w:rPr>
              <w:t>Responsabilidades tributarias</w:t>
            </w:r>
          </w:p>
        </w:tc>
        <w:tc>
          <w:tcPr>
            <w:tcW w:type="dxa" w:w="5656"/>
          </w:tcPr>
          <w:p>
            <w:pPr>
              <w:spacing w:after="40" w:before="40" w:line="240" w:lineRule="auto"/>
              <w:jc w:val="left"/>
            </w:pPr>
            <w:r>
              <w:rPr>
                <w:rFonts w:ascii="Times New Roman" w:hAnsi="Times New Roman"/>
                <w:b w:val="0"/>
                <w:i w:val="0"/>
                <w:sz w:val="20"/>
                <w:u w:val="none"/>
              </w:rPr>
              <w:t>Las que correspondan según el régimen: responsable de IVA (o no responsable, según los servicios efectivamente prestados y las exclusiones del artículo 476 del Estatuto Tributario), declarante de renta del régimen ordinario, agente de retención en la fuente e informante de exógena.</w:t>
            </w:r>
          </w:p>
        </w:tc>
      </w:tr>
      <w:tr>
        <w:tc>
          <w:tcPr>
            <w:tcW w:type="dxa" w:w="3466"/>
          </w:tcPr>
          <w:p>
            <w:pPr>
              <w:spacing w:after="40" w:before="40" w:line="240" w:lineRule="auto"/>
              <w:jc w:val="left"/>
            </w:pPr>
            <w:r>
              <w:rPr>
                <w:rFonts w:ascii="Times New Roman" w:hAnsi="Times New Roman"/>
                <w:b w:val="0"/>
                <w:i w:val="0"/>
                <w:sz w:val="20"/>
                <w:u w:val="none"/>
              </w:rPr>
              <w:t>Condición de importador / exportador / usuario aduanero</w:t>
            </w:r>
          </w:p>
        </w:tc>
        <w:tc>
          <w:tcPr>
            <w:tcW w:type="dxa" w:w="5656"/>
          </w:tcPr>
          <w:p>
            <w:pPr>
              <w:spacing w:after="40" w:before="40" w:line="240" w:lineRule="auto"/>
              <w:jc w:val="left"/>
            </w:pPr>
            <w:r>
              <w:rPr>
                <w:rFonts w:ascii="Times New Roman" w:hAnsi="Times New Roman"/>
                <w:b/>
                <w:i w:val="0"/>
                <w:sz w:val="20"/>
                <w:u w:val="none"/>
              </w:rPr>
              <w:t>No aplica</w:t>
            </w:r>
            <w:r>
              <w:rPr>
                <w:rFonts w:ascii="Times New Roman" w:hAnsi="Times New Roman"/>
                <w:b w:val="0"/>
                <w:i w:val="0"/>
                <w:sz w:val="20"/>
                <w:u w:val="none"/>
              </w:rPr>
              <w:t>, conforme al levantamiento de información</w:t>
            </w:r>
          </w:p>
        </w:tc>
      </w:tr>
    </w:tbl>
    <w:p>
      <w:pPr>
        <w:spacing w:after="80"/>
      </w:pPr>
    </w:p>
    <w:p>
      <w:r>
        <w:rPr>
          <w:rFonts w:ascii="Times New Roman" w:hAnsi="Times New Roman"/>
          <w:b/>
          <w:i w:val="0"/>
          <w:u w:val="none"/>
        </w:rPr>
        <w:t>Punto crítico de verificación.</w:t>
      </w:r>
      <w:r>
        <w:rPr>
          <w:rFonts w:ascii="Times New Roman" w:hAnsi="Times New Roman"/>
          <w:b w:val="0"/>
          <w:i w:val="0"/>
          <w:u w:val="none"/>
        </w:rPr>
        <w:t xml:space="preserve"> La denominación social registrada en el formulario del RUT debe ser </w:t>
      </w:r>
      <w:r>
        <w:rPr>
          <w:rFonts w:ascii="Times New Roman" w:hAnsi="Times New Roman"/>
          <w:b/>
          <w:i w:val="0"/>
          <w:u w:val="none"/>
        </w:rPr>
        <w:t>idéntica</w:t>
      </w:r>
      <w:r>
        <w:rPr>
          <w:rFonts w:ascii="Times New Roman" w:hAnsi="Times New Roman"/>
          <w:b w:val="0"/>
          <w:i w:val="0"/>
          <w:u w:val="none"/>
        </w:rPr>
        <w:t>, carácter por carácter, a la registrada en el formulario RUES y en el formulario adicional de registro con otras entidades. Lo mismo aplica al número telefónico. Cualquier discrepancia genera devolución del trámite.</w:t>
      </w:r>
    </w:p>
    <w:p>
      <w:r>
        <w:rPr>
          <w:rFonts w:ascii="Times New Roman" w:hAnsi="Times New Roman"/>
          <w:b/>
          <w:i w:val="0"/>
          <w:u w:val="none"/>
        </w:rPr>
        <w:t>Sobre el IVA.</w:t>
      </w:r>
      <w:r>
        <w:rPr>
          <w:rFonts w:ascii="Times New Roman" w:hAnsi="Times New Roman"/>
          <w:b w:val="0"/>
          <w:i w:val="0"/>
          <w:u w:val="none"/>
        </w:rPr>
        <w:t xml:space="preserve"> Los servicios de salud humana prestados por instituciones prestadoras habilitadas se encuentran </w:t>
      </w:r>
      <w:r>
        <w:rPr>
          <w:rFonts w:ascii="Times New Roman" w:hAnsi="Times New Roman"/>
          <w:b/>
          <w:i w:val="0"/>
          <w:u w:val="none"/>
        </w:rPr>
        <w:t>excluidos</w:t>
      </w:r>
      <w:r>
        <w:rPr>
          <w:rFonts w:ascii="Times New Roman" w:hAnsi="Times New Roman"/>
          <w:b w:val="0"/>
          <w:i w:val="0"/>
          <w:u w:val="none"/>
        </w:rPr>
        <w:t xml:space="preserve"> del impuesto sobre las ventas conforme al numeral 3.º del artículo 476 del Estatuto Tributario; en cambio, los servicios de gimnasio, acondicionamiento físico y bienestar corporal son </w:t>
      </w:r>
      <w:r>
        <w:rPr>
          <w:rFonts w:ascii="Times New Roman" w:hAnsi="Times New Roman"/>
          <w:b/>
          <w:i w:val="0"/>
          <w:u w:val="none"/>
        </w:rPr>
        <w:t>gravados</w:t>
      </w:r>
      <w:r>
        <w:rPr>
          <w:rFonts w:ascii="Times New Roman" w:hAnsi="Times New Roman"/>
          <w:b w:val="0"/>
          <w:i w:val="0"/>
          <w:u w:val="none"/>
        </w:rPr>
        <w:t>. Como NOVA BIENESTAR INTEGRAL S.A.S. desarrollará ambas líneas de negocio, deberá inscribirse como responsable de IVA y llevar contabilidad que permita diferenciar los ingresos excluidos de los gravados.</w:t>
      </w:r>
    </w:p>
    <w:p>
      <w:pPr>
        <w:keepNext/>
        <w:spacing w:before="320" w:after="160"/>
        <w:jc w:val="center"/>
      </w:pPr>
      <w:r>
        <w:rPr>
          <w:rFonts w:ascii="Times New Roman" w:hAnsi="Times New Roman"/>
          <w:b/>
          <w:i w:val="0"/>
          <w:sz w:val="24"/>
          <w:u w:val="none"/>
        </w:rPr>
        <w:t>3. CARÁTULA ÚNICA EMPRESARIAL Y ANEXOS (FORMULARIOS DEL RUES)</w:t>
      </w:r>
    </w:p>
    <w:p>
      <w:r>
        <w:rPr>
          <w:rFonts w:ascii="Times New Roman" w:hAnsi="Times New Roman"/>
          <w:b w:val="0"/>
          <w:i w:val="0"/>
          <w:u w:val="none"/>
        </w:rPr>
        <w:t xml:space="preserve">Los formularios del </w:t>
      </w:r>
      <w:r>
        <w:rPr>
          <w:rFonts w:ascii="Times New Roman" w:hAnsi="Times New Roman"/>
          <w:b/>
          <w:i w:val="0"/>
          <w:u w:val="none"/>
        </w:rPr>
        <w:t>Registro Único Empresarial y Social</w:t>
      </w:r>
      <w:r>
        <w:rPr>
          <w:rFonts w:ascii="Times New Roman" w:hAnsi="Times New Roman"/>
          <w:b w:val="0"/>
          <w:i w:val="0"/>
          <w:u w:val="none"/>
        </w:rPr>
        <w:t xml:space="preserve"> están integrados por una </w:t>
      </w:r>
      <w:r>
        <w:rPr>
          <w:rFonts w:ascii="Times New Roman" w:hAnsi="Times New Roman"/>
          <w:b/>
          <w:i w:val="0"/>
          <w:u w:val="none"/>
        </w:rPr>
        <w:t>carátula única empresarial</w:t>
      </w:r>
      <w:r>
        <w:rPr>
          <w:rFonts w:ascii="Times New Roman" w:hAnsi="Times New Roman"/>
          <w:b w:val="0"/>
          <w:i w:val="0"/>
          <w:u w:val="none"/>
        </w:rPr>
        <w:t xml:space="preserve"> —común a todos los registros— y por los </w:t>
      </w:r>
      <w:r>
        <w:rPr>
          <w:rFonts w:ascii="Times New Roman" w:hAnsi="Times New Roman"/>
          <w:b/>
          <w:i w:val="0"/>
          <w:u w:val="none"/>
        </w:rPr>
        <w:t>anexos</w:t>
      </w:r>
      <w:r>
        <w:rPr>
          <w:rFonts w:ascii="Times New Roman" w:hAnsi="Times New Roman"/>
          <w:b w:val="0"/>
          <w:i w:val="0"/>
          <w:u w:val="none"/>
        </w:rPr>
        <w:t xml:space="preserve"> que correspondan según el sujeto que se matricula. Para este caso deben diligenciarse </w:t>
      </w:r>
      <w:r>
        <w:rPr>
          <w:rFonts w:ascii="Times New Roman" w:hAnsi="Times New Roman"/>
          <w:b/>
          <w:i w:val="0"/>
          <w:u w:val="none"/>
        </w:rPr>
        <w:t>dos</w:t>
      </w:r>
      <w:r>
        <w:rPr>
          <w:rFonts w:ascii="Times New Roman" w:hAnsi="Times New Roman"/>
          <w:b w:val="0"/>
          <w:i w:val="0"/>
          <w:u w:val="none"/>
        </w:rPr>
        <w:t xml:space="preserve"> anexos: el de persona jurídica y el de establecimiento de comercio.</w:t>
      </w:r>
    </w:p>
    <w:p>
      <w:pPr>
        <w:keepNext/>
        <w:spacing w:before="240" w:after="80"/>
        <w:jc w:val="left"/>
      </w:pPr>
      <w:r>
        <w:rPr>
          <w:rFonts w:ascii="Times New Roman" w:hAnsi="Times New Roman"/>
          <w:b/>
          <w:i w:val="0"/>
          <w:sz w:val="24"/>
          <w:u w:val="none"/>
        </w:rPr>
        <w:t>3.1. Carátula única empresarial — datos generales de la sociedad</w:t>
      </w:r>
    </w:p>
    <w:tbl>
      <w:tblPr>
        <w:tblStyle w:val="TableGrid"/>
        <w:tblW w:type="auto" w:w="0"/>
        <w:jc w:val="center"/>
        <w:tblLayout w:type="fixed"/>
        <w:tblLook w:firstColumn="1" w:firstRow="1" w:lastColumn="0" w:lastRow="0" w:noHBand="0" w:noVBand="1" w:val="04A0"/>
        <w:tblW w:w="9122" w:type="dxa"/>
        <w:tblLayout w:type="fixed"/>
      </w:tblPr>
      <w:tblGrid>
        <w:gridCol w:w="3466"/>
        <w:gridCol w:w="5656"/>
      </w:tblGrid>
      <w:tr>
        <w:tc>
          <w:tcPr>
            <w:tcW w:type="dxa" w:w="3466"/>
            <w:shd w:val="clear" w:color="auto" w:fill="D9D9D9"/>
          </w:tcPr>
          <w:p>
            <w:pPr>
              <w:spacing w:after="40" w:before="40" w:line="240" w:lineRule="auto"/>
              <w:jc w:val="center"/>
            </w:pPr>
            <w:r>
              <w:rPr>
                <w:rFonts w:ascii="Times New Roman" w:hAnsi="Times New Roman"/>
                <w:b/>
                <w:i w:val="0"/>
                <w:sz w:val="20"/>
                <w:u w:val="none"/>
              </w:rPr>
              <w:t>Campo</w:t>
            </w:r>
          </w:p>
        </w:tc>
        <w:tc>
          <w:tcPr>
            <w:tcW w:type="dxa" w:w="5656"/>
            <w:shd w:val="clear" w:color="auto" w:fill="D9D9D9"/>
          </w:tcPr>
          <w:p>
            <w:pPr>
              <w:spacing w:after="40" w:before="40" w:line="240" w:lineRule="auto"/>
              <w:jc w:val="center"/>
            </w:pPr>
            <w:r>
              <w:rPr>
                <w:rFonts w:ascii="Times New Roman" w:hAnsi="Times New Roman"/>
                <w:b/>
                <w:i w:val="0"/>
                <w:sz w:val="20"/>
                <w:u w:val="none"/>
              </w:rPr>
              <w:t>Valor que debe diligenciarse</w:t>
            </w:r>
          </w:p>
        </w:tc>
      </w:tr>
      <w:tr>
        <w:tc>
          <w:tcPr>
            <w:tcW w:type="dxa" w:w="3466"/>
          </w:tcPr>
          <w:p>
            <w:pPr>
              <w:spacing w:after="40" w:before="40" w:line="240" w:lineRule="auto"/>
              <w:jc w:val="left"/>
            </w:pPr>
            <w:r>
              <w:rPr>
                <w:rFonts w:ascii="Times New Roman" w:hAnsi="Times New Roman"/>
                <w:b w:val="0"/>
                <w:i w:val="0"/>
                <w:sz w:val="20"/>
                <w:u w:val="none"/>
              </w:rPr>
              <w:t>Tipo de trámite</w:t>
            </w:r>
          </w:p>
        </w:tc>
        <w:tc>
          <w:tcPr>
            <w:tcW w:type="dxa" w:w="5656"/>
          </w:tcPr>
          <w:p>
            <w:pPr>
              <w:spacing w:after="40" w:before="40" w:line="240" w:lineRule="auto"/>
              <w:jc w:val="left"/>
            </w:pPr>
            <w:r>
              <w:rPr>
                <w:rFonts w:ascii="Times New Roman" w:hAnsi="Times New Roman"/>
                <w:b w:val="0"/>
                <w:i w:val="0"/>
                <w:sz w:val="20"/>
                <w:u w:val="none"/>
              </w:rPr>
              <w:t>Matrícula (no renovación ni actualización)</w:t>
            </w:r>
          </w:p>
        </w:tc>
      </w:tr>
      <w:tr>
        <w:tc>
          <w:tcPr>
            <w:tcW w:type="dxa" w:w="3466"/>
          </w:tcPr>
          <w:p>
            <w:pPr>
              <w:spacing w:after="40" w:before="40" w:line="240" w:lineRule="auto"/>
              <w:jc w:val="left"/>
            </w:pPr>
            <w:r>
              <w:rPr>
                <w:rFonts w:ascii="Times New Roman" w:hAnsi="Times New Roman"/>
                <w:b w:val="0"/>
                <w:i w:val="0"/>
                <w:sz w:val="20"/>
                <w:u w:val="none"/>
              </w:rPr>
              <w:t>Fecha de diligenciamiento</w:t>
            </w:r>
          </w:p>
        </w:tc>
        <w:tc>
          <w:tcPr>
            <w:tcW w:type="dxa" w:w="5656"/>
          </w:tcPr>
          <w:p>
            <w:pPr>
              <w:spacing w:after="40" w:before="40" w:line="240" w:lineRule="auto"/>
              <w:jc w:val="left"/>
            </w:pPr>
            <w:r>
              <w:rPr>
                <w:rFonts w:ascii="Times New Roman" w:hAnsi="Times New Roman"/>
                <w:b w:val="0"/>
                <w:i w:val="0"/>
                <w:sz w:val="20"/>
                <w:u w:val="none"/>
              </w:rPr>
              <w:t>Fecha de radicación del trámite</w:t>
            </w:r>
          </w:p>
        </w:tc>
      </w:tr>
      <w:tr>
        <w:tc>
          <w:tcPr>
            <w:tcW w:type="dxa" w:w="3466"/>
          </w:tcPr>
          <w:p>
            <w:pPr>
              <w:spacing w:after="40" w:before="40" w:line="240" w:lineRule="auto"/>
              <w:jc w:val="left"/>
            </w:pPr>
            <w:r>
              <w:rPr>
                <w:rFonts w:ascii="Times New Roman" w:hAnsi="Times New Roman"/>
                <w:b w:val="0"/>
                <w:i w:val="0"/>
                <w:sz w:val="20"/>
                <w:u w:val="none"/>
              </w:rPr>
              <w:t>Clase de persona</w:t>
            </w:r>
          </w:p>
        </w:tc>
        <w:tc>
          <w:tcPr>
            <w:tcW w:type="dxa" w:w="5656"/>
          </w:tcPr>
          <w:p>
            <w:pPr>
              <w:spacing w:after="40" w:before="40" w:line="240" w:lineRule="auto"/>
              <w:jc w:val="left"/>
            </w:pPr>
            <w:r>
              <w:rPr>
                <w:rFonts w:ascii="Times New Roman" w:hAnsi="Times New Roman"/>
                <w:b w:val="0"/>
                <w:i w:val="0"/>
                <w:sz w:val="20"/>
                <w:u w:val="none"/>
              </w:rPr>
              <w:t>Persona jurídica</w:t>
            </w:r>
          </w:p>
        </w:tc>
      </w:tr>
      <w:tr>
        <w:tc>
          <w:tcPr>
            <w:tcW w:type="dxa" w:w="3466"/>
          </w:tcPr>
          <w:p>
            <w:pPr>
              <w:spacing w:after="40" w:before="40" w:line="240" w:lineRule="auto"/>
              <w:jc w:val="left"/>
            </w:pPr>
            <w:r>
              <w:rPr>
                <w:rFonts w:ascii="Times New Roman" w:hAnsi="Times New Roman"/>
                <w:b w:val="0"/>
                <w:i w:val="0"/>
                <w:sz w:val="20"/>
                <w:u w:val="none"/>
              </w:rPr>
              <w:t>Tipo de organización jurídica</w:t>
            </w:r>
          </w:p>
        </w:tc>
        <w:tc>
          <w:tcPr>
            <w:tcW w:type="dxa" w:w="5656"/>
          </w:tcPr>
          <w:p>
            <w:pPr>
              <w:spacing w:after="40" w:before="40" w:line="240" w:lineRule="auto"/>
              <w:jc w:val="left"/>
            </w:pPr>
            <w:r>
              <w:rPr>
                <w:rFonts w:ascii="Times New Roman" w:hAnsi="Times New Roman"/>
                <w:b w:val="0"/>
                <w:i w:val="0"/>
                <w:sz w:val="20"/>
                <w:u w:val="none"/>
              </w:rPr>
              <w:t>Sociedad por acciones simplificada</w:t>
            </w:r>
          </w:p>
        </w:tc>
      </w:tr>
      <w:tr>
        <w:tc>
          <w:tcPr>
            <w:tcW w:type="dxa" w:w="3466"/>
          </w:tcPr>
          <w:p>
            <w:pPr>
              <w:spacing w:after="40" w:before="40" w:line="240" w:lineRule="auto"/>
              <w:jc w:val="left"/>
            </w:pPr>
            <w:r>
              <w:rPr>
                <w:rFonts w:ascii="Times New Roman" w:hAnsi="Times New Roman"/>
                <w:b w:val="0"/>
                <w:i w:val="0"/>
                <w:sz w:val="20"/>
                <w:u w:val="none"/>
              </w:rPr>
              <w:t>Categoría de la matrícula</w:t>
            </w:r>
          </w:p>
        </w:tc>
        <w:tc>
          <w:tcPr>
            <w:tcW w:type="dxa" w:w="5656"/>
          </w:tcPr>
          <w:p>
            <w:pPr>
              <w:spacing w:after="40" w:before="40" w:line="240" w:lineRule="auto"/>
              <w:jc w:val="left"/>
            </w:pPr>
            <w:r>
              <w:rPr>
                <w:rFonts w:ascii="Times New Roman" w:hAnsi="Times New Roman"/>
                <w:b w:val="0"/>
                <w:i w:val="0"/>
                <w:sz w:val="20"/>
                <w:u w:val="none"/>
              </w:rPr>
              <w:t>Sociedad comercial</w:t>
            </w:r>
          </w:p>
        </w:tc>
      </w:tr>
      <w:tr>
        <w:tc>
          <w:tcPr>
            <w:tcW w:type="dxa" w:w="3466"/>
          </w:tcPr>
          <w:p>
            <w:pPr>
              <w:spacing w:after="40" w:before="40" w:line="240" w:lineRule="auto"/>
              <w:jc w:val="left"/>
            </w:pPr>
            <w:r>
              <w:rPr>
                <w:rFonts w:ascii="Times New Roman" w:hAnsi="Times New Roman"/>
                <w:b w:val="0"/>
                <w:i w:val="0"/>
                <w:sz w:val="20"/>
                <w:u w:val="none"/>
              </w:rPr>
              <w:t>Razón social</w:t>
            </w:r>
          </w:p>
        </w:tc>
        <w:tc>
          <w:tcPr>
            <w:tcW w:type="dxa" w:w="5656"/>
          </w:tcPr>
          <w:p>
            <w:pPr>
              <w:spacing w:after="40" w:before="40" w:line="240" w:lineRule="auto"/>
              <w:jc w:val="left"/>
            </w:pPr>
            <w:r>
              <w:rPr>
                <w:rFonts w:ascii="Times New Roman" w:hAnsi="Times New Roman"/>
                <w:b w:val="0"/>
                <w:i w:val="0"/>
                <w:sz w:val="20"/>
                <w:u w:val="none"/>
              </w:rPr>
              <w:t>NOVA BIENESTAR INTEGRAL S.A.S.</w:t>
            </w:r>
          </w:p>
        </w:tc>
      </w:tr>
      <w:tr>
        <w:tc>
          <w:tcPr>
            <w:tcW w:type="dxa" w:w="3466"/>
          </w:tcPr>
          <w:p>
            <w:pPr>
              <w:spacing w:after="40" w:before="40" w:line="240" w:lineRule="auto"/>
              <w:jc w:val="left"/>
            </w:pPr>
            <w:r>
              <w:rPr>
                <w:rFonts w:ascii="Times New Roman" w:hAnsi="Times New Roman"/>
                <w:b w:val="0"/>
                <w:i w:val="0"/>
                <w:sz w:val="20"/>
                <w:u w:val="none"/>
              </w:rPr>
              <w:t>Sigla</w:t>
            </w:r>
          </w:p>
        </w:tc>
        <w:tc>
          <w:tcPr>
            <w:tcW w:type="dxa" w:w="5656"/>
          </w:tcPr>
          <w:p>
            <w:pPr>
              <w:spacing w:after="40" w:before="40" w:line="240" w:lineRule="auto"/>
              <w:jc w:val="left"/>
            </w:pPr>
            <w:r>
              <w:rPr>
                <w:rFonts w:ascii="Times New Roman" w:hAnsi="Times New Roman"/>
                <w:b w:val="0"/>
                <w:i w:val="0"/>
                <w:sz w:val="20"/>
                <w:u w:val="none"/>
              </w:rPr>
              <w:t>No aplica</w:t>
            </w:r>
          </w:p>
        </w:tc>
      </w:tr>
      <w:tr>
        <w:tc>
          <w:tcPr>
            <w:tcW w:type="dxa" w:w="3466"/>
          </w:tcPr>
          <w:p>
            <w:pPr>
              <w:spacing w:after="40" w:before="40" w:line="240" w:lineRule="auto"/>
              <w:jc w:val="left"/>
            </w:pPr>
            <w:r>
              <w:rPr>
                <w:rFonts w:ascii="Times New Roman" w:hAnsi="Times New Roman"/>
                <w:b w:val="0"/>
                <w:i w:val="0"/>
                <w:sz w:val="20"/>
                <w:u w:val="none"/>
              </w:rPr>
              <w:t>Número de identificación tributaria (NIT)</w:t>
            </w:r>
          </w:p>
        </w:tc>
        <w:tc>
          <w:tcPr>
            <w:tcW w:type="dxa" w:w="5656"/>
          </w:tcPr>
          <w:p>
            <w:pPr>
              <w:spacing w:after="40" w:before="40" w:line="240" w:lineRule="auto"/>
              <w:jc w:val="left"/>
            </w:pPr>
            <w:r>
              <w:rPr>
                <w:rFonts w:ascii="Times New Roman" w:hAnsi="Times New Roman"/>
                <w:b w:val="0"/>
                <w:i w:val="0"/>
                <w:sz w:val="20"/>
                <w:u w:val="none"/>
              </w:rPr>
              <w:t xml:space="preserve">El asignado en el RUT provisional, </w:t>
            </w:r>
            <w:r>
              <w:rPr>
                <w:rFonts w:ascii="Times New Roman" w:hAnsi="Times New Roman"/>
                <w:b/>
                <w:i w:val="0"/>
                <w:sz w:val="20"/>
                <w:u w:val="none"/>
              </w:rPr>
              <w:t>sin dígito de verificación</w:t>
            </w:r>
            <w:r>
              <w:rPr>
                <w:rFonts w:ascii="Times New Roman" w:hAnsi="Times New Roman"/>
                <w:b w:val="0"/>
                <w:i w:val="0"/>
                <w:sz w:val="20"/>
                <w:u w:val="none"/>
              </w:rPr>
              <w:t xml:space="preserve"> en el cuerpo y con este en la casilla destinada al efecto</w:t>
            </w:r>
          </w:p>
        </w:tc>
      </w:tr>
      <w:tr>
        <w:tc>
          <w:tcPr>
            <w:tcW w:type="dxa" w:w="3466"/>
          </w:tcPr>
          <w:p>
            <w:pPr>
              <w:spacing w:after="40" w:before="40" w:line="240" w:lineRule="auto"/>
              <w:jc w:val="left"/>
            </w:pPr>
            <w:r>
              <w:rPr>
                <w:rFonts w:ascii="Times New Roman" w:hAnsi="Times New Roman"/>
                <w:b w:val="0"/>
                <w:i w:val="0"/>
                <w:sz w:val="20"/>
                <w:u w:val="none"/>
              </w:rPr>
              <w:t>Fecha de constitución</w:t>
            </w:r>
          </w:p>
        </w:tc>
        <w:tc>
          <w:tcPr>
            <w:tcW w:type="dxa" w:w="5656"/>
          </w:tcPr>
          <w:p>
            <w:pPr>
              <w:spacing w:after="40" w:before="40" w:line="240" w:lineRule="auto"/>
              <w:jc w:val="left"/>
            </w:pPr>
            <w:r>
              <w:rPr>
                <w:rFonts w:ascii="Times New Roman" w:hAnsi="Times New Roman"/>
                <w:b w:val="0"/>
                <w:i w:val="0"/>
                <w:sz w:val="20"/>
                <w:u w:val="none"/>
              </w:rPr>
              <w:t>1.º de octubre de 2026</w:t>
            </w:r>
          </w:p>
        </w:tc>
      </w:tr>
      <w:tr>
        <w:tc>
          <w:tcPr>
            <w:tcW w:type="dxa" w:w="3466"/>
          </w:tcPr>
          <w:p>
            <w:pPr>
              <w:spacing w:after="40" w:before="40" w:line="240" w:lineRule="auto"/>
              <w:jc w:val="left"/>
            </w:pPr>
            <w:r>
              <w:rPr>
                <w:rFonts w:ascii="Times New Roman" w:hAnsi="Times New Roman"/>
                <w:b w:val="0"/>
                <w:i w:val="0"/>
                <w:sz w:val="20"/>
                <w:u w:val="none"/>
              </w:rPr>
              <w:t>Domicilio principal (departamento / municipio)</w:t>
            </w:r>
          </w:p>
        </w:tc>
        <w:tc>
          <w:tcPr>
            <w:tcW w:type="dxa" w:w="5656"/>
          </w:tcPr>
          <w:p>
            <w:pPr>
              <w:spacing w:after="40" w:before="40" w:line="240" w:lineRule="auto"/>
              <w:jc w:val="left"/>
            </w:pPr>
            <w:r>
              <w:rPr>
                <w:rFonts w:ascii="Times New Roman" w:hAnsi="Times New Roman"/>
                <w:b w:val="0"/>
                <w:i w:val="0"/>
                <w:sz w:val="20"/>
                <w:u w:val="none"/>
              </w:rPr>
              <w:t>Antioquia / Medellín</w:t>
            </w:r>
          </w:p>
        </w:tc>
      </w:tr>
      <w:tr>
        <w:tc>
          <w:tcPr>
            <w:tcW w:type="dxa" w:w="3466"/>
          </w:tcPr>
          <w:p>
            <w:pPr>
              <w:spacing w:after="40" w:before="40" w:line="240" w:lineRule="auto"/>
              <w:jc w:val="left"/>
            </w:pPr>
            <w:r>
              <w:rPr>
                <w:rFonts w:ascii="Times New Roman" w:hAnsi="Times New Roman"/>
                <w:b w:val="0"/>
                <w:i w:val="0"/>
                <w:sz w:val="20"/>
                <w:u w:val="none"/>
              </w:rPr>
              <w:t>Dirección del domicilio principal</w:t>
            </w:r>
          </w:p>
        </w:tc>
        <w:tc>
          <w:tcPr>
            <w:tcW w:type="dxa" w:w="5656"/>
          </w:tcPr>
          <w:p>
            <w:pPr>
              <w:spacing w:after="40" w:before="40" w:line="240" w:lineRule="auto"/>
              <w:jc w:val="left"/>
            </w:pPr>
            <w:r>
              <w:rPr>
                <w:rFonts w:ascii="Times New Roman" w:hAnsi="Times New Roman"/>
                <w:b w:val="0"/>
                <w:i w:val="0"/>
                <w:sz w:val="20"/>
                <w:u w:val="none"/>
              </w:rPr>
              <w:t>Carrera 37 n.º 10A-58, oficina 804</w:t>
            </w:r>
          </w:p>
        </w:tc>
      </w:tr>
      <w:tr>
        <w:tc>
          <w:tcPr>
            <w:tcW w:type="dxa" w:w="3466"/>
          </w:tcPr>
          <w:p>
            <w:pPr>
              <w:spacing w:after="40" w:before="40" w:line="240" w:lineRule="auto"/>
              <w:jc w:val="left"/>
            </w:pPr>
            <w:r>
              <w:rPr>
                <w:rFonts w:ascii="Times New Roman" w:hAnsi="Times New Roman"/>
                <w:b w:val="0"/>
                <w:i w:val="0"/>
                <w:sz w:val="20"/>
                <w:u w:val="none"/>
              </w:rPr>
              <w:t>Barrio / zona</w:t>
            </w:r>
          </w:p>
        </w:tc>
        <w:tc>
          <w:tcPr>
            <w:tcW w:type="dxa" w:w="5656"/>
          </w:tcPr>
          <w:p>
            <w:pPr>
              <w:spacing w:after="40" w:before="40" w:line="240" w:lineRule="auto"/>
              <w:jc w:val="left"/>
            </w:pPr>
            <w:r>
              <w:rPr>
                <w:rFonts w:ascii="Times New Roman" w:hAnsi="Times New Roman"/>
                <w:b w:val="0"/>
                <w:i w:val="0"/>
                <w:sz w:val="20"/>
                <w:u w:val="none"/>
              </w:rPr>
              <w:t>El correspondiente a la dirección (zona urbana)</w:t>
            </w:r>
          </w:p>
        </w:tc>
      </w:tr>
      <w:tr>
        <w:tc>
          <w:tcPr>
            <w:tcW w:type="dxa" w:w="3466"/>
          </w:tcPr>
          <w:p>
            <w:pPr>
              <w:spacing w:after="40" w:before="40" w:line="240" w:lineRule="auto"/>
              <w:jc w:val="left"/>
            </w:pPr>
            <w:r>
              <w:rPr>
                <w:rFonts w:ascii="Times New Roman" w:hAnsi="Times New Roman"/>
                <w:b w:val="0"/>
                <w:i w:val="0"/>
                <w:sz w:val="20"/>
                <w:u w:val="none"/>
              </w:rPr>
              <w:t>Teléfono comercial 1 / celular</w:t>
            </w:r>
          </w:p>
        </w:tc>
        <w:tc>
          <w:tcPr>
            <w:tcW w:type="dxa" w:w="5656"/>
          </w:tcPr>
          <w:p>
            <w:pPr>
              <w:spacing w:after="40" w:before="40" w:line="240" w:lineRule="auto"/>
              <w:jc w:val="left"/>
            </w:pPr>
            <w:r>
              <w:rPr>
                <w:rFonts w:ascii="Times New Roman" w:hAnsi="Times New Roman"/>
                <w:b w:val="0"/>
                <w:i w:val="0"/>
                <w:sz w:val="20"/>
                <w:u w:val="none"/>
              </w:rPr>
              <w:t>315 684 9271</w:t>
            </w:r>
          </w:p>
        </w:tc>
      </w:tr>
      <w:tr>
        <w:tc>
          <w:tcPr>
            <w:tcW w:type="dxa" w:w="3466"/>
          </w:tcPr>
          <w:p>
            <w:pPr>
              <w:spacing w:after="40" w:before="40" w:line="240" w:lineRule="auto"/>
              <w:jc w:val="left"/>
            </w:pPr>
            <w:r>
              <w:rPr>
                <w:rFonts w:ascii="Times New Roman" w:hAnsi="Times New Roman"/>
                <w:b w:val="0"/>
                <w:i w:val="0"/>
                <w:sz w:val="20"/>
                <w:u w:val="none"/>
              </w:rPr>
              <w:t>Correo electrónico comercial</w:t>
            </w:r>
          </w:p>
        </w:tc>
        <w:tc>
          <w:tcPr>
            <w:tcW w:type="dxa" w:w="5656"/>
          </w:tcPr>
          <w:p>
            <w:pPr>
              <w:spacing w:after="40" w:before="40" w:line="240" w:lineRule="auto"/>
              <w:jc w:val="left"/>
            </w:pPr>
            <w:r>
              <w:rPr>
                <w:rFonts w:ascii="Times New Roman" w:hAnsi="Times New Roman"/>
                <w:b w:val="0"/>
                <w:i w:val="0"/>
                <w:sz w:val="20"/>
                <w:u w:val="none"/>
              </w:rPr>
              <w:t>contacto@novabienestarintegral.com</w:t>
            </w:r>
          </w:p>
        </w:tc>
      </w:tr>
      <w:tr>
        <w:tc>
          <w:tcPr>
            <w:tcW w:type="dxa" w:w="3466"/>
          </w:tcPr>
          <w:p>
            <w:pPr>
              <w:spacing w:after="40" w:before="40" w:line="240" w:lineRule="auto"/>
              <w:jc w:val="left"/>
            </w:pPr>
            <w:r>
              <w:rPr>
                <w:rFonts w:ascii="Times New Roman" w:hAnsi="Times New Roman"/>
                <w:b w:val="0"/>
                <w:i w:val="0"/>
                <w:sz w:val="20"/>
                <w:u w:val="none"/>
              </w:rPr>
              <w:t>Dirección para notificación judicial</w:t>
            </w:r>
          </w:p>
        </w:tc>
        <w:tc>
          <w:tcPr>
            <w:tcW w:type="dxa" w:w="5656"/>
          </w:tcPr>
          <w:p>
            <w:pPr>
              <w:spacing w:after="40" w:before="40" w:line="240" w:lineRule="auto"/>
              <w:jc w:val="left"/>
            </w:pPr>
            <w:r>
              <w:rPr>
                <w:rFonts w:ascii="Times New Roman" w:hAnsi="Times New Roman"/>
                <w:b w:val="0"/>
                <w:i w:val="0"/>
                <w:sz w:val="20"/>
                <w:u w:val="none"/>
              </w:rPr>
              <w:t>Carrera 37 n.º 10A-58, oficina 804, Medellín (Antioquia)</w:t>
            </w:r>
          </w:p>
        </w:tc>
      </w:tr>
      <w:tr>
        <w:tc>
          <w:tcPr>
            <w:tcW w:type="dxa" w:w="3466"/>
          </w:tcPr>
          <w:p>
            <w:pPr>
              <w:spacing w:after="40" w:before="40" w:line="240" w:lineRule="auto"/>
              <w:jc w:val="left"/>
            </w:pPr>
            <w:r>
              <w:rPr>
                <w:rFonts w:ascii="Times New Roman" w:hAnsi="Times New Roman"/>
                <w:b w:val="0"/>
                <w:i w:val="0"/>
                <w:sz w:val="20"/>
                <w:u w:val="none"/>
              </w:rPr>
              <w:t>Correo electrónico de notificación judicial</w:t>
            </w:r>
          </w:p>
        </w:tc>
        <w:tc>
          <w:tcPr>
            <w:tcW w:type="dxa" w:w="5656"/>
          </w:tcPr>
          <w:p>
            <w:pPr>
              <w:spacing w:after="40" w:before="40" w:line="240" w:lineRule="auto"/>
              <w:jc w:val="left"/>
            </w:pPr>
            <w:r>
              <w:rPr>
                <w:rFonts w:ascii="Times New Roman" w:hAnsi="Times New Roman"/>
                <w:b w:val="0"/>
                <w:i w:val="0"/>
                <w:sz w:val="20"/>
                <w:u w:val="none"/>
              </w:rPr>
              <w:t>contacto@novabienestarintegral.com</w:t>
            </w:r>
          </w:p>
        </w:tc>
      </w:tr>
      <w:tr>
        <w:tc>
          <w:tcPr>
            <w:tcW w:type="dxa" w:w="3466"/>
          </w:tcPr>
          <w:p>
            <w:pPr>
              <w:spacing w:after="40" w:before="40" w:line="240" w:lineRule="auto"/>
              <w:jc w:val="left"/>
            </w:pPr>
            <w:r>
              <w:rPr>
                <w:rFonts w:ascii="Times New Roman" w:hAnsi="Times New Roman"/>
                <w:b w:val="0"/>
                <w:i w:val="0"/>
                <w:sz w:val="20"/>
                <w:u w:val="none"/>
              </w:rPr>
              <w:t>Página web</w:t>
            </w:r>
          </w:p>
        </w:tc>
        <w:tc>
          <w:tcPr>
            <w:tcW w:type="dxa" w:w="5656"/>
          </w:tcPr>
          <w:p>
            <w:pPr>
              <w:spacing w:after="40" w:before="40" w:line="240" w:lineRule="auto"/>
              <w:jc w:val="left"/>
            </w:pPr>
            <w:r>
              <w:rPr>
                <w:rFonts w:ascii="Times New Roman" w:hAnsi="Times New Roman"/>
                <w:b w:val="0"/>
                <w:i w:val="0"/>
                <w:sz w:val="20"/>
                <w:u w:val="none"/>
              </w:rPr>
              <w:t>(Opcional)</w:t>
            </w:r>
          </w:p>
        </w:tc>
      </w:tr>
      <w:tr>
        <w:tc>
          <w:tcPr>
            <w:tcW w:type="dxa" w:w="3466"/>
          </w:tcPr>
          <w:p>
            <w:pPr>
              <w:spacing w:after="40" w:before="40" w:line="240" w:lineRule="auto"/>
              <w:jc w:val="left"/>
            </w:pPr>
            <w:r>
              <w:rPr>
                <w:rFonts w:ascii="Times New Roman" w:hAnsi="Times New Roman"/>
                <w:b w:val="0"/>
                <w:i w:val="0"/>
                <w:sz w:val="20"/>
                <w:u w:val="none"/>
              </w:rPr>
              <w:t>Actividad económica principal (CIIU)</w:t>
            </w:r>
          </w:p>
        </w:tc>
        <w:tc>
          <w:tcPr>
            <w:tcW w:type="dxa" w:w="5656"/>
          </w:tcPr>
          <w:p>
            <w:pPr>
              <w:spacing w:after="40" w:before="40" w:line="240" w:lineRule="auto"/>
              <w:jc w:val="left"/>
            </w:pPr>
            <w:r>
              <w:rPr>
                <w:rFonts w:ascii="Times New Roman" w:hAnsi="Times New Roman"/>
                <w:b w:val="0"/>
                <w:i w:val="0"/>
                <w:sz w:val="20"/>
                <w:u w:val="none"/>
              </w:rPr>
              <w:t>8692</w:t>
            </w:r>
          </w:p>
        </w:tc>
      </w:tr>
      <w:tr>
        <w:tc>
          <w:tcPr>
            <w:tcW w:type="dxa" w:w="3466"/>
          </w:tcPr>
          <w:p>
            <w:pPr>
              <w:spacing w:after="40" w:before="40" w:line="240" w:lineRule="auto"/>
              <w:jc w:val="left"/>
            </w:pPr>
            <w:r>
              <w:rPr>
                <w:rFonts w:ascii="Times New Roman" w:hAnsi="Times New Roman"/>
                <w:b w:val="0"/>
                <w:i w:val="0"/>
                <w:sz w:val="20"/>
                <w:u w:val="none"/>
              </w:rPr>
              <w:t>Actividades secundarias (CIIU)</w:t>
            </w:r>
          </w:p>
        </w:tc>
        <w:tc>
          <w:tcPr>
            <w:tcW w:type="dxa" w:w="5656"/>
          </w:tcPr>
          <w:p>
            <w:pPr>
              <w:spacing w:after="40" w:before="40" w:line="240" w:lineRule="auto"/>
              <w:jc w:val="left"/>
            </w:pPr>
            <w:r>
              <w:rPr>
                <w:rFonts w:ascii="Times New Roman" w:hAnsi="Times New Roman"/>
                <w:b w:val="0"/>
                <w:i w:val="0"/>
                <w:sz w:val="20"/>
                <w:u w:val="none"/>
              </w:rPr>
              <w:t>9311 y 9609</w:t>
            </w:r>
          </w:p>
        </w:tc>
      </w:tr>
      <w:tr>
        <w:tc>
          <w:tcPr>
            <w:tcW w:type="dxa" w:w="3466"/>
          </w:tcPr>
          <w:p>
            <w:pPr>
              <w:spacing w:after="40" w:before="40" w:line="240" w:lineRule="auto"/>
              <w:jc w:val="left"/>
            </w:pPr>
            <w:r>
              <w:rPr>
                <w:rFonts w:ascii="Times New Roman" w:hAnsi="Times New Roman"/>
                <w:b w:val="0"/>
                <w:i w:val="0"/>
                <w:sz w:val="20"/>
                <w:u w:val="none"/>
              </w:rPr>
              <w:t>Fecha de inicio de la actividad económica principal</w:t>
            </w:r>
          </w:p>
        </w:tc>
        <w:tc>
          <w:tcPr>
            <w:tcW w:type="dxa" w:w="5656"/>
          </w:tcPr>
          <w:p>
            <w:pPr>
              <w:spacing w:after="40" w:before="40" w:line="240" w:lineRule="auto"/>
              <w:jc w:val="left"/>
            </w:pPr>
            <w:r>
              <w:rPr>
                <w:rFonts w:ascii="Times New Roman" w:hAnsi="Times New Roman"/>
                <w:b w:val="0"/>
                <w:i w:val="0"/>
                <w:sz w:val="20"/>
                <w:u w:val="none"/>
              </w:rPr>
              <w:t>1.º de octubre de 2026</w:t>
            </w:r>
          </w:p>
        </w:tc>
      </w:tr>
      <w:tr>
        <w:tc>
          <w:tcPr>
            <w:tcW w:type="dxa" w:w="3466"/>
          </w:tcPr>
          <w:p>
            <w:pPr>
              <w:spacing w:after="40" w:before="40" w:line="240" w:lineRule="auto"/>
              <w:jc w:val="left"/>
            </w:pPr>
            <w:r>
              <w:rPr>
                <w:rFonts w:ascii="Times New Roman" w:hAnsi="Times New Roman"/>
                <w:b w:val="0"/>
                <w:i w:val="0"/>
                <w:sz w:val="20"/>
                <w:u w:val="none"/>
              </w:rPr>
              <w:t>Tamaño de la empresa</w:t>
            </w:r>
          </w:p>
        </w:tc>
        <w:tc>
          <w:tcPr>
            <w:tcW w:type="dxa" w:w="5656"/>
          </w:tcPr>
          <w:p>
            <w:pPr>
              <w:spacing w:after="40" w:before="40" w:line="240" w:lineRule="auto"/>
              <w:jc w:val="left"/>
            </w:pPr>
            <w:r>
              <w:rPr>
                <w:rFonts w:ascii="Times New Roman" w:hAnsi="Times New Roman"/>
                <w:b w:val="0"/>
                <w:i w:val="0"/>
                <w:sz w:val="20"/>
                <w:u w:val="none"/>
              </w:rPr>
              <w:t>Microempresa o pequeña empresa, según el Decreto 957 de 2019 y el sector servicios (se determina por ingresos por actividades ordinarias)</w:t>
            </w:r>
          </w:p>
        </w:tc>
      </w:tr>
      <w:tr>
        <w:tc>
          <w:tcPr>
            <w:tcW w:type="dxa" w:w="3466"/>
          </w:tcPr>
          <w:p>
            <w:pPr>
              <w:spacing w:after="40" w:before="40" w:line="240" w:lineRule="auto"/>
              <w:jc w:val="left"/>
            </w:pPr>
            <w:r>
              <w:rPr>
                <w:rFonts w:ascii="Times New Roman" w:hAnsi="Times New Roman"/>
                <w:b w:val="0"/>
                <w:i w:val="0"/>
                <w:sz w:val="20"/>
                <w:u w:val="none"/>
              </w:rPr>
              <w:t>Total de activos</w:t>
            </w:r>
          </w:p>
        </w:tc>
        <w:tc>
          <w:tcPr>
            <w:tcW w:type="dxa" w:w="5656"/>
          </w:tcPr>
          <w:p>
            <w:pPr>
              <w:spacing w:after="40" w:before="40" w:line="240" w:lineRule="auto"/>
              <w:jc w:val="left"/>
            </w:pPr>
            <w:r>
              <w:rPr>
                <w:rFonts w:ascii="Times New Roman" w:hAnsi="Times New Roman"/>
                <w:b w:val="0"/>
                <w:i w:val="0"/>
                <w:sz w:val="20"/>
                <w:u w:val="none"/>
              </w:rPr>
              <w:t>$600.000.000</w:t>
            </w:r>
          </w:p>
        </w:tc>
      </w:tr>
      <w:tr>
        <w:tc>
          <w:tcPr>
            <w:tcW w:type="dxa" w:w="3466"/>
          </w:tcPr>
          <w:p>
            <w:pPr>
              <w:spacing w:after="40" w:before="40" w:line="240" w:lineRule="auto"/>
              <w:jc w:val="left"/>
            </w:pPr>
            <w:r>
              <w:rPr>
                <w:rFonts w:ascii="Times New Roman" w:hAnsi="Times New Roman"/>
                <w:b w:val="0"/>
                <w:i w:val="0"/>
                <w:sz w:val="20"/>
                <w:u w:val="none"/>
              </w:rPr>
              <w:t>Total de pasivos</w:t>
            </w:r>
          </w:p>
        </w:tc>
        <w:tc>
          <w:tcPr>
            <w:tcW w:type="dxa" w:w="5656"/>
          </w:tcPr>
          <w:p>
            <w:pPr>
              <w:spacing w:after="40" w:before="40" w:line="240" w:lineRule="auto"/>
              <w:jc w:val="left"/>
            </w:pPr>
            <w:r>
              <w:rPr>
                <w:rFonts w:ascii="Times New Roman" w:hAnsi="Times New Roman"/>
                <w:b w:val="0"/>
                <w:i w:val="0"/>
                <w:sz w:val="20"/>
                <w:u w:val="none"/>
              </w:rPr>
              <w:t>$0</w:t>
            </w:r>
          </w:p>
        </w:tc>
      </w:tr>
      <w:tr>
        <w:tc>
          <w:tcPr>
            <w:tcW w:type="dxa" w:w="3466"/>
          </w:tcPr>
          <w:p>
            <w:pPr>
              <w:spacing w:after="40" w:before="40" w:line="240" w:lineRule="auto"/>
              <w:jc w:val="left"/>
            </w:pPr>
            <w:r>
              <w:rPr>
                <w:rFonts w:ascii="Times New Roman" w:hAnsi="Times New Roman"/>
                <w:b w:val="0"/>
                <w:i w:val="0"/>
                <w:sz w:val="20"/>
                <w:u w:val="none"/>
              </w:rPr>
              <w:t>Patrimonio</w:t>
            </w:r>
          </w:p>
        </w:tc>
        <w:tc>
          <w:tcPr>
            <w:tcW w:type="dxa" w:w="5656"/>
          </w:tcPr>
          <w:p>
            <w:pPr>
              <w:spacing w:after="40" w:before="40" w:line="240" w:lineRule="auto"/>
              <w:jc w:val="left"/>
            </w:pPr>
            <w:r>
              <w:rPr>
                <w:rFonts w:ascii="Times New Roman" w:hAnsi="Times New Roman"/>
                <w:b w:val="0"/>
                <w:i w:val="0"/>
                <w:sz w:val="20"/>
                <w:u w:val="none"/>
              </w:rPr>
              <w:t>$600.000.000</w:t>
            </w:r>
          </w:p>
        </w:tc>
      </w:tr>
      <w:tr>
        <w:tc>
          <w:tcPr>
            <w:tcW w:type="dxa" w:w="3466"/>
          </w:tcPr>
          <w:p>
            <w:pPr>
              <w:spacing w:after="40" w:before="40" w:line="240" w:lineRule="auto"/>
              <w:jc w:val="left"/>
            </w:pPr>
            <w:r>
              <w:rPr>
                <w:rFonts w:ascii="Times New Roman" w:hAnsi="Times New Roman"/>
                <w:b w:val="0"/>
                <w:i w:val="0"/>
                <w:sz w:val="20"/>
                <w:u w:val="none"/>
              </w:rPr>
              <w:t>Número total de personas ocupadas</w:t>
            </w:r>
          </w:p>
        </w:tc>
        <w:tc>
          <w:tcPr>
            <w:tcW w:type="dxa" w:w="5656"/>
          </w:tcPr>
          <w:p>
            <w:pPr>
              <w:spacing w:after="40" w:before="40" w:line="240" w:lineRule="auto"/>
              <w:jc w:val="left"/>
            </w:pPr>
            <w:r>
              <w:rPr>
                <w:rFonts w:ascii="Times New Roman" w:hAnsi="Times New Roman"/>
                <w:b w:val="0"/>
                <w:i w:val="0"/>
                <w:sz w:val="20"/>
                <w:u w:val="none"/>
              </w:rPr>
              <w:t>9</w:t>
            </w:r>
          </w:p>
        </w:tc>
      </w:tr>
      <w:tr>
        <w:tc>
          <w:tcPr>
            <w:tcW w:type="dxa" w:w="3466"/>
          </w:tcPr>
          <w:p>
            <w:pPr>
              <w:spacing w:after="40" w:before="40" w:line="240" w:lineRule="auto"/>
              <w:jc w:val="left"/>
            </w:pPr>
            <w:r>
              <w:rPr>
                <w:rFonts w:ascii="Times New Roman" w:hAnsi="Times New Roman"/>
                <w:b w:val="0"/>
                <w:i w:val="0"/>
                <w:sz w:val="20"/>
                <w:u w:val="none"/>
              </w:rPr>
              <w:t>Número de mujeres empleadas</w:t>
            </w:r>
          </w:p>
        </w:tc>
        <w:tc>
          <w:tcPr>
            <w:tcW w:type="dxa" w:w="5656"/>
          </w:tcPr>
          <w:p>
            <w:pPr>
              <w:spacing w:after="40" w:before="40" w:line="240" w:lineRule="auto"/>
              <w:jc w:val="left"/>
            </w:pPr>
            <w:r>
              <w:rPr>
                <w:rFonts w:ascii="Times New Roman" w:hAnsi="Times New Roman"/>
                <w:b w:val="0"/>
                <w:i w:val="0"/>
                <w:sz w:val="20"/>
                <w:u w:val="none"/>
              </w:rPr>
              <w:t>5</w:t>
            </w:r>
          </w:p>
        </w:tc>
      </w:tr>
      <w:tr>
        <w:tc>
          <w:tcPr>
            <w:tcW w:type="dxa" w:w="3466"/>
          </w:tcPr>
          <w:p>
            <w:pPr>
              <w:spacing w:after="40" w:before="40" w:line="240" w:lineRule="auto"/>
              <w:jc w:val="left"/>
            </w:pPr>
            <w:r>
              <w:rPr>
                <w:rFonts w:ascii="Times New Roman" w:hAnsi="Times New Roman"/>
                <w:b w:val="0"/>
                <w:i w:val="0"/>
                <w:sz w:val="20"/>
                <w:u w:val="none"/>
              </w:rPr>
              <w:t>Número de mujeres en cargos directivos</w:t>
            </w:r>
          </w:p>
        </w:tc>
        <w:tc>
          <w:tcPr>
            <w:tcW w:type="dxa" w:w="5656"/>
          </w:tcPr>
          <w:p>
            <w:pPr>
              <w:spacing w:after="40" w:before="40" w:line="240" w:lineRule="auto"/>
              <w:jc w:val="left"/>
            </w:pPr>
            <w:r>
              <w:rPr>
                <w:rFonts w:ascii="Times New Roman" w:hAnsi="Times New Roman"/>
                <w:b w:val="0"/>
                <w:i w:val="0"/>
                <w:sz w:val="20"/>
                <w:u w:val="none"/>
              </w:rPr>
              <w:t>2</w:t>
            </w:r>
          </w:p>
        </w:tc>
      </w:tr>
      <w:tr>
        <w:tc>
          <w:tcPr>
            <w:tcW w:type="dxa" w:w="3466"/>
          </w:tcPr>
          <w:p>
            <w:pPr>
              <w:spacing w:after="40" w:before="40" w:line="240" w:lineRule="auto"/>
              <w:jc w:val="left"/>
            </w:pPr>
            <w:r>
              <w:rPr>
                <w:rFonts w:ascii="Times New Roman" w:hAnsi="Times New Roman"/>
                <w:b w:val="0"/>
                <w:i w:val="0"/>
                <w:sz w:val="20"/>
                <w:u w:val="none"/>
              </w:rPr>
              <w:t>Porcentaje de empleados temporales</w:t>
            </w:r>
          </w:p>
        </w:tc>
        <w:tc>
          <w:tcPr>
            <w:tcW w:type="dxa" w:w="5656"/>
          </w:tcPr>
          <w:p>
            <w:pPr>
              <w:spacing w:after="40" w:before="40" w:line="240" w:lineRule="auto"/>
              <w:jc w:val="left"/>
            </w:pPr>
            <w:r>
              <w:rPr>
                <w:rFonts w:ascii="Times New Roman" w:hAnsi="Times New Roman"/>
                <w:b w:val="0"/>
                <w:i w:val="0"/>
                <w:sz w:val="20"/>
                <w:u w:val="none"/>
              </w:rPr>
              <w:t>0 %</w:t>
            </w:r>
          </w:p>
        </w:tc>
      </w:tr>
      <w:tr>
        <w:tc>
          <w:tcPr>
            <w:tcW w:type="dxa" w:w="3466"/>
          </w:tcPr>
          <w:p>
            <w:pPr>
              <w:spacing w:after="40" w:before="40" w:line="240" w:lineRule="auto"/>
              <w:jc w:val="left"/>
            </w:pPr>
            <w:r>
              <w:rPr>
                <w:rFonts w:ascii="Times New Roman" w:hAnsi="Times New Roman"/>
                <w:b w:val="0"/>
                <w:i w:val="0"/>
                <w:sz w:val="20"/>
                <w:u w:val="none"/>
              </w:rPr>
              <w:t>¿Implementa procesos de innovación?</w:t>
            </w:r>
          </w:p>
        </w:tc>
        <w:tc>
          <w:tcPr>
            <w:tcW w:type="dxa" w:w="5656"/>
          </w:tcPr>
          <w:p>
            <w:pPr>
              <w:spacing w:after="40" w:before="40" w:line="240" w:lineRule="auto"/>
              <w:jc w:val="left"/>
            </w:pPr>
            <w:r>
              <w:rPr>
                <w:rFonts w:ascii="Times New Roman" w:hAnsi="Times New Roman"/>
                <w:b w:val="0"/>
                <w:i w:val="0"/>
                <w:sz w:val="20"/>
                <w:u w:val="none"/>
              </w:rPr>
              <w:t>No</w:t>
            </w:r>
          </w:p>
        </w:tc>
      </w:tr>
      <w:tr>
        <w:tc>
          <w:tcPr>
            <w:tcW w:type="dxa" w:w="3466"/>
          </w:tcPr>
          <w:p>
            <w:pPr>
              <w:spacing w:after="40" w:before="40" w:line="240" w:lineRule="auto"/>
              <w:jc w:val="left"/>
            </w:pPr>
            <w:r>
              <w:rPr>
                <w:rFonts w:ascii="Times New Roman" w:hAnsi="Times New Roman"/>
                <w:b w:val="0"/>
                <w:i w:val="0"/>
                <w:sz w:val="20"/>
                <w:u w:val="none"/>
              </w:rPr>
              <w:t>¿Es importador, exportador o usuario aduanero?</w:t>
            </w:r>
          </w:p>
        </w:tc>
        <w:tc>
          <w:tcPr>
            <w:tcW w:type="dxa" w:w="5656"/>
          </w:tcPr>
          <w:p>
            <w:pPr>
              <w:spacing w:after="40" w:before="40" w:line="240" w:lineRule="auto"/>
              <w:jc w:val="left"/>
            </w:pPr>
            <w:r>
              <w:rPr>
                <w:rFonts w:ascii="Times New Roman" w:hAnsi="Times New Roman"/>
                <w:b w:val="0"/>
                <w:i w:val="0"/>
                <w:sz w:val="20"/>
                <w:u w:val="none"/>
              </w:rPr>
              <w:t>No aplica</w:t>
            </w:r>
          </w:p>
        </w:tc>
      </w:tr>
      <w:tr>
        <w:tc>
          <w:tcPr>
            <w:tcW w:type="dxa" w:w="3466"/>
          </w:tcPr>
          <w:p>
            <w:pPr>
              <w:spacing w:after="40" w:before="40" w:line="240" w:lineRule="auto"/>
              <w:jc w:val="left"/>
            </w:pPr>
            <w:r>
              <w:rPr>
                <w:rFonts w:ascii="Times New Roman" w:hAnsi="Times New Roman"/>
                <w:b w:val="0"/>
                <w:i w:val="0"/>
                <w:sz w:val="20"/>
                <w:u w:val="none"/>
              </w:rPr>
              <w:t>Beneficio Ley 1780 de 2016</w:t>
            </w:r>
          </w:p>
        </w:tc>
        <w:tc>
          <w:tcPr>
            <w:tcW w:type="dxa" w:w="5656"/>
          </w:tcPr>
          <w:p>
            <w:pPr>
              <w:spacing w:after="40" w:before="40" w:line="240" w:lineRule="auto"/>
              <w:jc w:val="left"/>
            </w:pPr>
            <w:r>
              <w:rPr>
                <w:rFonts w:ascii="Times New Roman" w:hAnsi="Times New Roman"/>
                <w:b/>
                <w:i w:val="0"/>
                <w:sz w:val="20"/>
                <w:u w:val="none"/>
              </w:rPr>
              <w:t>Sí</w:t>
            </w:r>
            <w:r>
              <w:rPr>
                <w:rFonts w:ascii="Times New Roman" w:hAnsi="Times New Roman"/>
                <w:b w:val="0"/>
                <w:i w:val="0"/>
                <w:sz w:val="20"/>
                <w:u w:val="none"/>
              </w:rPr>
              <w:t xml:space="preserve"> — marcar la casilla y anexar la declaración juramentada correspondiente</w:t>
            </w:r>
          </w:p>
        </w:tc>
      </w:tr>
      <w:tr>
        <w:tc>
          <w:tcPr>
            <w:tcW w:type="dxa" w:w="3466"/>
          </w:tcPr>
          <w:p>
            <w:pPr>
              <w:spacing w:after="40" w:before="40" w:line="240" w:lineRule="auto"/>
              <w:jc w:val="left"/>
            </w:pPr>
            <w:r>
              <w:rPr>
                <w:rFonts w:ascii="Times New Roman" w:hAnsi="Times New Roman"/>
                <w:b w:val="0"/>
                <w:i w:val="0"/>
                <w:sz w:val="20"/>
                <w:u w:val="none"/>
              </w:rPr>
              <w:t>Representante legal</w:t>
            </w:r>
          </w:p>
        </w:tc>
        <w:tc>
          <w:tcPr>
            <w:tcW w:type="dxa" w:w="5656"/>
          </w:tcPr>
          <w:p>
            <w:pPr>
              <w:spacing w:after="40" w:before="40" w:line="240" w:lineRule="auto"/>
              <w:jc w:val="left"/>
            </w:pPr>
            <w:r>
              <w:rPr>
                <w:rFonts w:ascii="Times New Roman" w:hAnsi="Times New Roman"/>
                <w:b w:val="0"/>
                <w:i w:val="0"/>
                <w:sz w:val="20"/>
                <w:u w:val="none"/>
              </w:rPr>
              <w:t>Mariana López Castaño — C.C. 1.039.672.481 de Medellín</w:t>
            </w:r>
          </w:p>
        </w:tc>
      </w:tr>
      <w:tr>
        <w:tc>
          <w:tcPr>
            <w:tcW w:type="dxa" w:w="3466"/>
          </w:tcPr>
          <w:p>
            <w:pPr>
              <w:spacing w:after="40" w:before="40" w:line="240" w:lineRule="auto"/>
              <w:jc w:val="left"/>
            </w:pPr>
            <w:r>
              <w:rPr>
                <w:rFonts w:ascii="Times New Roman" w:hAnsi="Times New Roman"/>
                <w:b w:val="0"/>
                <w:i w:val="0"/>
                <w:sz w:val="20"/>
                <w:u w:val="none"/>
              </w:rPr>
              <w:t>Firma</w:t>
            </w:r>
          </w:p>
        </w:tc>
        <w:tc>
          <w:tcPr>
            <w:tcW w:type="dxa" w:w="5656"/>
          </w:tcPr>
          <w:p>
            <w:pPr>
              <w:spacing w:after="40" w:before="40" w:line="240" w:lineRule="auto"/>
              <w:jc w:val="left"/>
            </w:pPr>
            <w:r>
              <w:rPr>
                <w:rFonts w:ascii="Times New Roman" w:hAnsi="Times New Roman"/>
                <w:b w:val="0"/>
                <w:i w:val="0"/>
                <w:sz w:val="20"/>
                <w:u w:val="none"/>
              </w:rPr>
              <w:t>Del representante legal designado</w:t>
            </w:r>
          </w:p>
        </w:tc>
      </w:tr>
    </w:tbl>
    <w:p>
      <w:pPr>
        <w:spacing w:after="80"/>
      </w:pPr>
    </w:p>
    <w:p>
      <w:pPr>
        <w:keepNext/>
        <w:spacing w:before="240" w:after="80"/>
        <w:jc w:val="left"/>
      </w:pPr>
      <w:r>
        <w:rPr>
          <w:rFonts w:ascii="Times New Roman" w:hAnsi="Times New Roman"/>
          <w:b/>
          <w:i w:val="0"/>
          <w:sz w:val="24"/>
          <w:u w:val="none"/>
        </w:rPr>
        <w:t>3.2. Anexo de matrícula de persona jurídica</w:t>
      </w:r>
    </w:p>
    <w:p>
      <w:r>
        <w:rPr>
          <w:rFonts w:ascii="Times New Roman" w:hAnsi="Times New Roman"/>
          <w:b w:val="0"/>
          <w:i w:val="0"/>
          <w:u w:val="none"/>
        </w:rPr>
        <w:t>Este anexo recoge la información societaria que se traslada al certificado de existencia y representación legal. Debe coincidir literalmente con el documento privado de constitución.</w:t>
      </w:r>
    </w:p>
    <w:tbl>
      <w:tblPr>
        <w:tblStyle w:val="TableGrid"/>
        <w:tblW w:type="auto" w:w="0"/>
        <w:jc w:val="center"/>
        <w:tblLayout w:type="fixed"/>
        <w:tblLook w:firstColumn="1" w:firstRow="1" w:lastColumn="0" w:lastRow="0" w:noHBand="0" w:noVBand="1" w:val="04A0"/>
        <w:tblW w:w="9122" w:type="dxa"/>
        <w:tblLayout w:type="fixed"/>
      </w:tblPr>
      <w:tblGrid>
        <w:gridCol w:w="3466"/>
        <w:gridCol w:w="5656"/>
      </w:tblGrid>
      <w:tr>
        <w:tc>
          <w:tcPr>
            <w:tcW w:type="dxa" w:w="3466"/>
            <w:shd w:val="clear" w:color="auto" w:fill="D9D9D9"/>
          </w:tcPr>
          <w:p>
            <w:pPr>
              <w:spacing w:after="40" w:before="40" w:line="240" w:lineRule="auto"/>
              <w:jc w:val="center"/>
            </w:pPr>
            <w:r>
              <w:rPr>
                <w:rFonts w:ascii="Times New Roman" w:hAnsi="Times New Roman"/>
                <w:b/>
                <w:i w:val="0"/>
                <w:sz w:val="20"/>
                <w:u w:val="none"/>
              </w:rPr>
              <w:t>Campo</w:t>
            </w:r>
          </w:p>
        </w:tc>
        <w:tc>
          <w:tcPr>
            <w:tcW w:type="dxa" w:w="5656"/>
            <w:shd w:val="clear" w:color="auto" w:fill="D9D9D9"/>
          </w:tcPr>
          <w:p>
            <w:pPr>
              <w:spacing w:after="40" w:before="40" w:line="240" w:lineRule="auto"/>
              <w:jc w:val="center"/>
            </w:pPr>
            <w:r>
              <w:rPr>
                <w:rFonts w:ascii="Times New Roman" w:hAnsi="Times New Roman"/>
                <w:b/>
                <w:i w:val="0"/>
                <w:sz w:val="20"/>
                <w:u w:val="none"/>
              </w:rPr>
              <w:t>Valor que debe diligenciarse</w:t>
            </w:r>
          </w:p>
        </w:tc>
      </w:tr>
      <w:tr>
        <w:tc>
          <w:tcPr>
            <w:tcW w:type="dxa" w:w="3466"/>
          </w:tcPr>
          <w:p>
            <w:pPr>
              <w:spacing w:after="40" w:before="40" w:line="240" w:lineRule="auto"/>
              <w:jc w:val="left"/>
            </w:pPr>
            <w:r>
              <w:rPr>
                <w:rFonts w:ascii="Times New Roman" w:hAnsi="Times New Roman"/>
                <w:b w:val="0"/>
                <w:i w:val="0"/>
                <w:sz w:val="20"/>
                <w:u w:val="none"/>
              </w:rPr>
              <w:t>Denominación</w:t>
            </w:r>
          </w:p>
        </w:tc>
        <w:tc>
          <w:tcPr>
            <w:tcW w:type="dxa" w:w="5656"/>
          </w:tcPr>
          <w:p>
            <w:pPr>
              <w:spacing w:after="40" w:before="40" w:line="240" w:lineRule="auto"/>
              <w:jc w:val="left"/>
            </w:pPr>
            <w:r>
              <w:rPr>
                <w:rFonts w:ascii="Times New Roman" w:hAnsi="Times New Roman"/>
                <w:b w:val="0"/>
                <w:i w:val="0"/>
                <w:sz w:val="20"/>
                <w:u w:val="none"/>
              </w:rPr>
              <w:t>NOVA BIENESTAR INTEGRAL S.A.S.</w:t>
            </w:r>
          </w:p>
        </w:tc>
      </w:tr>
      <w:tr>
        <w:tc>
          <w:tcPr>
            <w:tcW w:type="dxa" w:w="3466"/>
          </w:tcPr>
          <w:p>
            <w:pPr>
              <w:spacing w:after="40" w:before="40" w:line="240" w:lineRule="auto"/>
              <w:jc w:val="left"/>
            </w:pPr>
            <w:r>
              <w:rPr>
                <w:rFonts w:ascii="Times New Roman" w:hAnsi="Times New Roman"/>
                <w:b w:val="0"/>
                <w:i w:val="0"/>
                <w:sz w:val="20"/>
                <w:u w:val="none"/>
              </w:rPr>
              <w:t>Tipo societario</w:t>
            </w:r>
          </w:p>
        </w:tc>
        <w:tc>
          <w:tcPr>
            <w:tcW w:type="dxa" w:w="5656"/>
          </w:tcPr>
          <w:p>
            <w:pPr>
              <w:spacing w:after="40" w:before="40" w:line="240" w:lineRule="auto"/>
              <w:jc w:val="left"/>
            </w:pPr>
            <w:r>
              <w:rPr>
                <w:rFonts w:ascii="Times New Roman" w:hAnsi="Times New Roman"/>
                <w:b w:val="0"/>
                <w:i w:val="0"/>
                <w:sz w:val="20"/>
                <w:u w:val="none"/>
              </w:rPr>
              <w:t>Sociedad por acciones simplificada (Ley 1258 de 2008)</w:t>
            </w:r>
          </w:p>
        </w:tc>
      </w:tr>
      <w:tr>
        <w:tc>
          <w:tcPr>
            <w:tcW w:type="dxa" w:w="3466"/>
          </w:tcPr>
          <w:p>
            <w:pPr>
              <w:spacing w:after="40" w:before="40" w:line="240" w:lineRule="auto"/>
              <w:jc w:val="left"/>
            </w:pPr>
            <w:r>
              <w:rPr>
                <w:rFonts w:ascii="Times New Roman" w:hAnsi="Times New Roman"/>
                <w:b w:val="0"/>
                <w:i w:val="0"/>
                <w:sz w:val="20"/>
                <w:u w:val="none"/>
              </w:rPr>
              <w:t>Documento de constitución</w:t>
            </w:r>
          </w:p>
        </w:tc>
        <w:tc>
          <w:tcPr>
            <w:tcW w:type="dxa" w:w="5656"/>
          </w:tcPr>
          <w:p>
            <w:pPr>
              <w:spacing w:after="40" w:before="40" w:line="240" w:lineRule="auto"/>
              <w:jc w:val="left"/>
            </w:pPr>
            <w:r>
              <w:rPr>
                <w:rFonts w:ascii="Times New Roman" w:hAnsi="Times New Roman"/>
                <w:b w:val="0"/>
                <w:i w:val="0"/>
                <w:sz w:val="20"/>
                <w:u w:val="none"/>
              </w:rPr>
              <w:t>Documento privado del 1.º de octubre de 2026</w:t>
            </w:r>
          </w:p>
        </w:tc>
      </w:tr>
      <w:tr>
        <w:tc>
          <w:tcPr>
            <w:tcW w:type="dxa" w:w="3466"/>
          </w:tcPr>
          <w:p>
            <w:pPr>
              <w:spacing w:after="40" w:before="40" w:line="240" w:lineRule="auto"/>
              <w:jc w:val="left"/>
            </w:pPr>
            <w:r>
              <w:rPr>
                <w:rFonts w:ascii="Times New Roman" w:hAnsi="Times New Roman"/>
                <w:b w:val="0"/>
                <w:i w:val="0"/>
                <w:sz w:val="20"/>
                <w:u w:val="none"/>
              </w:rPr>
              <w:t>Domicilio</w:t>
            </w:r>
          </w:p>
        </w:tc>
        <w:tc>
          <w:tcPr>
            <w:tcW w:type="dxa" w:w="5656"/>
          </w:tcPr>
          <w:p>
            <w:pPr>
              <w:spacing w:after="40" w:before="40" w:line="240" w:lineRule="auto"/>
              <w:jc w:val="left"/>
            </w:pPr>
            <w:r>
              <w:rPr>
                <w:rFonts w:ascii="Times New Roman" w:hAnsi="Times New Roman"/>
                <w:b w:val="0"/>
                <w:i w:val="0"/>
                <w:sz w:val="20"/>
                <w:u w:val="none"/>
              </w:rPr>
              <w:t>Medellín (Antioquia)</w:t>
            </w:r>
          </w:p>
        </w:tc>
      </w:tr>
      <w:tr>
        <w:tc>
          <w:tcPr>
            <w:tcW w:type="dxa" w:w="3466"/>
          </w:tcPr>
          <w:p>
            <w:pPr>
              <w:spacing w:after="40" w:before="40" w:line="240" w:lineRule="auto"/>
              <w:jc w:val="left"/>
            </w:pPr>
            <w:r>
              <w:rPr>
                <w:rFonts w:ascii="Times New Roman" w:hAnsi="Times New Roman"/>
                <w:b w:val="0"/>
                <w:i w:val="0"/>
                <w:sz w:val="20"/>
                <w:u w:val="none"/>
              </w:rPr>
              <w:t>Término de duración</w:t>
            </w:r>
          </w:p>
        </w:tc>
        <w:tc>
          <w:tcPr>
            <w:tcW w:type="dxa" w:w="5656"/>
          </w:tcPr>
          <w:p>
            <w:pPr>
              <w:spacing w:after="40" w:before="40" w:line="240" w:lineRule="auto"/>
              <w:jc w:val="left"/>
            </w:pPr>
            <w:r>
              <w:rPr>
                <w:rFonts w:ascii="Times New Roman" w:hAnsi="Times New Roman"/>
                <w:b w:val="0"/>
                <w:i w:val="0"/>
                <w:sz w:val="20"/>
                <w:u w:val="none"/>
              </w:rPr>
              <w:t>Indefinido</w:t>
            </w:r>
          </w:p>
        </w:tc>
      </w:tr>
      <w:tr>
        <w:tc>
          <w:tcPr>
            <w:tcW w:type="dxa" w:w="3466"/>
          </w:tcPr>
          <w:p>
            <w:pPr>
              <w:spacing w:after="40" w:before="40" w:line="240" w:lineRule="auto"/>
              <w:jc w:val="left"/>
            </w:pPr>
            <w:r>
              <w:rPr>
                <w:rFonts w:ascii="Times New Roman" w:hAnsi="Times New Roman"/>
                <w:b w:val="0"/>
                <w:i w:val="0"/>
                <w:sz w:val="20"/>
                <w:u w:val="none"/>
              </w:rPr>
              <w:t>Objeto social</w:t>
            </w:r>
          </w:p>
        </w:tc>
        <w:tc>
          <w:tcPr>
            <w:tcW w:type="dxa" w:w="5656"/>
          </w:tcPr>
          <w:p>
            <w:pPr>
              <w:spacing w:after="40" w:before="40" w:line="240" w:lineRule="auto"/>
              <w:jc w:val="left"/>
            </w:pPr>
            <w:r>
              <w:rPr>
                <w:rFonts w:ascii="Times New Roman" w:hAnsi="Times New Roman"/>
                <w:b w:val="0"/>
                <w:i w:val="0"/>
                <w:sz w:val="20"/>
                <w:u w:val="none"/>
              </w:rPr>
              <w:t>Prestación de servicios de bienestar, rehabilitación física y acondicionamiento integral (objeto determinado)</w:t>
            </w:r>
          </w:p>
        </w:tc>
      </w:tr>
      <w:tr>
        <w:tc>
          <w:tcPr>
            <w:tcW w:type="dxa" w:w="3466"/>
          </w:tcPr>
          <w:p>
            <w:pPr>
              <w:spacing w:after="40" w:before="40" w:line="240" w:lineRule="auto"/>
              <w:jc w:val="left"/>
            </w:pPr>
            <w:r>
              <w:rPr>
                <w:rFonts w:ascii="Times New Roman" w:hAnsi="Times New Roman"/>
                <w:b w:val="0"/>
                <w:i w:val="0"/>
                <w:sz w:val="20"/>
                <w:u w:val="none"/>
              </w:rPr>
              <w:t>Capital autorizado</w:t>
            </w:r>
          </w:p>
        </w:tc>
        <w:tc>
          <w:tcPr>
            <w:tcW w:type="dxa" w:w="5656"/>
          </w:tcPr>
          <w:p>
            <w:pPr>
              <w:spacing w:after="40" w:before="40" w:line="240" w:lineRule="auto"/>
              <w:jc w:val="left"/>
            </w:pPr>
            <w:r>
              <w:rPr>
                <w:rFonts w:ascii="Times New Roman" w:hAnsi="Times New Roman"/>
                <w:b w:val="0"/>
                <w:i w:val="0"/>
                <w:sz w:val="20"/>
                <w:u w:val="none"/>
              </w:rPr>
              <w:t>$1.200.000.000 — 1.200.000 acciones — valor nominal $1.000</w:t>
            </w:r>
          </w:p>
        </w:tc>
      </w:tr>
      <w:tr>
        <w:tc>
          <w:tcPr>
            <w:tcW w:type="dxa" w:w="3466"/>
          </w:tcPr>
          <w:p>
            <w:pPr>
              <w:spacing w:after="40" w:before="40" w:line="240" w:lineRule="auto"/>
              <w:jc w:val="left"/>
            </w:pPr>
            <w:r>
              <w:rPr>
                <w:rFonts w:ascii="Times New Roman" w:hAnsi="Times New Roman"/>
                <w:b w:val="0"/>
                <w:i w:val="0"/>
                <w:sz w:val="20"/>
                <w:u w:val="none"/>
              </w:rPr>
              <w:t>Capital suscrito</w:t>
            </w:r>
          </w:p>
        </w:tc>
        <w:tc>
          <w:tcPr>
            <w:tcW w:type="dxa" w:w="5656"/>
          </w:tcPr>
          <w:p>
            <w:pPr>
              <w:spacing w:after="40" w:before="40" w:line="240" w:lineRule="auto"/>
              <w:jc w:val="left"/>
            </w:pPr>
            <w:r>
              <w:rPr>
                <w:rFonts w:ascii="Times New Roman" w:hAnsi="Times New Roman"/>
                <w:b w:val="0"/>
                <w:i w:val="0"/>
                <w:sz w:val="20"/>
                <w:u w:val="none"/>
              </w:rPr>
              <w:t>$600.000.000 — 600.000 acciones — valor nominal $1.000</w:t>
            </w:r>
          </w:p>
        </w:tc>
      </w:tr>
      <w:tr>
        <w:tc>
          <w:tcPr>
            <w:tcW w:type="dxa" w:w="3466"/>
          </w:tcPr>
          <w:p>
            <w:pPr>
              <w:spacing w:after="40" w:before="40" w:line="240" w:lineRule="auto"/>
              <w:jc w:val="left"/>
            </w:pPr>
            <w:r>
              <w:rPr>
                <w:rFonts w:ascii="Times New Roman" w:hAnsi="Times New Roman"/>
                <w:b w:val="0"/>
                <w:i w:val="0"/>
                <w:sz w:val="20"/>
                <w:u w:val="none"/>
              </w:rPr>
              <w:t>Capital pagado</w:t>
            </w:r>
          </w:p>
        </w:tc>
        <w:tc>
          <w:tcPr>
            <w:tcW w:type="dxa" w:w="5656"/>
          </w:tcPr>
          <w:p>
            <w:pPr>
              <w:spacing w:after="40" w:before="40" w:line="240" w:lineRule="auto"/>
              <w:jc w:val="left"/>
            </w:pPr>
            <w:r>
              <w:rPr>
                <w:rFonts w:ascii="Times New Roman" w:hAnsi="Times New Roman"/>
                <w:b w:val="0"/>
                <w:i w:val="0"/>
                <w:sz w:val="20"/>
                <w:u w:val="none"/>
              </w:rPr>
              <w:t>$600.000.000 — 600.000 acciones — valor nominal $1.000</w:t>
            </w:r>
          </w:p>
        </w:tc>
      </w:tr>
      <w:tr>
        <w:tc>
          <w:tcPr>
            <w:tcW w:type="dxa" w:w="3466"/>
          </w:tcPr>
          <w:p>
            <w:pPr>
              <w:spacing w:after="40" w:before="40" w:line="240" w:lineRule="auto"/>
              <w:jc w:val="left"/>
            </w:pPr>
            <w:r>
              <w:rPr>
                <w:rFonts w:ascii="Times New Roman" w:hAnsi="Times New Roman"/>
                <w:b w:val="0"/>
                <w:i w:val="0"/>
                <w:sz w:val="20"/>
                <w:u w:val="none"/>
              </w:rPr>
              <w:t>Clase de acciones</w:t>
            </w:r>
          </w:p>
        </w:tc>
        <w:tc>
          <w:tcPr>
            <w:tcW w:type="dxa" w:w="5656"/>
          </w:tcPr>
          <w:p>
            <w:pPr>
              <w:spacing w:after="40" w:before="40" w:line="240" w:lineRule="auto"/>
              <w:jc w:val="left"/>
            </w:pPr>
            <w:r>
              <w:rPr>
                <w:rFonts w:ascii="Times New Roman" w:hAnsi="Times New Roman"/>
                <w:b w:val="0"/>
                <w:i w:val="0"/>
                <w:sz w:val="20"/>
                <w:u w:val="none"/>
              </w:rPr>
              <w:t>Ordinarias, nominativas y de capital</w:t>
            </w:r>
          </w:p>
        </w:tc>
      </w:tr>
      <w:tr>
        <w:tc>
          <w:tcPr>
            <w:tcW w:type="dxa" w:w="3466"/>
          </w:tcPr>
          <w:p>
            <w:pPr>
              <w:spacing w:after="40" w:before="40" w:line="240" w:lineRule="auto"/>
              <w:jc w:val="left"/>
            </w:pPr>
            <w:r>
              <w:rPr>
                <w:rFonts w:ascii="Times New Roman" w:hAnsi="Times New Roman"/>
                <w:b w:val="0"/>
                <w:i w:val="0"/>
                <w:sz w:val="20"/>
                <w:u w:val="none"/>
              </w:rPr>
              <w:t>Representante legal principal</w:t>
            </w:r>
          </w:p>
        </w:tc>
        <w:tc>
          <w:tcPr>
            <w:tcW w:type="dxa" w:w="5656"/>
          </w:tcPr>
          <w:p>
            <w:pPr>
              <w:spacing w:after="40" w:before="40" w:line="240" w:lineRule="auto"/>
              <w:jc w:val="left"/>
            </w:pPr>
            <w:r>
              <w:rPr>
                <w:rFonts w:ascii="Times New Roman" w:hAnsi="Times New Roman"/>
                <w:b w:val="0"/>
                <w:i w:val="0"/>
                <w:sz w:val="20"/>
                <w:u w:val="none"/>
              </w:rPr>
              <w:t>Mariana López Castaño — C.C. 1.039.672.481 de Medellín</w:t>
            </w:r>
          </w:p>
        </w:tc>
      </w:tr>
      <w:tr>
        <w:tc>
          <w:tcPr>
            <w:tcW w:type="dxa" w:w="3466"/>
          </w:tcPr>
          <w:p>
            <w:pPr>
              <w:spacing w:after="40" w:before="40" w:line="240" w:lineRule="auto"/>
              <w:jc w:val="left"/>
            </w:pPr>
            <w:r>
              <w:rPr>
                <w:rFonts w:ascii="Times New Roman" w:hAnsi="Times New Roman"/>
                <w:b w:val="0"/>
                <w:i w:val="0"/>
                <w:sz w:val="20"/>
                <w:u w:val="none"/>
              </w:rPr>
              <w:t>Representante legal suplente</w:t>
            </w:r>
          </w:p>
        </w:tc>
        <w:tc>
          <w:tcPr>
            <w:tcW w:type="dxa" w:w="5656"/>
          </w:tcPr>
          <w:p>
            <w:pPr>
              <w:spacing w:after="40" w:before="40" w:line="240" w:lineRule="auto"/>
              <w:jc w:val="left"/>
            </w:pPr>
            <w:r>
              <w:rPr>
                <w:rFonts w:ascii="Times New Roman" w:hAnsi="Times New Roman"/>
                <w:b w:val="0"/>
                <w:i w:val="0"/>
                <w:sz w:val="20"/>
                <w:u w:val="none"/>
              </w:rPr>
              <w:t>Felipe Andrés Gómez Vélez — C.C. 1.152.846.390 de Envigado</w:t>
            </w:r>
          </w:p>
        </w:tc>
      </w:tr>
      <w:tr>
        <w:tc>
          <w:tcPr>
            <w:tcW w:type="dxa" w:w="3466"/>
          </w:tcPr>
          <w:p>
            <w:pPr>
              <w:spacing w:after="40" w:before="40" w:line="240" w:lineRule="auto"/>
              <w:jc w:val="left"/>
            </w:pPr>
            <w:r>
              <w:rPr>
                <w:rFonts w:ascii="Times New Roman" w:hAnsi="Times New Roman"/>
                <w:b w:val="0"/>
                <w:i w:val="0"/>
                <w:sz w:val="20"/>
                <w:u w:val="none"/>
              </w:rPr>
              <w:t>Órgano de administración</w:t>
            </w:r>
          </w:p>
        </w:tc>
        <w:tc>
          <w:tcPr>
            <w:tcW w:type="dxa" w:w="5656"/>
          </w:tcPr>
          <w:p>
            <w:pPr>
              <w:spacing w:after="40" w:before="40" w:line="240" w:lineRule="auto"/>
              <w:jc w:val="left"/>
            </w:pPr>
            <w:r>
              <w:rPr>
                <w:rFonts w:ascii="Times New Roman" w:hAnsi="Times New Roman"/>
                <w:b w:val="0"/>
                <w:i w:val="0"/>
                <w:sz w:val="20"/>
                <w:u w:val="none"/>
              </w:rPr>
              <w:t>Asamblea general de accionistas y representante legal (sin junta directiva)</w:t>
            </w:r>
          </w:p>
        </w:tc>
      </w:tr>
      <w:tr>
        <w:tc>
          <w:tcPr>
            <w:tcW w:type="dxa" w:w="3466"/>
          </w:tcPr>
          <w:p>
            <w:pPr>
              <w:spacing w:after="40" w:before="40" w:line="240" w:lineRule="auto"/>
              <w:jc w:val="left"/>
            </w:pPr>
            <w:r>
              <w:rPr>
                <w:rFonts w:ascii="Times New Roman" w:hAnsi="Times New Roman"/>
                <w:b w:val="0"/>
                <w:i w:val="0"/>
                <w:sz w:val="20"/>
                <w:u w:val="none"/>
              </w:rPr>
              <w:t>Revisor fiscal</w:t>
            </w:r>
          </w:p>
        </w:tc>
        <w:tc>
          <w:tcPr>
            <w:tcW w:type="dxa" w:w="5656"/>
          </w:tcPr>
          <w:p>
            <w:pPr>
              <w:spacing w:after="40" w:before="40" w:line="240" w:lineRule="auto"/>
              <w:jc w:val="left"/>
            </w:pPr>
            <w:r>
              <w:rPr>
                <w:rFonts w:ascii="Times New Roman" w:hAnsi="Times New Roman"/>
                <w:b w:val="0"/>
                <w:i w:val="0"/>
                <w:sz w:val="20"/>
                <w:u w:val="none"/>
              </w:rPr>
              <w:t>No se designa (no obligatorio)</w:t>
            </w:r>
          </w:p>
        </w:tc>
      </w:tr>
      <w:tr>
        <w:tc>
          <w:tcPr>
            <w:tcW w:type="dxa" w:w="3466"/>
          </w:tcPr>
          <w:p>
            <w:pPr>
              <w:spacing w:after="40" w:before="40" w:line="240" w:lineRule="auto"/>
              <w:jc w:val="left"/>
            </w:pPr>
            <w:r>
              <w:rPr>
                <w:rFonts w:ascii="Times New Roman" w:hAnsi="Times New Roman"/>
                <w:b w:val="0"/>
                <w:i w:val="0"/>
                <w:sz w:val="20"/>
                <w:u w:val="none"/>
              </w:rPr>
              <w:t>Facultades y limitaciones del representante legal</w:t>
            </w:r>
          </w:p>
        </w:tc>
        <w:tc>
          <w:tcPr>
            <w:tcW w:type="dxa" w:w="5656"/>
          </w:tcPr>
          <w:p>
            <w:pPr>
              <w:spacing w:after="40" w:before="40" w:line="240" w:lineRule="auto"/>
              <w:jc w:val="left"/>
            </w:pPr>
            <w:r>
              <w:rPr>
                <w:rFonts w:ascii="Times New Roman" w:hAnsi="Times New Roman"/>
                <w:b w:val="0"/>
                <w:i w:val="0"/>
                <w:sz w:val="20"/>
                <w:u w:val="none"/>
              </w:rPr>
              <w:t>Autorización previa de la asamblea para actos superiores a 500 SMLMV y para gravar o enajenar inmuebles</w:t>
            </w:r>
          </w:p>
        </w:tc>
      </w:tr>
    </w:tbl>
    <w:p>
      <w:pPr>
        <w:spacing w:after="80"/>
      </w:pPr>
    </w:p>
    <w:p>
      <w:r>
        <w:rPr>
          <w:rFonts w:ascii="Times New Roman" w:hAnsi="Times New Roman"/>
          <w:b/>
          <w:i w:val="0"/>
          <w:u w:val="none"/>
        </w:rPr>
        <w:t>Advertencia específica de la Cámara de Comercio de Medellín.</w:t>
      </w:r>
      <w:r>
        <w:rPr>
          <w:rFonts w:ascii="Times New Roman" w:hAnsi="Times New Roman"/>
          <w:b w:val="0"/>
          <w:i w:val="0"/>
          <w:u w:val="none"/>
        </w:rPr>
        <w:t xml:space="preserve"> En materia de capital, la guía registral de esta Cámara exige indicar </w:t>
      </w:r>
      <w:r>
        <w:rPr>
          <w:rFonts w:ascii="Times New Roman" w:hAnsi="Times New Roman"/>
          <w:b/>
          <w:i w:val="0"/>
          <w:u w:val="none"/>
        </w:rPr>
        <w:t>simultáneamente</w:t>
      </w:r>
      <w:r>
        <w:rPr>
          <w:rFonts w:ascii="Times New Roman" w:hAnsi="Times New Roman"/>
          <w:b w:val="0"/>
          <w:i w:val="0"/>
          <w:u w:val="none"/>
        </w:rPr>
        <w:t xml:space="preserve"> tres datos por cada uno de los tres capitales: (i) la cuantía en pesos, (ii) el número de acciones y (iii) el valor nominal de cada acción; y, tratándose del capital suscrito, además la </w:t>
      </w:r>
      <w:r>
        <w:rPr>
          <w:rFonts w:ascii="Times New Roman" w:hAnsi="Times New Roman"/>
          <w:b/>
          <w:i w:val="0"/>
          <w:u w:val="none"/>
        </w:rPr>
        <w:t>clase de acciones</w:t>
      </w:r>
      <w:r>
        <w:rPr>
          <w:rFonts w:ascii="Times New Roman" w:hAnsi="Times New Roman"/>
          <w:b w:val="0"/>
          <w:i w:val="0"/>
          <w:u w:val="none"/>
        </w:rPr>
        <w:t>. La omisión de cualquiera de estos elementos da lugar a devolución del documento.</w:t>
      </w:r>
    </w:p>
    <w:p>
      <w:pPr>
        <w:keepNext/>
        <w:spacing w:before="240" w:after="80"/>
        <w:jc w:val="left"/>
      </w:pPr>
      <w:r>
        <w:rPr>
          <w:rFonts w:ascii="Times New Roman" w:hAnsi="Times New Roman"/>
          <w:b/>
          <w:i w:val="0"/>
          <w:sz w:val="24"/>
          <w:u w:val="none"/>
        </w:rPr>
        <w:t>3.3. Anexo de matrícula de establecimiento de comercio</w:t>
      </w:r>
    </w:p>
    <w:p>
      <w:r>
        <w:rPr>
          <w:rFonts w:ascii="Times New Roman" w:hAnsi="Times New Roman"/>
          <w:b w:val="0"/>
          <w:i w:val="0"/>
          <w:u w:val="none"/>
        </w:rPr>
        <w:t>Se diligencia un anexo por cada establecimiento. En este caso, uno solo.</w:t>
      </w:r>
    </w:p>
    <w:tbl>
      <w:tblPr>
        <w:tblStyle w:val="TableGrid"/>
        <w:tblW w:type="auto" w:w="0"/>
        <w:jc w:val="center"/>
        <w:tblLayout w:type="fixed"/>
        <w:tblLook w:firstColumn="1" w:firstRow="1" w:lastColumn="0" w:lastRow="0" w:noHBand="0" w:noVBand="1" w:val="04A0"/>
        <w:tblW w:w="9122" w:type="dxa"/>
        <w:tblLayout w:type="fixed"/>
      </w:tblPr>
      <w:tblGrid>
        <w:gridCol w:w="3466"/>
        <w:gridCol w:w="5656"/>
      </w:tblGrid>
      <w:tr>
        <w:tc>
          <w:tcPr>
            <w:tcW w:type="dxa" w:w="3466"/>
            <w:shd w:val="clear" w:color="auto" w:fill="D9D9D9"/>
          </w:tcPr>
          <w:p>
            <w:pPr>
              <w:spacing w:after="40" w:before="40" w:line="240" w:lineRule="auto"/>
              <w:jc w:val="center"/>
            </w:pPr>
            <w:r>
              <w:rPr>
                <w:rFonts w:ascii="Times New Roman" w:hAnsi="Times New Roman"/>
                <w:b/>
                <w:i w:val="0"/>
                <w:sz w:val="20"/>
                <w:u w:val="none"/>
              </w:rPr>
              <w:t>Campo</w:t>
            </w:r>
          </w:p>
        </w:tc>
        <w:tc>
          <w:tcPr>
            <w:tcW w:type="dxa" w:w="5656"/>
            <w:shd w:val="clear" w:color="auto" w:fill="D9D9D9"/>
          </w:tcPr>
          <w:p>
            <w:pPr>
              <w:spacing w:after="40" w:before="40" w:line="240" w:lineRule="auto"/>
              <w:jc w:val="center"/>
            </w:pPr>
            <w:r>
              <w:rPr>
                <w:rFonts w:ascii="Times New Roman" w:hAnsi="Times New Roman"/>
                <w:b/>
                <w:i w:val="0"/>
                <w:sz w:val="20"/>
                <w:u w:val="none"/>
              </w:rPr>
              <w:t>Valor que debe diligenciarse</w:t>
            </w:r>
          </w:p>
        </w:tc>
      </w:tr>
      <w:tr>
        <w:tc>
          <w:tcPr>
            <w:tcW w:type="dxa" w:w="3466"/>
          </w:tcPr>
          <w:p>
            <w:pPr>
              <w:spacing w:after="40" w:before="40" w:line="240" w:lineRule="auto"/>
              <w:jc w:val="left"/>
            </w:pPr>
            <w:r>
              <w:rPr>
                <w:rFonts w:ascii="Times New Roman" w:hAnsi="Times New Roman"/>
                <w:b w:val="0"/>
                <w:i w:val="0"/>
                <w:sz w:val="20"/>
                <w:u w:val="none"/>
              </w:rPr>
              <w:t>Tipo de trámite</w:t>
            </w:r>
          </w:p>
        </w:tc>
        <w:tc>
          <w:tcPr>
            <w:tcW w:type="dxa" w:w="5656"/>
          </w:tcPr>
          <w:p>
            <w:pPr>
              <w:spacing w:after="40" w:before="40" w:line="240" w:lineRule="auto"/>
              <w:jc w:val="left"/>
            </w:pPr>
            <w:r>
              <w:rPr>
                <w:rFonts w:ascii="Times New Roman" w:hAnsi="Times New Roman"/>
                <w:b w:val="0"/>
                <w:i w:val="0"/>
                <w:sz w:val="20"/>
                <w:u w:val="none"/>
              </w:rPr>
              <w:t>Matrícula</w:t>
            </w:r>
          </w:p>
        </w:tc>
      </w:tr>
      <w:tr>
        <w:tc>
          <w:tcPr>
            <w:tcW w:type="dxa" w:w="3466"/>
          </w:tcPr>
          <w:p>
            <w:pPr>
              <w:spacing w:after="40" w:before="40" w:line="240" w:lineRule="auto"/>
              <w:jc w:val="left"/>
            </w:pPr>
            <w:r>
              <w:rPr>
                <w:rFonts w:ascii="Times New Roman" w:hAnsi="Times New Roman"/>
                <w:b w:val="0"/>
                <w:i w:val="0"/>
                <w:sz w:val="20"/>
                <w:u w:val="none"/>
              </w:rPr>
              <w:t>Nombre del establecimiento</w:t>
            </w:r>
          </w:p>
        </w:tc>
        <w:tc>
          <w:tcPr>
            <w:tcW w:type="dxa" w:w="5656"/>
          </w:tcPr>
          <w:p>
            <w:pPr>
              <w:spacing w:after="40" w:before="40" w:line="240" w:lineRule="auto"/>
              <w:jc w:val="left"/>
            </w:pPr>
            <w:r>
              <w:rPr>
                <w:rFonts w:ascii="Times New Roman" w:hAnsi="Times New Roman"/>
                <w:b w:val="0"/>
                <w:i w:val="0"/>
                <w:sz w:val="20"/>
                <w:u w:val="none"/>
              </w:rPr>
              <w:t>NOVA BIENESTAR</w:t>
            </w:r>
          </w:p>
        </w:tc>
      </w:tr>
      <w:tr>
        <w:tc>
          <w:tcPr>
            <w:tcW w:type="dxa" w:w="3466"/>
          </w:tcPr>
          <w:p>
            <w:pPr>
              <w:spacing w:after="40" w:before="40" w:line="240" w:lineRule="auto"/>
              <w:jc w:val="left"/>
            </w:pPr>
            <w:r>
              <w:rPr>
                <w:rFonts w:ascii="Times New Roman" w:hAnsi="Times New Roman"/>
                <w:b w:val="0"/>
                <w:i w:val="0"/>
                <w:sz w:val="20"/>
                <w:u w:val="none"/>
              </w:rPr>
              <w:t>Propietario</w:t>
            </w:r>
          </w:p>
        </w:tc>
        <w:tc>
          <w:tcPr>
            <w:tcW w:type="dxa" w:w="5656"/>
          </w:tcPr>
          <w:p>
            <w:pPr>
              <w:spacing w:after="40" w:before="40" w:line="240" w:lineRule="auto"/>
              <w:jc w:val="left"/>
            </w:pPr>
            <w:r>
              <w:rPr>
                <w:rFonts w:ascii="Times New Roman" w:hAnsi="Times New Roman"/>
                <w:b w:val="0"/>
                <w:i w:val="0"/>
                <w:sz w:val="20"/>
                <w:u w:val="none"/>
              </w:rPr>
              <w:t>NOVA BIENESTAR INTEGRAL S.A.S. — NIT asignado</w:t>
            </w:r>
          </w:p>
        </w:tc>
      </w:tr>
      <w:tr>
        <w:tc>
          <w:tcPr>
            <w:tcW w:type="dxa" w:w="3466"/>
          </w:tcPr>
          <w:p>
            <w:pPr>
              <w:spacing w:after="40" w:before="40" w:line="240" w:lineRule="auto"/>
              <w:jc w:val="left"/>
            </w:pPr>
            <w:r>
              <w:rPr>
                <w:rFonts w:ascii="Times New Roman" w:hAnsi="Times New Roman"/>
                <w:b w:val="0"/>
                <w:i w:val="0"/>
                <w:sz w:val="20"/>
                <w:u w:val="none"/>
              </w:rPr>
              <w:t>Dirección del establecimiento</w:t>
            </w:r>
          </w:p>
        </w:tc>
        <w:tc>
          <w:tcPr>
            <w:tcW w:type="dxa" w:w="5656"/>
          </w:tcPr>
          <w:p>
            <w:pPr>
              <w:spacing w:after="40" w:before="40" w:line="240" w:lineRule="auto"/>
              <w:jc w:val="left"/>
            </w:pPr>
            <w:r>
              <w:rPr>
                <w:rFonts w:ascii="Times New Roman" w:hAnsi="Times New Roman"/>
                <w:b w:val="0"/>
                <w:i w:val="0"/>
                <w:sz w:val="20"/>
                <w:u w:val="none"/>
              </w:rPr>
              <w:t>Carrera 37 n.º 10A-58, oficina 804</w:t>
            </w:r>
          </w:p>
        </w:tc>
      </w:tr>
      <w:tr>
        <w:tc>
          <w:tcPr>
            <w:tcW w:type="dxa" w:w="3466"/>
          </w:tcPr>
          <w:p>
            <w:pPr>
              <w:spacing w:after="40" w:before="40" w:line="240" w:lineRule="auto"/>
              <w:jc w:val="left"/>
            </w:pPr>
            <w:r>
              <w:rPr>
                <w:rFonts w:ascii="Times New Roman" w:hAnsi="Times New Roman"/>
                <w:b w:val="0"/>
                <w:i w:val="0"/>
                <w:sz w:val="20"/>
                <w:u w:val="none"/>
              </w:rPr>
              <w:t>Municipio / departamento</w:t>
            </w:r>
          </w:p>
        </w:tc>
        <w:tc>
          <w:tcPr>
            <w:tcW w:type="dxa" w:w="5656"/>
          </w:tcPr>
          <w:p>
            <w:pPr>
              <w:spacing w:after="40" w:before="40" w:line="240" w:lineRule="auto"/>
              <w:jc w:val="left"/>
            </w:pPr>
            <w:r>
              <w:rPr>
                <w:rFonts w:ascii="Times New Roman" w:hAnsi="Times New Roman"/>
                <w:b w:val="0"/>
                <w:i w:val="0"/>
                <w:sz w:val="20"/>
                <w:u w:val="none"/>
              </w:rPr>
              <w:t>Medellín / Antioquia</w:t>
            </w:r>
          </w:p>
        </w:tc>
      </w:tr>
      <w:tr>
        <w:tc>
          <w:tcPr>
            <w:tcW w:type="dxa" w:w="3466"/>
          </w:tcPr>
          <w:p>
            <w:pPr>
              <w:spacing w:after="40" w:before="40" w:line="240" w:lineRule="auto"/>
              <w:jc w:val="left"/>
            </w:pPr>
            <w:r>
              <w:rPr>
                <w:rFonts w:ascii="Times New Roman" w:hAnsi="Times New Roman"/>
                <w:b w:val="0"/>
                <w:i w:val="0"/>
                <w:sz w:val="20"/>
                <w:u w:val="none"/>
              </w:rPr>
              <w:t>Teléfono</w:t>
            </w:r>
          </w:p>
        </w:tc>
        <w:tc>
          <w:tcPr>
            <w:tcW w:type="dxa" w:w="5656"/>
          </w:tcPr>
          <w:p>
            <w:pPr>
              <w:spacing w:after="40" w:before="40" w:line="240" w:lineRule="auto"/>
              <w:jc w:val="left"/>
            </w:pPr>
            <w:r>
              <w:rPr>
                <w:rFonts w:ascii="Times New Roman" w:hAnsi="Times New Roman"/>
                <w:b w:val="0"/>
                <w:i w:val="0"/>
                <w:sz w:val="20"/>
                <w:u w:val="none"/>
              </w:rPr>
              <w:t>315 684 9271</w:t>
            </w:r>
          </w:p>
        </w:tc>
      </w:tr>
      <w:tr>
        <w:tc>
          <w:tcPr>
            <w:tcW w:type="dxa" w:w="3466"/>
          </w:tcPr>
          <w:p>
            <w:pPr>
              <w:spacing w:after="40" w:before="40" w:line="240" w:lineRule="auto"/>
              <w:jc w:val="left"/>
            </w:pPr>
            <w:r>
              <w:rPr>
                <w:rFonts w:ascii="Times New Roman" w:hAnsi="Times New Roman"/>
                <w:b w:val="0"/>
                <w:i w:val="0"/>
                <w:sz w:val="20"/>
                <w:u w:val="none"/>
              </w:rPr>
              <w:t>Correo electrónico</w:t>
            </w:r>
          </w:p>
        </w:tc>
        <w:tc>
          <w:tcPr>
            <w:tcW w:type="dxa" w:w="5656"/>
          </w:tcPr>
          <w:p>
            <w:pPr>
              <w:spacing w:after="40" w:before="40" w:line="240" w:lineRule="auto"/>
              <w:jc w:val="left"/>
            </w:pPr>
            <w:r>
              <w:rPr>
                <w:rFonts w:ascii="Times New Roman" w:hAnsi="Times New Roman"/>
                <w:b w:val="0"/>
                <w:i w:val="0"/>
                <w:sz w:val="20"/>
                <w:u w:val="none"/>
              </w:rPr>
              <w:t>contacto@novabienestarintegral.com</w:t>
            </w:r>
          </w:p>
        </w:tc>
      </w:tr>
      <w:tr>
        <w:tc>
          <w:tcPr>
            <w:tcW w:type="dxa" w:w="3466"/>
          </w:tcPr>
          <w:p>
            <w:pPr>
              <w:spacing w:after="40" w:before="40" w:line="240" w:lineRule="auto"/>
              <w:jc w:val="left"/>
            </w:pPr>
            <w:r>
              <w:rPr>
                <w:rFonts w:ascii="Times New Roman" w:hAnsi="Times New Roman"/>
                <w:b w:val="0"/>
                <w:i w:val="0"/>
                <w:sz w:val="20"/>
                <w:u w:val="none"/>
              </w:rPr>
              <w:t>Fecha de apertura</w:t>
            </w:r>
          </w:p>
        </w:tc>
        <w:tc>
          <w:tcPr>
            <w:tcW w:type="dxa" w:w="5656"/>
          </w:tcPr>
          <w:p>
            <w:pPr>
              <w:spacing w:after="40" w:before="40" w:line="240" w:lineRule="auto"/>
              <w:jc w:val="left"/>
            </w:pPr>
            <w:r>
              <w:rPr>
                <w:rFonts w:ascii="Times New Roman" w:hAnsi="Times New Roman"/>
                <w:b w:val="0"/>
                <w:i w:val="0"/>
                <w:sz w:val="20"/>
                <w:u w:val="none"/>
              </w:rPr>
              <w:t>1.º de octubre de 2026</w:t>
            </w:r>
          </w:p>
        </w:tc>
      </w:tr>
      <w:tr>
        <w:tc>
          <w:tcPr>
            <w:tcW w:type="dxa" w:w="3466"/>
          </w:tcPr>
          <w:p>
            <w:pPr>
              <w:spacing w:after="40" w:before="40" w:line="240" w:lineRule="auto"/>
              <w:jc w:val="left"/>
            </w:pPr>
            <w:r>
              <w:rPr>
                <w:rFonts w:ascii="Times New Roman" w:hAnsi="Times New Roman"/>
                <w:b w:val="0"/>
                <w:i w:val="0"/>
                <w:sz w:val="20"/>
                <w:u w:val="none"/>
              </w:rPr>
              <w:t>Actividad económica (CIIU)</w:t>
            </w:r>
          </w:p>
        </w:tc>
        <w:tc>
          <w:tcPr>
            <w:tcW w:type="dxa" w:w="5656"/>
          </w:tcPr>
          <w:p>
            <w:pPr>
              <w:spacing w:after="40" w:before="40" w:line="240" w:lineRule="auto"/>
              <w:jc w:val="left"/>
            </w:pPr>
            <w:r>
              <w:rPr>
                <w:rFonts w:ascii="Times New Roman" w:hAnsi="Times New Roman"/>
                <w:b w:val="0"/>
                <w:i w:val="0"/>
                <w:sz w:val="20"/>
                <w:u w:val="none"/>
              </w:rPr>
              <w:t>8692 (principal); 9311 y 9609 (secundarias)</w:t>
            </w:r>
          </w:p>
        </w:tc>
      </w:tr>
      <w:tr>
        <w:tc>
          <w:tcPr>
            <w:tcW w:type="dxa" w:w="3466"/>
          </w:tcPr>
          <w:p>
            <w:pPr>
              <w:spacing w:after="40" w:before="40" w:line="240" w:lineRule="auto"/>
              <w:jc w:val="left"/>
            </w:pPr>
            <w:r>
              <w:rPr>
                <w:rFonts w:ascii="Times New Roman" w:hAnsi="Times New Roman"/>
                <w:b w:val="0"/>
                <w:i w:val="0"/>
                <w:sz w:val="20"/>
                <w:u w:val="none"/>
              </w:rPr>
              <w:t>Total de activos vinculados al establecimiento</w:t>
            </w:r>
          </w:p>
        </w:tc>
        <w:tc>
          <w:tcPr>
            <w:tcW w:type="dxa" w:w="5656"/>
          </w:tcPr>
          <w:p>
            <w:pPr>
              <w:spacing w:after="40" w:before="40" w:line="240" w:lineRule="auto"/>
              <w:jc w:val="left"/>
            </w:pPr>
            <w:r>
              <w:rPr>
                <w:rFonts w:ascii="Times New Roman" w:hAnsi="Times New Roman"/>
                <w:b w:val="0"/>
                <w:i w:val="0"/>
                <w:sz w:val="20"/>
                <w:u w:val="none"/>
              </w:rPr>
              <w:t>$55.000.000</w:t>
            </w:r>
          </w:p>
        </w:tc>
      </w:tr>
      <w:tr>
        <w:tc>
          <w:tcPr>
            <w:tcW w:type="dxa" w:w="3466"/>
          </w:tcPr>
          <w:p>
            <w:pPr>
              <w:spacing w:after="40" w:before="40" w:line="240" w:lineRule="auto"/>
              <w:jc w:val="left"/>
            </w:pPr>
            <w:r>
              <w:rPr>
                <w:rFonts w:ascii="Times New Roman" w:hAnsi="Times New Roman"/>
                <w:b w:val="0"/>
                <w:i w:val="0"/>
                <w:sz w:val="20"/>
                <w:u w:val="none"/>
              </w:rPr>
              <w:t>Número de personas ocupadas en el establecimiento</w:t>
            </w:r>
          </w:p>
        </w:tc>
        <w:tc>
          <w:tcPr>
            <w:tcW w:type="dxa" w:w="5656"/>
          </w:tcPr>
          <w:p>
            <w:pPr>
              <w:spacing w:after="40" w:before="40" w:line="240" w:lineRule="auto"/>
              <w:jc w:val="left"/>
            </w:pPr>
            <w:r>
              <w:rPr>
                <w:rFonts w:ascii="Times New Roman" w:hAnsi="Times New Roman"/>
                <w:b w:val="0"/>
                <w:i w:val="0"/>
                <w:sz w:val="20"/>
                <w:u w:val="none"/>
              </w:rPr>
              <w:t>9</w:t>
            </w:r>
          </w:p>
        </w:tc>
      </w:tr>
      <w:tr>
        <w:tc>
          <w:tcPr>
            <w:tcW w:type="dxa" w:w="3466"/>
          </w:tcPr>
          <w:p>
            <w:pPr>
              <w:spacing w:after="40" w:before="40" w:line="240" w:lineRule="auto"/>
              <w:jc w:val="left"/>
            </w:pPr>
            <w:r>
              <w:rPr>
                <w:rFonts w:ascii="Times New Roman" w:hAnsi="Times New Roman"/>
                <w:b w:val="0"/>
                <w:i w:val="0"/>
                <w:sz w:val="20"/>
                <w:u w:val="none"/>
              </w:rPr>
              <w:t>¿Es sucursal o agencia?</w:t>
            </w:r>
          </w:p>
        </w:tc>
        <w:tc>
          <w:tcPr>
            <w:tcW w:type="dxa" w:w="5656"/>
          </w:tcPr>
          <w:p>
            <w:pPr>
              <w:spacing w:after="40" w:before="40" w:line="240" w:lineRule="auto"/>
              <w:jc w:val="left"/>
            </w:pPr>
            <w:r>
              <w:rPr>
                <w:rFonts w:ascii="Times New Roman" w:hAnsi="Times New Roman"/>
                <w:b w:val="0"/>
                <w:i w:val="0"/>
                <w:sz w:val="20"/>
                <w:u w:val="none"/>
              </w:rPr>
              <w:t>No; es establecimiento de comercio</w:t>
            </w:r>
          </w:p>
        </w:tc>
      </w:tr>
      <w:tr>
        <w:tc>
          <w:tcPr>
            <w:tcW w:type="dxa" w:w="3466"/>
          </w:tcPr>
          <w:p>
            <w:pPr>
              <w:spacing w:after="40" w:before="40" w:line="240" w:lineRule="auto"/>
              <w:jc w:val="left"/>
            </w:pPr>
            <w:r>
              <w:rPr>
                <w:rFonts w:ascii="Times New Roman" w:hAnsi="Times New Roman"/>
                <w:b w:val="0"/>
                <w:i w:val="0"/>
                <w:sz w:val="20"/>
                <w:u w:val="none"/>
              </w:rPr>
              <w:t>Firma</w:t>
            </w:r>
          </w:p>
        </w:tc>
        <w:tc>
          <w:tcPr>
            <w:tcW w:type="dxa" w:w="5656"/>
          </w:tcPr>
          <w:p>
            <w:pPr>
              <w:spacing w:after="40" w:before="40" w:line="240" w:lineRule="auto"/>
              <w:jc w:val="left"/>
            </w:pPr>
            <w:r>
              <w:rPr>
                <w:rFonts w:ascii="Times New Roman" w:hAnsi="Times New Roman"/>
                <w:b w:val="0"/>
                <w:i w:val="0"/>
                <w:sz w:val="20"/>
                <w:u w:val="none"/>
              </w:rPr>
              <w:t>Del representante legal</w:t>
            </w:r>
          </w:p>
        </w:tc>
      </w:tr>
    </w:tbl>
    <w:p>
      <w:pPr>
        <w:spacing w:after="80"/>
      </w:pPr>
    </w:p>
    <w:p>
      <w:pPr>
        <w:keepNext/>
        <w:spacing w:before="240" w:after="80"/>
        <w:jc w:val="left"/>
      </w:pPr>
      <w:r>
        <w:rPr>
          <w:rFonts w:ascii="Times New Roman" w:hAnsi="Times New Roman"/>
          <w:b/>
          <w:i w:val="0"/>
          <w:sz w:val="24"/>
          <w:u w:val="none"/>
        </w:rPr>
        <w:t>3.4. Formulario adicional de registro con otras entidades</w:t>
      </w:r>
    </w:p>
    <w:p>
      <w:r>
        <w:rPr>
          <w:rFonts w:ascii="Times New Roman" w:hAnsi="Times New Roman"/>
          <w:b w:val="0"/>
          <w:i w:val="0"/>
          <w:u w:val="none"/>
        </w:rPr>
        <w:t xml:space="preserve">Es el formulario mediante el cual la Cámara traslada la información a la DIAN, al municipio y a las demás entidades vinculadas al Centro de Atención Empresarial. Su diligenciamiento es </w:t>
      </w:r>
      <w:r>
        <w:rPr>
          <w:rFonts w:ascii="Times New Roman" w:hAnsi="Times New Roman"/>
          <w:b/>
          <w:i w:val="0"/>
          <w:u w:val="none"/>
        </w:rPr>
        <w:t>obligatorio</w:t>
      </w:r>
      <w:r>
        <w:rPr>
          <w:rFonts w:ascii="Times New Roman" w:hAnsi="Times New Roman"/>
          <w:b w:val="0"/>
          <w:i w:val="0"/>
          <w:u w:val="none"/>
        </w:rPr>
        <w:t xml:space="preserve"> y su omisión impide la formalización del RUT.</w:t>
      </w:r>
    </w:p>
    <w:tbl>
      <w:tblPr>
        <w:tblStyle w:val="TableGrid"/>
        <w:tblW w:type="auto" w:w="0"/>
        <w:jc w:val="center"/>
        <w:tblLayout w:type="fixed"/>
        <w:tblLook w:firstColumn="1" w:firstRow="1" w:lastColumn="0" w:lastRow="0" w:noHBand="0" w:noVBand="1" w:val="04A0"/>
        <w:tblW w:w="9122" w:type="dxa"/>
        <w:tblLayout w:type="fixed"/>
      </w:tblPr>
      <w:tblGrid>
        <w:gridCol w:w="3466"/>
        <w:gridCol w:w="5656"/>
      </w:tblGrid>
      <w:tr>
        <w:tc>
          <w:tcPr>
            <w:tcW w:type="dxa" w:w="3466"/>
            <w:shd w:val="clear" w:color="auto" w:fill="D9D9D9"/>
          </w:tcPr>
          <w:p>
            <w:pPr>
              <w:spacing w:after="40" w:before="40" w:line="240" w:lineRule="auto"/>
              <w:jc w:val="center"/>
            </w:pPr>
            <w:r>
              <w:rPr>
                <w:rFonts w:ascii="Times New Roman" w:hAnsi="Times New Roman"/>
                <w:b/>
                <w:i w:val="0"/>
                <w:sz w:val="20"/>
                <w:u w:val="none"/>
              </w:rPr>
              <w:t>Campo</w:t>
            </w:r>
          </w:p>
        </w:tc>
        <w:tc>
          <w:tcPr>
            <w:tcW w:type="dxa" w:w="5656"/>
            <w:shd w:val="clear" w:color="auto" w:fill="D9D9D9"/>
          </w:tcPr>
          <w:p>
            <w:pPr>
              <w:spacing w:after="40" w:before="40" w:line="240" w:lineRule="auto"/>
              <w:jc w:val="center"/>
            </w:pPr>
            <w:r>
              <w:rPr>
                <w:rFonts w:ascii="Times New Roman" w:hAnsi="Times New Roman"/>
                <w:b/>
                <w:i w:val="0"/>
                <w:sz w:val="20"/>
                <w:u w:val="none"/>
              </w:rPr>
              <w:t>Valor que debe diligenciarse</w:t>
            </w:r>
          </w:p>
        </w:tc>
      </w:tr>
      <w:tr>
        <w:tc>
          <w:tcPr>
            <w:tcW w:type="dxa" w:w="3466"/>
          </w:tcPr>
          <w:p>
            <w:pPr>
              <w:spacing w:after="40" w:before="40" w:line="240" w:lineRule="auto"/>
              <w:jc w:val="left"/>
            </w:pPr>
            <w:r>
              <w:rPr>
                <w:rFonts w:ascii="Times New Roman" w:hAnsi="Times New Roman"/>
                <w:b w:val="0"/>
                <w:i w:val="0"/>
                <w:sz w:val="20"/>
                <w:u w:val="none"/>
              </w:rPr>
              <w:t>Número del formulario de la DIAN</w:t>
            </w:r>
          </w:p>
        </w:tc>
        <w:tc>
          <w:tcPr>
            <w:tcW w:type="dxa" w:w="5656"/>
          </w:tcPr>
          <w:p>
            <w:pPr>
              <w:spacing w:after="40" w:before="40" w:line="240" w:lineRule="auto"/>
              <w:jc w:val="left"/>
            </w:pPr>
            <w:r>
              <w:rPr>
                <w:rFonts w:ascii="Times New Roman" w:hAnsi="Times New Roman"/>
                <w:b w:val="0"/>
                <w:i w:val="0"/>
                <w:sz w:val="20"/>
                <w:u w:val="none"/>
              </w:rPr>
              <w:t xml:space="preserve">El número del </w:t>
            </w:r>
            <w:r>
              <w:rPr>
                <w:rFonts w:ascii="Times New Roman" w:hAnsi="Times New Roman"/>
                <w:b/>
                <w:i w:val="0"/>
                <w:sz w:val="20"/>
                <w:u w:val="none"/>
              </w:rPr>
              <w:t>formulario 001 (pre-RUT)</w:t>
            </w:r>
            <w:r>
              <w:rPr>
                <w:rFonts w:ascii="Times New Roman" w:hAnsi="Times New Roman"/>
                <w:b w:val="0"/>
                <w:i w:val="0"/>
                <w:sz w:val="20"/>
                <w:u w:val="none"/>
              </w:rPr>
              <w:t xml:space="preserve"> obtenido en el paso 5. Este es el campo cuya omisión genera con mayor frecuencia la devolución del trámite.</w:t>
            </w:r>
          </w:p>
        </w:tc>
      </w:tr>
      <w:tr>
        <w:tc>
          <w:tcPr>
            <w:tcW w:type="dxa" w:w="3466"/>
          </w:tcPr>
          <w:p>
            <w:pPr>
              <w:spacing w:after="40" w:before="40" w:line="240" w:lineRule="auto"/>
              <w:jc w:val="left"/>
            </w:pPr>
            <w:r>
              <w:rPr>
                <w:rFonts w:ascii="Times New Roman" w:hAnsi="Times New Roman"/>
                <w:b w:val="0"/>
                <w:i w:val="0"/>
                <w:sz w:val="20"/>
                <w:u w:val="none"/>
              </w:rPr>
              <w:t>Razón social</w:t>
            </w:r>
          </w:p>
        </w:tc>
        <w:tc>
          <w:tcPr>
            <w:tcW w:type="dxa" w:w="5656"/>
          </w:tcPr>
          <w:p>
            <w:pPr>
              <w:spacing w:after="40" w:before="40" w:line="240" w:lineRule="auto"/>
              <w:jc w:val="left"/>
            </w:pPr>
            <w:r>
              <w:rPr>
                <w:rFonts w:ascii="Times New Roman" w:hAnsi="Times New Roman"/>
                <w:b w:val="0"/>
                <w:i w:val="0"/>
                <w:sz w:val="20"/>
                <w:u w:val="none"/>
              </w:rPr>
              <w:t>NOVA BIENESTAR INTEGRAL S.A.S. (idéntica a la del RUT y del RUES)</w:t>
            </w:r>
          </w:p>
        </w:tc>
      </w:tr>
      <w:tr>
        <w:tc>
          <w:tcPr>
            <w:tcW w:type="dxa" w:w="3466"/>
          </w:tcPr>
          <w:p>
            <w:pPr>
              <w:spacing w:after="40" w:before="40" w:line="240" w:lineRule="auto"/>
              <w:jc w:val="left"/>
            </w:pPr>
            <w:r>
              <w:rPr>
                <w:rFonts w:ascii="Times New Roman" w:hAnsi="Times New Roman"/>
                <w:b w:val="0"/>
                <w:i w:val="0"/>
                <w:sz w:val="20"/>
                <w:u w:val="none"/>
              </w:rPr>
              <w:t>Dirección de notificación</w:t>
            </w:r>
          </w:p>
        </w:tc>
        <w:tc>
          <w:tcPr>
            <w:tcW w:type="dxa" w:w="5656"/>
          </w:tcPr>
          <w:p>
            <w:pPr>
              <w:spacing w:after="40" w:before="40" w:line="240" w:lineRule="auto"/>
              <w:jc w:val="left"/>
            </w:pPr>
            <w:r>
              <w:rPr>
                <w:rFonts w:ascii="Times New Roman" w:hAnsi="Times New Roman"/>
                <w:b w:val="0"/>
                <w:i w:val="0"/>
                <w:sz w:val="20"/>
                <w:u w:val="none"/>
              </w:rPr>
              <w:t>Carrera 37 n.º 10A-58, oficina 804, Medellín</w:t>
            </w:r>
          </w:p>
        </w:tc>
      </w:tr>
      <w:tr>
        <w:tc>
          <w:tcPr>
            <w:tcW w:type="dxa" w:w="3466"/>
          </w:tcPr>
          <w:p>
            <w:pPr>
              <w:spacing w:after="40" w:before="40" w:line="240" w:lineRule="auto"/>
              <w:jc w:val="left"/>
            </w:pPr>
            <w:r>
              <w:rPr>
                <w:rFonts w:ascii="Times New Roman" w:hAnsi="Times New Roman"/>
                <w:b w:val="0"/>
                <w:i w:val="0"/>
                <w:sz w:val="20"/>
                <w:u w:val="none"/>
              </w:rPr>
              <w:t>Teléfono</w:t>
            </w:r>
          </w:p>
        </w:tc>
        <w:tc>
          <w:tcPr>
            <w:tcW w:type="dxa" w:w="5656"/>
          </w:tcPr>
          <w:p>
            <w:pPr>
              <w:spacing w:after="40" w:before="40" w:line="240" w:lineRule="auto"/>
              <w:jc w:val="left"/>
            </w:pPr>
            <w:r>
              <w:rPr>
                <w:rFonts w:ascii="Times New Roman" w:hAnsi="Times New Roman"/>
                <w:b w:val="0"/>
                <w:i w:val="0"/>
                <w:sz w:val="20"/>
                <w:u w:val="none"/>
              </w:rPr>
              <w:t>315 684 9271 (idéntico al del RUT y del RUES)</w:t>
            </w:r>
          </w:p>
        </w:tc>
      </w:tr>
      <w:tr>
        <w:tc>
          <w:tcPr>
            <w:tcW w:type="dxa" w:w="3466"/>
          </w:tcPr>
          <w:p>
            <w:pPr>
              <w:spacing w:after="40" w:before="40" w:line="240" w:lineRule="auto"/>
              <w:jc w:val="left"/>
            </w:pPr>
            <w:r>
              <w:rPr>
                <w:rFonts w:ascii="Times New Roman" w:hAnsi="Times New Roman"/>
                <w:b w:val="0"/>
                <w:i w:val="0"/>
                <w:sz w:val="20"/>
                <w:u w:val="none"/>
              </w:rPr>
              <w:t>Municipio donde ejerce la actividad</w:t>
            </w:r>
          </w:p>
        </w:tc>
        <w:tc>
          <w:tcPr>
            <w:tcW w:type="dxa" w:w="5656"/>
          </w:tcPr>
          <w:p>
            <w:pPr>
              <w:spacing w:after="40" w:before="40" w:line="240" w:lineRule="auto"/>
              <w:jc w:val="left"/>
            </w:pPr>
            <w:r>
              <w:rPr>
                <w:rFonts w:ascii="Times New Roman" w:hAnsi="Times New Roman"/>
                <w:b w:val="0"/>
                <w:i w:val="0"/>
                <w:sz w:val="20"/>
                <w:u w:val="none"/>
              </w:rPr>
              <w:t>Medellín</w:t>
            </w:r>
          </w:p>
        </w:tc>
      </w:tr>
      <w:tr>
        <w:tc>
          <w:tcPr>
            <w:tcW w:type="dxa" w:w="3466"/>
          </w:tcPr>
          <w:p>
            <w:pPr>
              <w:spacing w:after="40" w:before="40" w:line="240" w:lineRule="auto"/>
              <w:jc w:val="left"/>
            </w:pPr>
            <w:r>
              <w:rPr>
                <w:rFonts w:ascii="Times New Roman" w:hAnsi="Times New Roman"/>
                <w:b w:val="0"/>
                <w:i w:val="0"/>
                <w:sz w:val="20"/>
                <w:u w:val="none"/>
              </w:rPr>
              <w:t>Actividad para efectos del impuesto de industria y comercio</w:t>
            </w:r>
          </w:p>
        </w:tc>
        <w:tc>
          <w:tcPr>
            <w:tcW w:type="dxa" w:w="5656"/>
          </w:tcPr>
          <w:p>
            <w:pPr>
              <w:spacing w:after="40" w:before="40" w:line="240" w:lineRule="auto"/>
              <w:jc w:val="left"/>
            </w:pPr>
            <w:r>
              <w:rPr>
                <w:rFonts w:ascii="Times New Roman" w:hAnsi="Times New Roman"/>
                <w:b w:val="0"/>
                <w:i w:val="0"/>
                <w:sz w:val="20"/>
                <w:u w:val="none"/>
              </w:rPr>
              <w:t>La correspondiente a los códigos CIIU declarados, para la inscripción en el RIT del Municipio de Medellín</w:t>
            </w:r>
          </w:p>
        </w:tc>
      </w:tr>
      <w:tr>
        <w:tc>
          <w:tcPr>
            <w:tcW w:type="dxa" w:w="3466"/>
          </w:tcPr>
          <w:p>
            <w:pPr>
              <w:spacing w:after="40" w:before="40" w:line="240" w:lineRule="auto"/>
              <w:jc w:val="left"/>
            </w:pPr>
            <w:r>
              <w:rPr>
                <w:rFonts w:ascii="Times New Roman" w:hAnsi="Times New Roman"/>
                <w:b w:val="0"/>
                <w:i w:val="0"/>
                <w:sz w:val="20"/>
                <w:u w:val="none"/>
              </w:rPr>
              <w:t>Número de empleados</w:t>
            </w:r>
          </w:p>
        </w:tc>
        <w:tc>
          <w:tcPr>
            <w:tcW w:type="dxa" w:w="5656"/>
          </w:tcPr>
          <w:p>
            <w:pPr>
              <w:spacing w:after="40" w:before="40" w:line="240" w:lineRule="auto"/>
              <w:jc w:val="left"/>
            </w:pPr>
            <w:r>
              <w:rPr>
                <w:rFonts w:ascii="Times New Roman" w:hAnsi="Times New Roman"/>
                <w:b w:val="0"/>
                <w:i w:val="0"/>
                <w:sz w:val="20"/>
                <w:u w:val="none"/>
              </w:rPr>
              <w:t>9</w:t>
            </w:r>
          </w:p>
        </w:tc>
      </w:tr>
      <w:tr>
        <w:tc>
          <w:tcPr>
            <w:tcW w:type="dxa" w:w="3466"/>
          </w:tcPr>
          <w:p>
            <w:pPr>
              <w:spacing w:after="40" w:before="40" w:line="240" w:lineRule="auto"/>
              <w:jc w:val="left"/>
            </w:pPr>
            <w:r>
              <w:rPr>
                <w:rFonts w:ascii="Times New Roman" w:hAnsi="Times New Roman"/>
                <w:b w:val="0"/>
                <w:i w:val="0"/>
                <w:sz w:val="20"/>
                <w:u w:val="none"/>
              </w:rPr>
              <w:t>Datos del contador o revisor fiscal</w:t>
            </w:r>
          </w:p>
        </w:tc>
        <w:tc>
          <w:tcPr>
            <w:tcW w:type="dxa" w:w="5656"/>
          </w:tcPr>
          <w:p>
            <w:pPr>
              <w:spacing w:after="40" w:before="40" w:line="240" w:lineRule="auto"/>
              <w:jc w:val="left"/>
            </w:pPr>
            <w:r>
              <w:rPr>
                <w:rFonts w:ascii="Times New Roman" w:hAnsi="Times New Roman"/>
                <w:b w:val="0"/>
                <w:i w:val="0"/>
                <w:sz w:val="20"/>
                <w:u w:val="none"/>
              </w:rPr>
              <w:t>Los del contador público independiente que certifica el capital (no hay revisor fiscal)</w:t>
            </w:r>
          </w:p>
        </w:tc>
      </w:tr>
    </w:tbl>
    <w:p>
      <w:pPr>
        <w:spacing w:after="80"/>
      </w:pPr>
    </w:p>
    <w:p>
      <w:pPr>
        <w:keepNext/>
        <w:spacing w:before="320" w:after="160"/>
        <w:jc w:val="center"/>
      </w:pPr>
      <w:r>
        <w:rPr>
          <w:rFonts w:ascii="Times New Roman" w:hAnsi="Times New Roman"/>
          <w:b/>
          <w:i w:val="0"/>
          <w:sz w:val="24"/>
          <w:u w:val="none"/>
        </w:rPr>
        <w:t>4. DOCUMENTOS QUE DEBEN ACOMPAÑAR LOS FORMULARIOS</w:t>
      </w:r>
    </w:p>
    <w:tbl>
      <w:tblPr>
        <w:tblStyle w:val="TableGrid"/>
        <w:tblW w:type="auto" w:w="0"/>
        <w:jc w:val="center"/>
        <w:tblLayout w:type="fixed"/>
        <w:tblLook w:firstColumn="1" w:firstRow="1" w:lastColumn="0" w:lastRow="0" w:noHBand="0" w:noVBand="1" w:val="04A0"/>
        <w:tblW w:w="9122" w:type="dxa"/>
        <w:tblLayout w:type="fixed"/>
      </w:tblPr>
      <w:tblGrid>
        <w:gridCol w:w="730"/>
        <w:gridCol w:w="3649"/>
        <w:gridCol w:w="4743"/>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3649"/>
            <w:shd w:val="clear" w:color="auto" w:fill="D9D9D9"/>
          </w:tcPr>
          <w:p>
            <w:pPr>
              <w:spacing w:after="40" w:before="40" w:line="240" w:lineRule="auto"/>
              <w:jc w:val="center"/>
            </w:pPr>
            <w:r>
              <w:rPr>
                <w:rFonts w:ascii="Times New Roman" w:hAnsi="Times New Roman"/>
                <w:b/>
                <w:i w:val="0"/>
                <w:sz w:val="20"/>
                <w:u w:val="none"/>
              </w:rPr>
              <w:t>Documento</w:t>
            </w:r>
          </w:p>
        </w:tc>
        <w:tc>
          <w:tcPr>
            <w:tcW w:type="dxa" w:w="4743"/>
            <w:shd w:val="clear" w:color="auto" w:fill="D9D9D9"/>
          </w:tcPr>
          <w:p>
            <w:pPr>
              <w:spacing w:after="40" w:before="40" w:line="240" w:lineRule="auto"/>
              <w:jc w:val="center"/>
            </w:pPr>
            <w:r>
              <w:rPr>
                <w:rFonts w:ascii="Times New Roman" w:hAnsi="Times New Roman"/>
                <w:b/>
                <w:i w:val="0"/>
                <w:sz w:val="20"/>
                <w:u w:val="none"/>
              </w:rPr>
              <w:t>Fundamento y observación</w:t>
            </w:r>
          </w:p>
        </w:tc>
      </w:tr>
      <w:tr>
        <w:tc>
          <w:tcPr>
            <w:tcW w:type="dxa" w:w="730"/>
          </w:tcPr>
          <w:p>
            <w:pPr>
              <w:spacing w:after="40" w:before="40" w:line="240" w:lineRule="auto"/>
              <w:jc w:val="left"/>
            </w:pPr>
            <w:r>
              <w:rPr>
                <w:rFonts w:ascii="Times New Roman" w:hAnsi="Times New Roman"/>
                <w:b w:val="0"/>
                <w:i w:val="0"/>
                <w:sz w:val="20"/>
                <w:u w:val="none"/>
              </w:rPr>
              <w:t>1</w:t>
            </w:r>
          </w:p>
        </w:tc>
        <w:tc>
          <w:tcPr>
            <w:tcW w:type="dxa" w:w="3649"/>
          </w:tcPr>
          <w:p>
            <w:pPr>
              <w:spacing w:after="40" w:before="40" w:line="240" w:lineRule="auto"/>
              <w:jc w:val="left"/>
            </w:pPr>
            <w:r>
              <w:rPr>
                <w:rFonts w:ascii="Times New Roman" w:hAnsi="Times New Roman"/>
                <w:b w:val="0"/>
                <w:i w:val="0"/>
                <w:sz w:val="20"/>
                <w:u w:val="none"/>
              </w:rPr>
              <w:t>Documento privado de constitución, con presentación personal o autenticación</w:t>
            </w:r>
          </w:p>
        </w:tc>
        <w:tc>
          <w:tcPr>
            <w:tcW w:type="dxa" w:w="4743"/>
          </w:tcPr>
          <w:p>
            <w:pPr>
              <w:spacing w:after="40" w:before="40" w:line="240" w:lineRule="auto"/>
              <w:jc w:val="left"/>
            </w:pPr>
            <w:r>
              <w:rPr>
                <w:rFonts w:ascii="Times New Roman" w:hAnsi="Times New Roman"/>
                <w:b w:val="0"/>
                <w:i w:val="0"/>
                <w:sz w:val="20"/>
                <w:u w:val="none"/>
              </w:rPr>
              <w:t>Artículo 5.º de la Ley 1258 de 2008 y artículo 40 del Código de Comercio</w:t>
            </w:r>
          </w:p>
        </w:tc>
      </w:tr>
      <w:tr>
        <w:tc>
          <w:tcPr>
            <w:tcW w:type="dxa" w:w="730"/>
          </w:tcPr>
          <w:p>
            <w:pPr>
              <w:spacing w:after="40" w:before="40" w:line="240" w:lineRule="auto"/>
              <w:jc w:val="left"/>
            </w:pPr>
            <w:r>
              <w:rPr>
                <w:rFonts w:ascii="Times New Roman" w:hAnsi="Times New Roman"/>
                <w:b w:val="0"/>
                <w:i w:val="0"/>
                <w:sz w:val="20"/>
                <w:u w:val="none"/>
              </w:rPr>
              <w:t>2</w:t>
            </w:r>
          </w:p>
        </w:tc>
        <w:tc>
          <w:tcPr>
            <w:tcW w:type="dxa" w:w="3649"/>
          </w:tcPr>
          <w:p>
            <w:pPr>
              <w:spacing w:after="40" w:before="40" w:line="240" w:lineRule="auto"/>
              <w:jc w:val="left"/>
            </w:pPr>
            <w:r>
              <w:rPr>
                <w:rFonts w:ascii="Times New Roman" w:hAnsi="Times New Roman"/>
                <w:b w:val="0"/>
                <w:i w:val="0"/>
                <w:sz w:val="20"/>
                <w:u w:val="none"/>
              </w:rPr>
              <w:t>Carta de aceptación del cargo de representante legal principal</w:t>
            </w:r>
          </w:p>
        </w:tc>
        <w:tc>
          <w:tcPr>
            <w:tcW w:type="dxa" w:w="4743"/>
          </w:tcPr>
          <w:p>
            <w:pPr>
              <w:spacing w:after="40" w:before="40" w:line="240" w:lineRule="auto"/>
              <w:jc w:val="left"/>
            </w:pPr>
            <w:r>
              <w:rPr>
                <w:rFonts w:ascii="Times New Roman" w:hAnsi="Times New Roman"/>
                <w:b w:val="0"/>
                <w:i w:val="0"/>
                <w:sz w:val="20"/>
                <w:u w:val="none"/>
              </w:rPr>
              <w:t>Artículo 42 del Decreto Ley 2150 de 1995</w:t>
            </w:r>
          </w:p>
        </w:tc>
      </w:tr>
      <w:tr>
        <w:tc>
          <w:tcPr>
            <w:tcW w:type="dxa" w:w="730"/>
          </w:tcPr>
          <w:p>
            <w:pPr>
              <w:spacing w:after="40" w:before="40" w:line="240" w:lineRule="auto"/>
              <w:jc w:val="left"/>
            </w:pPr>
            <w:r>
              <w:rPr>
                <w:rFonts w:ascii="Times New Roman" w:hAnsi="Times New Roman"/>
                <w:b w:val="0"/>
                <w:i w:val="0"/>
                <w:sz w:val="20"/>
                <w:u w:val="none"/>
              </w:rPr>
              <w:t>3</w:t>
            </w:r>
          </w:p>
        </w:tc>
        <w:tc>
          <w:tcPr>
            <w:tcW w:type="dxa" w:w="3649"/>
          </w:tcPr>
          <w:p>
            <w:pPr>
              <w:spacing w:after="40" w:before="40" w:line="240" w:lineRule="auto"/>
              <w:jc w:val="left"/>
            </w:pPr>
            <w:r>
              <w:rPr>
                <w:rFonts w:ascii="Times New Roman" w:hAnsi="Times New Roman"/>
                <w:b w:val="0"/>
                <w:i w:val="0"/>
                <w:sz w:val="20"/>
                <w:u w:val="none"/>
              </w:rPr>
              <w:t>Carta de aceptación del cargo de representante legal suplente</w:t>
            </w:r>
          </w:p>
        </w:tc>
        <w:tc>
          <w:tcPr>
            <w:tcW w:type="dxa" w:w="4743"/>
          </w:tcPr>
          <w:p>
            <w:pPr>
              <w:spacing w:after="40" w:before="40" w:line="240" w:lineRule="auto"/>
              <w:jc w:val="left"/>
            </w:pPr>
            <w:r>
              <w:rPr>
                <w:rFonts w:ascii="Times New Roman" w:hAnsi="Times New Roman"/>
                <w:b w:val="0"/>
                <w:i w:val="0"/>
                <w:sz w:val="20"/>
                <w:u w:val="none"/>
              </w:rPr>
              <w:t>Artículo 42 del Decreto Ley 2150 de 1995</w:t>
            </w:r>
          </w:p>
        </w:tc>
      </w:tr>
      <w:tr>
        <w:tc>
          <w:tcPr>
            <w:tcW w:type="dxa" w:w="730"/>
          </w:tcPr>
          <w:p>
            <w:pPr>
              <w:spacing w:after="40" w:before="40" w:line="240" w:lineRule="auto"/>
              <w:jc w:val="left"/>
            </w:pPr>
            <w:r>
              <w:rPr>
                <w:rFonts w:ascii="Times New Roman" w:hAnsi="Times New Roman"/>
                <w:b w:val="0"/>
                <w:i w:val="0"/>
                <w:sz w:val="20"/>
                <w:u w:val="none"/>
              </w:rPr>
              <w:t>4</w:t>
            </w:r>
          </w:p>
        </w:tc>
        <w:tc>
          <w:tcPr>
            <w:tcW w:type="dxa" w:w="3649"/>
          </w:tcPr>
          <w:p>
            <w:pPr>
              <w:spacing w:after="40" w:before="40" w:line="240" w:lineRule="auto"/>
              <w:jc w:val="left"/>
            </w:pPr>
            <w:r>
              <w:rPr>
                <w:rFonts w:ascii="Times New Roman" w:hAnsi="Times New Roman"/>
                <w:b w:val="0"/>
                <w:i w:val="0"/>
                <w:sz w:val="20"/>
                <w:u w:val="none"/>
              </w:rPr>
              <w:t>Fotocopia ampliada de la cédula de ciudadanía de los accionistas y de los representantes legales</w:t>
            </w:r>
          </w:p>
        </w:tc>
        <w:tc>
          <w:tcPr>
            <w:tcW w:type="dxa" w:w="4743"/>
          </w:tcPr>
          <w:p>
            <w:pPr>
              <w:spacing w:after="40" w:before="40" w:line="240" w:lineRule="auto"/>
              <w:jc w:val="left"/>
            </w:pPr>
            <w:r>
              <w:rPr>
                <w:rFonts w:ascii="Times New Roman" w:hAnsi="Times New Roman"/>
                <w:b w:val="0"/>
                <w:i w:val="0"/>
                <w:sz w:val="20"/>
                <w:u w:val="none"/>
              </w:rPr>
              <w:t>Requerimiento del levantamiento de información y práctica registral de la Cámara</w:t>
            </w:r>
          </w:p>
        </w:tc>
      </w:tr>
      <w:tr>
        <w:tc>
          <w:tcPr>
            <w:tcW w:type="dxa" w:w="730"/>
          </w:tcPr>
          <w:p>
            <w:pPr>
              <w:spacing w:after="40" w:before="40" w:line="240" w:lineRule="auto"/>
              <w:jc w:val="left"/>
            </w:pPr>
            <w:r>
              <w:rPr>
                <w:rFonts w:ascii="Times New Roman" w:hAnsi="Times New Roman"/>
                <w:b w:val="0"/>
                <w:i w:val="0"/>
                <w:sz w:val="20"/>
                <w:u w:val="none"/>
              </w:rPr>
              <w:t>5</w:t>
            </w:r>
          </w:p>
        </w:tc>
        <w:tc>
          <w:tcPr>
            <w:tcW w:type="dxa" w:w="3649"/>
          </w:tcPr>
          <w:p>
            <w:pPr>
              <w:spacing w:after="40" w:before="40" w:line="240" w:lineRule="auto"/>
              <w:jc w:val="left"/>
            </w:pPr>
            <w:r>
              <w:rPr>
                <w:rFonts w:ascii="Times New Roman" w:hAnsi="Times New Roman"/>
                <w:b w:val="0"/>
                <w:i w:val="0"/>
                <w:sz w:val="20"/>
                <w:u w:val="none"/>
              </w:rPr>
              <w:t>Certificación de pago del capital suscrito</w:t>
            </w:r>
          </w:p>
        </w:tc>
        <w:tc>
          <w:tcPr>
            <w:tcW w:type="dxa" w:w="4743"/>
          </w:tcPr>
          <w:p>
            <w:pPr>
              <w:spacing w:after="40" w:before="40" w:line="240" w:lineRule="auto"/>
              <w:jc w:val="left"/>
            </w:pPr>
            <w:r>
              <w:rPr>
                <w:rFonts w:ascii="Times New Roman" w:hAnsi="Times New Roman"/>
                <w:b w:val="0"/>
                <w:i w:val="0"/>
                <w:sz w:val="20"/>
                <w:u w:val="none"/>
              </w:rPr>
              <w:t>Soporte del capital pagado que se declara en los formularios</w:t>
            </w:r>
          </w:p>
        </w:tc>
      </w:tr>
      <w:tr>
        <w:tc>
          <w:tcPr>
            <w:tcW w:type="dxa" w:w="730"/>
          </w:tcPr>
          <w:p>
            <w:pPr>
              <w:spacing w:after="40" w:before="40" w:line="240" w:lineRule="auto"/>
              <w:jc w:val="left"/>
            </w:pPr>
            <w:r>
              <w:rPr>
                <w:rFonts w:ascii="Times New Roman" w:hAnsi="Times New Roman"/>
                <w:b w:val="0"/>
                <w:i w:val="0"/>
                <w:sz w:val="20"/>
                <w:u w:val="none"/>
              </w:rPr>
              <w:t>6</w:t>
            </w:r>
          </w:p>
        </w:tc>
        <w:tc>
          <w:tcPr>
            <w:tcW w:type="dxa" w:w="3649"/>
          </w:tcPr>
          <w:p>
            <w:pPr>
              <w:spacing w:after="40" w:before="40" w:line="240" w:lineRule="auto"/>
              <w:jc w:val="left"/>
            </w:pPr>
            <w:r>
              <w:rPr>
                <w:rFonts w:ascii="Times New Roman" w:hAnsi="Times New Roman"/>
                <w:b w:val="0"/>
                <w:i w:val="0"/>
                <w:sz w:val="20"/>
                <w:u w:val="none"/>
              </w:rPr>
              <w:t>Declaración juramentada de cumplimiento de la Ley 1780 de 2016</w:t>
            </w:r>
          </w:p>
        </w:tc>
        <w:tc>
          <w:tcPr>
            <w:tcW w:type="dxa" w:w="4743"/>
          </w:tcPr>
          <w:p>
            <w:pPr>
              <w:spacing w:after="40" w:before="40" w:line="240" w:lineRule="auto"/>
              <w:jc w:val="left"/>
            </w:pPr>
            <w:r>
              <w:rPr>
                <w:rFonts w:ascii="Times New Roman" w:hAnsi="Times New Roman"/>
                <w:b w:val="0"/>
                <w:i w:val="0"/>
                <w:sz w:val="20"/>
                <w:u w:val="none"/>
              </w:rPr>
              <w:t>Artículos 2.º y 3.º de la Ley 1780 de 2016 y Decreto 639 de 2017</w:t>
            </w:r>
          </w:p>
        </w:tc>
      </w:tr>
      <w:tr>
        <w:tc>
          <w:tcPr>
            <w:tcW w:type="dxa" w:w="730"/>
          </w:tcPr>
          <w:p>
            <w:pPr>
              <w:spacing w:after="40" w:before="40" w:line="240" w:lineRule="auto"/>
              <w:jc w:val="left"/>
            </w:pPr>
            <w:r>
              <w:rPr>
                <w:rFonts w:ascii="Times New Roman" w:hAnsi="Times New Roman"/>
                <w:b w:val="0"/>
                <w:i w:val="0"/>
                <w:sz w:val="20"/>
                <w:u w:val="none"/>
              </w:rPr>
              <w:t>7</w:t>
            </w:r>
          </w:p>
        </w:tc>
        <w:tc>
          <w:tcPr>
            <w:tcW w:type="dxa" w:w="3649"/>
          </w:tcPr>
          <w:p>
            <w:pPr>
              <w:spacing w:after="40" w:before="40" w:line="240" w:lineRule="auto"/>
              <w:jc w:val="left"/>
            </w:pPr>
            <w:r>
              <w:rPr>
                <w:rFonts w:ascii="Times New Roman" w:hAnsi="Times New Roman"/>
                <w:b w:val="0"/>
                <w:i w:val="0"/>
                <w:sz w:val="20"/>
                <w:u w:val="none"/>
              </w:rPr>
              <w:t>RUT provisional (pre-RUT)</w:t>
            </w:r>
          </w:p>
        </w:tc>
        <w:tc>
          <w:tcPr>
            <w:tcW w:type="dxa" w:w="4743"/>
          </w:tcPr>
          <w:p>
            <w:pPr>
              <w:spacing w:after="40" w:before="40" w:line="240" w:lineRule="auto"/>
              <w:jc w:val="left"/>
            </w:pPr>
            <w:r>
              <w:rPr>
                <w:rFonts w:ascii="Times New Roman" w:hAnsi="Times New Roman"/>
                <w:b w:val="0"/>
                <w:i w:val="0"/>
                <w:sz w:val="20"/>
                <w:u w:val="none"/>
              </w:rPr>
              <w:t>Decreto 1074 de 2015 y Resolución de la DIAN sobre el RUT</w:t>
            </w:r>
          </w:p>
        </w:tc>
      </w:tr>
      <w:tr>
        <w:tc>
          <w:tcPr>
            <w:tcW w:type="dxa" w:w="730"/>
          </w:tcPr>
          <w:p>
            <w:pPr>
              <w:spacing w:after="40" w:before="40" w:line="240" w:lineRule="auto"/>
              <w:jc w:val="left"/>
            </w:pPr>
            <w:r>
              <w:rPr>
                <w:rFonts w:ascii="Times New Roman" w:hAnsi="Times New Roman"/>
                <w:b w:val="0"/>
                <w:i w:val="0"/>
                <w:sz w:val="20"/>
                <w:u w:val="none"/>
              </w:rPr>
              <w:t>8</w:t>
            </w:r>
          </w:p>
        </w:tc>
        <w:tc>
          <w:tcPr>
            <w:tcW w:type="dxa" w:w="3649"/>
          </w:tcPr>
          <w:p>
            <w:pPr>
              <w:spacing w:after="40" w:before="40" w:line="240" w:lineRule="auto"/>
              <w:jc w:val="left"/>
            </w:pPr>
            <w:r>
              <w:rPr>
                <w:rFonts w:ascii="Times New Roman" w:hAnsi="Times New Roman"/>
                <w:b w:val="0"/>
                <w:i w:val="0"/>
                <w:sz w:val="20"/>
                <w:u w:val="none"/>
              </w:rPr>
              <w:t>Recibo de pago del impuesto de registro</w:t>
            </w:r>
          </w:p>
        </w:tc>
        <w:tc>
          <w:tcPr>
            <w:tcW w:type="dxa" w:w="4743"/>
          </w:tcPr>
          <w:p>
            <w:pPr>
              <w:spacing w:after="40" w:before="40" w:line="240" w:lineRule="auto"/>
              <w:jc w:val="left"/>
            </w:pPr>
            <w:r>
              <w:rPr>
                <w:rFonts w:ascii="Times New Roman" w:hAnsi="Times New Roman"/>
                <w:b w:val="0"/>
                <w:i w:val="0"/>
                <w:sz w:val="20"/>
                <w:u w:val="none"/>
              </w:rPr>
              <w:t>Ley 223 de 1995 y Decreto 650 de 1996</w:t>
            </w:r>
          </w:p>
        </w:tc>
      </w:tr>
      <w:tr>
        <w:tc>
          <w:tcPr>
            <w:tcW w:type="dxa" w:w="730"/>
          </w:tcPr>
          <w:p>
            <w:pPr>
              <w:spacing w:after="40" w:before="40" w:line="240" w:lineRule="auto"/>
              <w:jc w:val="left"/>
            </w:pPr>
            <w:r>
              <w:rPr>
                <w:rFonts w:ascii="Times New Roman" w:hAnsi="Times New Roman"/>
                <w:b w:val="0"/>
                <w:i w:val="0"/>
                <w:sz w:val="20"/>
                <w:u w:val="none"/>
              </w:rPr>
              <w:t>9</w:t>
            </w:r>
          </w:p>
        </w:tc>
        <w:tc>
          <w:tcPr>
            <w:tcW w:type="dxa" w:w="3649"/>
          </w:tcPr>
          <w:p>
            <w:pPr>
              <w:spacing w:after="40" w:before="40" w:line="240" w:lineRule="auto"/>
              <w:jc w:val="left"/>
            </w:pPr>
            <w:r>
              <w:rPr>
                <w:rFonts w:ascii="Times New Roman" w:hAnsi="Times New Roman"/>
                <w:b w:val="0"/>
                <w:i w:val="0"/>
                <w:sz w:val="20"/>
                <w:u w:val="none"/>
              </w:rPr>
              <w:t>Solicitud de inscripción de libros de comercio</w:t>
            </w:r>
          </w:p>
        </w:tc>
        <w:tc>
          <w:tcPr>
            <w:tcW w:type="dxa" w:w="4743"/>
          </w:tcPr>
          <w:p>
            <w:pPr>
              <w:spacing w:after="40" w:before="40" w:line="240" w:lineRule="auto"/>
              <w:jc w:val="left"/>
            </w:pPr>
            <w:r>
              <w:rPr>
                <w:rFonts w:ascii="Times New Roman" w:hAnsi="Times New Roman"/>
                <w:b w:val="0"/>
                <w:i w:val="0"/>
                <w:sz w:val="20"/>
                <w:u w:val="none"/>
              </w:rPr>
              <w:t>Artículo 175 del Decreto Ley 019 de 2012</w:t>
            </w:r>
          </w:p>
        </w:tc>
      </w:tr>
    </w:tbl>
    <w:p>
      <w:pPr>
        <w:spacing w:after="80"/>
      </w:pPr>
    </w:p>
    <w:p>
      <w:pPr>
        <w:keepNext/>
        <w:spacing w:before="320" w:after="160"/>
        <w:jc w:val="center"/>
      </w:pPr>
      <w:r>
        <w:rPr>
          <w:rFonts w:ascii="Times New Roman" w:hAnsi="Times New Roman"/>
          <w:b/>
          <w:i w:val="0"/>
          <w:sz w:val="24"/>
          <w:u w:val="none"/>
        </w:rPr>
        <w:t>5. LIQUIDACIÓN ESTIMADA DE DERECHOS E IMPUESTOS</w:t>
      </w:r>
    </w:p>
    <w:p>
      <w:r>
        <w:rPr>
          <w:rFonts w:ascii="Times New Roman" w:hAnsi="Times New Roman"/>
          <w:b w:val="0"/>
          <w:i w:val="0"/>
          <w:u w:val="none"/>
        </w:rPr>
        <w:t xml:space="preserve">La liquidación se practica sobre dos bases distintas que no deben confundirse: el </w:t>
      </w:r>
      <w:r>
        <w:rPr>
          <w:rFonts w:ascii="Times New Roman" w:hAnsi="Times New Roman"/>
          <w:b/>
          <w:i w:val="0"/>
          <w:u w:val="none"/>
        </w:rPr>
        <w:t>impuesto de registro</w:t>
      </w:r>
      <w:r>
        <w:rPr>
          <w:rFonts w:ascii="Times New Roman" w:hAnsi="Times New Roman"/>
          <w:b w:val="0"/>
          <w:i w:val="0"/>
          <w:u w:val="none"/>
        </w:rPr>
        <w:t xml:space="preserve"> es un tributo departamental que se liquida sobre el </w:t>
      </w:r>
      <w:r>
        <w:rPr>
          <w:rFonts w:ascii="Times New Roman" w:hAnsi="Times New Roman"/>
          <w:b/>
          <w:i w:val="0"/>
          <w:u w:val="none"/>
        </w:rPr>
        <w:t>capital suscrito</w:t>
      </w:r>
      <w:r>
        <w:rPr>
          <w:rFonts w:ascii="Times New Roman" w:hAnsi="Times New Roman"/>
          <w:b w:val="0"/>
          <w:i w:val="0"/>
          <w:u w:val="none"/>
        </w:rPr>
        <w:t xml:space="preserve">; los </w:t>
      </w:r>
      <w:r>
        <w:rPr>
          <w:rFonts w:ascii="Times New Roman" w:hAnsi="Times New Roman"/>
          <w:b/>
          <w:i w:val="0"/>
          <w:u w:val="none"/>
        </w:rPr>
        <w:t>derechos de registro</w:t>
      </w:r>
      <w:r>
        <w:rPr>
          <w:rFonts w:ascii="Times New Roman" w:hAnsi="Times New Roman"/>
          <w:b w:val="0"/>
          <w:i w:val="0"/>
          <w:u w:val="none"/>
        </w:rPr>
        <w:t xml:space="preserve"> son la contraprestación por el servicio registral y se liquidan en </w:t>
      </w:r>
      <w:r>
        <w:rPr>
          <w:rFonts w:ascii="Times New Roman" w:hAnsi="Times New Roman"/>
          <w:b/>
          <w:i w:val="0"/>
          <w:u w:val="none"/>
        </w:rPr>
        <w:t>UVB</w:t>
      </w:r>
      <w:r>
        <w:rPr>
          <w:rFonts w:ascii="Times New Roman" w:hAnsi="Times New Roman"/>
          <w:b w:val="0"/>
          <w:i w:val="0"/>
          <w:u w:val="none"/>
        </w:rPr>
        <w:t xml:space="preserve"> o sobre los </w:t>
      </w:r>
      <w:r>
        <w:rPr>
          <w:rFonts w:ascii="Times New Roman" w:hAnsi="Times New Roman"/>
          <w:b/>
          <w:i w:val="0"/>
          <w:u w:val="none"/>
        </w:rPr>
        <w:t>activos</w:t>
      </w:r>
      <w:r>
        <w:rPr>
          <w:rFonts w:ascii="Times New Roman" w:hAnsi="Times New Roman"/>
          <w:b w:val="0"/>
          <w:i w:val="0"/>
          <w:u w:val="none"/>
        </w:rPr>
        <w:t>, según el concepto.</w:t>
      </w:r>
    </w:p>
    <w:tbl>
      <w:tblPr>
        <w:tblStyle w:val="TableGrid"/>
        <w:tblW w:type="auto" w:w="0"/>
        <w:jc w:val="center"/>
        <w:tblLayout w:type="fixed"/>
        <w:tblLook w:firstColumn="1" w:firstRow="1" w:lastColumn="0" w:lastRow="0" w:noHBand="0" w:noVBand="1" w:val="04A0"/>
        <w:tblW w:w="9121" w:type="dxa"/>
        <w:tblLayout w:type="fixed"/>
      </w:tblPr>
      <w:tblGrid>
        <w:gridCol w:w="3831"/>
        <w:gridCol w:w="1824"/>
        <w:gridCol w:w="1824"/>
        <w:gridCol w:w="1642"/>
      </w:tblGrid>
      <w:tr>
        <w:tc>
          <w:tcPr>
            <w:tcW w:type="dxa" w:w="3831"/>
            <w:shd w:val="clear" w:color="auto" w:fill="D9D9D9"/>
          </w:tcPr>
          <w:p>
            <w:pPr>
              <w:spacing w:after="40" w:before="40" w:line="240" w:lineRule="auto"/>
              <w:jc w:val="center"/>
            </w:pPr>
            <w:r>
              <w:rPr>
                <w:rFonts w:ascii="Times New Roman" w:hAnsi="Times New Roman"/>
                <w:b/>
                <w:i w:val="0"/>
                <w:sz w:val="20"/>
                <w:u w:val="none"/>
              </w:rPr>
              <w:t>Concepto</w:t>
            </w:r>
          </w:p>
        </w:tc>
        <w:tc>
          <w:tcPr>
            <w:tcW w:type="dxa" w:w="1824"/>
            <w:shd w:val="clear" w:color="auto" w:fill="D9D9D9"/>
          </w:tcPr>
          <w:p>
            <w:pPr>
              <w:spacing w:after="40" w:before="40" w:line="240" w:lineRule="auto"/>
              <w:jc w:val="center"/>
            </w:pPr>
            <w:r>
              <w:rPr>
                <w:rFonts w:ascii="Times New Roman" w:hAnsi="Times New Roman"/>
                <w:b/>
                <w:i w:val="0"/>
                <w:sz w:val="20"/>
                <w:u w:val="none"/>
              </w:rPr>
              <w:t>Base o tarifa</w:t>
            </w:r>
          </w:p>
        </w:tc>
        <w:tc>
          <w:tcPr>
            <w:tcW w:type="dxa" w:w="1824"/>
            <w:shd w:val="clear" w:color="auto" w:fill="D9D9D9"/>
          </w:tcPr>
          <w:p>
            <w:pPr>
              <w:spacing w:after="40" w:before="40" w:line="240" w:lineRule="auto"/>
              <w:jc w:val="center"/>
            </w:pPr>
            <w:r>
              <w:rPr>
                <w:rFonts w:ascii="Times New Roman" w:hAnsi="Times New Roman"/>
                <w:b/>
                <w:i w:val="0"/>
                <w:sz w:val="20"/>
                <w:u w:val="none"/>
              </w:rPr>
              <w:t>Valor estimado 2026</w:t>
            </w:r>
          </w:p>
        </w:tc>
        <w:tc>
          <w:tcPr>
            <w:tcW w:type="dxa" w:w="1642"/>
            <w:shd w:val="clear" w:color="auto" w:fill="D9D9D9"/>
          </w:tcPr>
          <w:p>
            <w:pPr>
              <w:spacing w:after="40" w:before="40" w:line="240" w:lineRule="auto"/>
              <w:jc w:val="center"/>
            </w:pPr>
            <w:r>
              <w:rPr>
                <w:rFonts w:ascii="Times New Roman" w:hAnsi="Times New Roman"/>
                <w:b/>
                <w:i w:val="0"/>
                <w:sz w:val="20"/>
                <w:u w:val="none"/>
              </w:rPr>
              <w:t>Fundamento</w:t>
            </w:r>
          </w:p>
        </w:tc>
      </w:tr>
      <w:tr>
        <w:tc>
          <w:tcPr>
            <w:tcW w:type="dxa" w:w="3831"/>
          </w:tcPr>
          <w:p>
            <w:pPr>
              <w:spacing w:after="40" w:before="40" w:line="240" w:lineRule="auto"/>
              <w:jc w:val="left"/>
            </w:pPr>
            <w:r>
              <w:rPr>
                <w:rFonts w:ascii="Times New Roman" w:hAnsi="Times New Roman"/>
                <w:b w:val="0"/>
                <w:i w:val="0"/>
                <w:sz w:val="20"/>
                <w:u w:val="none"/>
              </w:rPr>
              <w:t>Impuesto de registro (constitución de sociedad por acciones)</w:t>
            </w:r>
          </w:p>
        </w:tc>
        <w:tc>
          <w:tcPr>
            <w:tcW w:type="dxa" w:w="1824"/>
          </w:tcPr>
          <w:p>
            <w:pPr>
              <w:spacing w:after="40" w:before="40" w:line="240" w:lineRule="auto"/>
              <w:jc w:val="left"/>
            </w:pPr>
            <w:r>
              <w:rPr>
                <w:rFonts w:ascii="Times New Roman" w:hAnsi="Times New Roman"/>
                <w:b w:val="0"/>
                <w:i w:val="0"/>
                <w:sz w:val="20"/>
                <w:u w:val="none"/>
              </w:rPr>
              <w:t>0,7 % sobre el capital suscrito de $600.000.000</w:t>
            </w:r>
          </w:p>
        </w:tc>
        <w:tc>
          <w:tcPr>
            <w:tcW w:type="dxa" w:w="1824"/>
          </w:tcPr>
          <w:p>
            <w:pPr>
              <w:spacing w:after="40" w:before="40" w:line="240" w:lineRule="auto"/>
              <w:jc w:val="left"/>
            </w:pPr>
            <w:r>
              <w:rPr>
                <w:rFonts w:ascii="Times New Roman" w:hAnsi="Times New Roman"/>
                <w:b/>
                <w:i w:val="0"/>
                <w:sz w:val="20"/>
                <w:u w:val="none"/>
              </w:rPr>
              <w:t>$4.200.000</w:t>
            </w:r>
          </w:p>
        </w:tc>
        <w:tc>
          <w:tcPr>
            <w:tcW w:type="dxa" w:w="1642"/>
          </w:tcPr>
          <w:p>
            <w:pPr>
              <w:spacing w:after="40" w:before="40" w:line="240" w:lineRule="auto"/>
              <w:jc w:val="left"/>
            </w:pPr>
            <w:r>
              <w:rPr>
                <w:rFonts w:ascii="Times New Roman" w:hAnsi="Times New Roman"/>
                <w:b w:val="0"/>
                <w:i w:val="0"/>
                <w:sz w:val="20"/>
                <w:u w:val="none"/>
              </w:rPr>
              <w:t>Artículos 226 a 230 de la Ley 223 de 1995; artículo 6.º del Decreto 650 de 1996; ordenanza departamental de Antioquia</w:t>
            </w:r>
          </w:p>
        </w:tc>
      </w:tr>
      <w:tr>
        <w:tc>
          <w:tcPr>
            <w:tcW w:type="dxa" w:w="3831"/>
          </w:tcPr>
          <w:p>
            <w:pPr>
              <w:spacing w:after="40" w:before="40" w:line="240" w:lineRule="auto"/>
              <w:jc w:val="left"/>
            </w:pPr>
            <w:r>
              <w:rPr>
                <w:rFonts w:ascii="Times New Roman" w:hAnsi="Times New Roman"/>
                <w:b w:val="0"/>
                <w:i w:val="0"/>
                <w:sz w:val="20"/>
                <w:u w:val="none"/>
              </w:rPr>
              <w:t>Derechos de inscripción del documento de constitución</w:t>
            </w:r>
          </w:p>
        </w:tc>
        <w:tc>
          <w:tcPr>
            <w:tcW w:type="dxa" w:w="1824"/>
          </w:tcPr>
          <w:p>
            <w:pPr>
              <w:spacing w:after="40" w:before="40" w:line="240" w:lineRule="auto"/>
              <w:jc w:val="left"/>
            </w:pPr>
            <w:r>
              <w:rPr>
                <w:rFonts w:ascii="Times New Roman" w:hAnsi="Times New Roman"/>
                <w:b w:val="0"/>
                <w:i w:val="0"/>
                <w:sz w:val="20"/>
                <w:u w:val="none"/>
              </w:rPr>
              <w:t>6 UVB</w:t>
            </w:r>
          </w:p>
        </w:tc>
        <w:tc>
          <w:tcPr>
            <w:tcW w:type="dxa" w:w="1824"/>
          </w:tcPr>
          <w:p>
            <w:pPr>
              <w:spacing w:after="40" w:before="40" w:line="240" w:lineRule="auto"/>
              <w:jc w:val="left"/>
            </w:pPr>
            <w:r>
              <w:rPr>
                <w:rFonts w:ascii="Times New Roman" w:hAnsi="Times New Roman"/>
                <w:b/>
                <w:i w:val="0"/>
                <w:sz w:val="20"/>
                <w:u w:val="none"/>
              </w:rPr>
              <w:t>$72.660</w:t>
            </w:r>
          </w:p>
        </w:tc>
        <w:tc>
          <w:tcPr>
            <w:tcW w:type="dxa" w:w="1642"/>
          </w:tcPr>
          <w:p>
            <w:pPr>
              <w:spacing w:after="40" w:before="40" w:line="240" w:lineRule="auto"/>
              <w:jc w:val="left"/>
            </w:pPr>
            <w:r>
              <w:rPr>
                <w:rFonts w:ascii="Times New Roman" w:hAnsi="Times New Roman"/>
                <w:b w:val="0"/>
                <w:i w:val="0"/>
                <w:sz w:val="20"/>
                <w:u w:val="none"/>
              </w:rPr>
              <w:t>Artículos 2.2.2.46.1.1 y ss. del Decreto 1074 de 2015, modificado por el Decreto 045 de 2024</w:t>
            </w:r>
          </w:p>
        </w:tc>
      </w:tr>
      <w:tr>
        <w:tc>
          <w:tcPr>
            <w:tcW w:type="dxa" w:w="3831"/>
          </w:tcPr>
          <w:p>
            <w:pPr>
              <w:spacing w:after="40" w:before="40" w:line="240" w:lineRule="auto"/>
              <w:jc w:val="left"/>
            </w:pPr>
            <w:r>
              <w:rPr>
                <w:rFonts w:ascii="Times New Roman" w:hAnsi="Times New Roman"/>
                <w:b w:val="0"/>
                <w:i w:val="0"/>
                <w:sz w:val="20"/>
                <w:u w:val="none"/>
              </w:rPr>
              <w:t>Matrícula mercantil de la persona jurídica (activos $600.000.000 = 49.545,8 UVB)</w:t>
            </w:r>
          </w:p>
        </w:tc>
        <w:tc>
          <w:tcPr>
            <w:tcW w:type="dxa" w:w="1824"/>
          </w:tcPr>
          <w:p>
            <w:pPr>
              <w:spacing w:after="40" w:before="40" w:line="240" w:lineRule="auto"/>
              <w:jc w:val="left"/>
            </w:pPr>
            <w:r>
              <w:rPr>
                <w:rFonts w:ascii="Times New Roman" w:hAnsi="Times New Roman"/>
                <w:b w:val="0"/>
                <w:i w:val="0"/>
                <w:sz w:val="20"/>
                <w:u w:val="none"/>
              </w:rPr>
              <w:t>Rango superior de la tabla</w:t>
            </w:r>
          </w:p>
        </w:tc>
        <w:tc>
          <w:tcPr>
            <w:tcW w:type="dxa" w:w="1824"/>
          </w:tcPr>
          <w:p>
            <w:pPr>
              <w:spacing w:after="40" w:before="40" w:line="240" w:lineRule="auto"/>
              <w:jc w:val="left"/>
            </w:pPr>
            <w:r>
              <w:rPr>
                <w:rFonts w:ascii="Times New Roman" w:hAnsi="Times New Roman"/>
                <w:b/>
                <w:i w:val="0"/>
                <w:sz w:val="20"/>
                <w:u w:val="none"/>
              </w:rPr>
              <w:t>$0 — EXENTA</w:t>
            </w:r>
          </w:p>
        </w:tc>
        <w:tc>
          <w:tcPr>
            <w:tcW w:type="dxa" w:w="1642"/>
          </w:tcPr>
          <w:p>
            <w:pPr>
              <w:spacing w:after="40" w:before="40" w:line="240" w:lineRule="auto"/>
              <w:jc w:val="left"/>
            </w:pPr>
            <w:r>
              <w:rPr>
                <w:rFonts w:ascii="Times New Roman" w:hAnsi="Times New Roman"/>
                <w:b w:val="0"/>
                <w:i w:val="0"/>
                <w:sz w:val="20"/>
                <w:u w:val="none"/>
              </w:rPr>
              <w:t>Artículo 3.º de la Ley 1780 de 2016</w:t>
            </w:r>
          </w:p>
        </w:tc>
      </w:tr>
      <w:tr>
        <w:tc>
          <w:tcPr>
            <w:tcW w:type="dxa" w:w="3831"/>
          </w:tcPr>
          <w:p>
            <w:pPr>
              <w:spacing w:after="40" w:before="40" w:line="240" w:lineRule="auto"/>
              <w:jc w:val="left"/>
            </w:pPr>
            <w:r>
              <w:rPr>
                <w:rFonts w:ascii="Times New Roman" w:hAnsi="Times New Roman"/>
                <w:b w:val="0"/>
                <w:i w:val="0"/>
                <w:sz w:val="20"/>
                <w:u w:val="none"/>
              </w:rPr>
              <w:t>Matrícula mercantil del establecimiento "NOVA BIENESTAR" (activos $55.000.000 = 4.541,7 UVB)</w:t>
            </w:r>
          </w:p>
        </w:tc>
        <w:tc>
          <w:tcPr>
            <w:tcW w:type="dxa" w:w="1824"/>
          </w:tcPr>
          <w:p>
            <w:pPr>
              <w:spacing w:after="40" w:before="40" w:line="240" w:lineRule="auto"/>
              <w:jc w:val="left"/>
            </w:pPr>
            <w:r>
              <w:rPr>
                <w:rFonts w:ascii="Times New Roman" w:hAnsi="Times New Roman"/>
                <w:b w:val="0"/>
                <w:i w:val="0"/>
                <w:sz w:val="20"/>
                <w:u w:val="none"/>
              </w:rPr>
              <w:t>Rango 1 (de 0 a 6.500 UVB), con reducción del 50 %</w:t>
            </w:r>
          </w:p>
        </w:tc>
        <w:tc>
          <w:tcPr>
            <w:tcW w:type="dxa" w:w="1824"/>
          </w:tcPr>
          <w:p>
            <w:pPr>
              <w:spacing w:after="40" w:before="40" w:line="240" w:lineRule="auto"/>
              <w:jc w:val="left"/>
            </w:pPr>
            <w:r>
              <w:rPr>
                <w:rFonts w:ascii="Times New Roman" w:hAnsi="Times New Roman"/>
                <w:b w:val="0"/>
                <w:i w:val="0"/>
                <w:sz w:val="20"/>
                <w:u w:val="none"/>
              </w:rPr>
              <w:t>Según tabla vigente</w:t>
            </w:r>
          </w:p>
        </w:tc>
        <w:tc>
          <w:tcPr>
            <w:tcW w:type="dxa" w:w="1642"/>
          </w:tcPr>
          <w:p>
            <w:pPr>
              <w:spacing w:after="40" w:before="40" w:line="240" w:lineRule="auto"/>
              <w:jc w:val="left"/>
            </w:pPr>
            <w:r>
              <w:rPr>
                <w:rFonts w:ascii="Times New Roman" w:hAnsi="Times New Roman"/>
                <w:b w:val="0"/>
                <w:i w:val="0"/>
                <w:sz w:val="20"/>
                <w:u w:val="none"/>
              </w:rPr>
              <w:t>Decreto 1074 de 2015, modificado por el Decreto 045 de 2024</w:t>
            </w:r>
          </w:p>
        </w:tc>
      </w:tr>
      <w:tr>
        <w:tc>
          <w:tcPr>
            <w:tcW w:type="dxa" w:w="3831"/>
          </w:tcPr>
          <w:p>
            <w:pPr>
              <w:spacing w:after="40" w:before="40" w:line="240" w:lineRule="auto"/>
              <w:jc w:val="left"/>
            </w:pPr>
            <w:r>
              <w:rPr>
                <w:rFonts w:ascii="Times New Roman" w:hAnsi="Times New Roman"/>
                <w:b w:val="0"/>
                <w:i w:val="0"/>
                <w:sz w:val="20"/>
                <w:u w:val="none"/>
              </w:rPr>
              <w:t>Inscripción del libro de registro de accionistas</w:t>
            </w:r>
          </w:p>
        </w:tc>
        <w:tc>
          <w:tcPr>
            <w:tcW w:type="dxa" w:w="1824"/>
          </w:tcPr>
          <w:p>
            <w:pPr>
              <w:spacing w:after="40" w:before="40" w:line="240" w:lineRule="auto"/>
              <w:jc w:val="left"/>
            </w:pPr>
            <w:r>
              <w:rPr>
                <w:rFonts w:ascii="Times New Roman" w:hAnsi="Times New Roman"/>
                <w:b w:val="0"/>
                <w:i w:val="0"/>
                <w:sz w:val="20"/>
                <w:u w:val="none"/>
              </w:rPr>
              <w:t>2 UVB</w:t>
            </w:r>
          </w:p>
        </w:tc>
        <w:tc>
          <w:tcPr>
            <w:tcW w:type="dxa" w:w="1824"/>
          </w:tcPr>
          <w:p>
            <w:pPr>
              <w:spacing w:after="40" w:before="40" w:line="240" w:lineRule="auto"/>
              <w:jc w:val="left"/>
            </w:pPr>
            <w:r>
              <w:rPr>
                <w:rFonts w:ascii="Times New Roman" w:hAnsi="Times New Roman"/>
                <w:b/>
                <w:i w:val="0"/>
                <w:sz w:val="20"/>
                <w:u w:val="none"/>
              </w:rPr>
              <w:t>$24.220</w:t>
            </w:r>
          </w:p>
        </w:tc>
        <w:tc>
          <w:tcPr>
            <w:tcW w:type="dxa" w:w="1642"/>
          </w:tcPr>
          <w:p>
            <w:pPr>
              <w:spacing w:after="40" w:before="40" w:line="240" w:lineRule="auto"/>
              <w:jc w:val="left"/>
            </w:pPr>
            <w:r>
              <w:rPr>
                <w:rFonts w:ascii="Times New Roman" w:hAnsi="Times New Roman"/>
                <w:b w:val="0"/>
                <w:i w:val="0"/>
                <w:sz w:val="20"/>
                <w:u w:val="none"/>
              </w:rPr>
              <w:t>Artículo 175 del Decreto Ley 019 de 2012</w:t>
            </w:r>
          </w:p>
        </w:tc>
      </w:tr>
      <w:tr>
        <w:tc>
          <w:tcPr>
            <w:tcW w:type="dxa" w:w="3831"/>
          </w:tcPr>
          <w:p>
            <w:pPr>
              <w:spacing w:after="40" w:before="40" w:line="240" w:lineRule="auto"/>
              <w:jc w:val="left"/>
            </w:pPr>
            <w:r>
              <w:rPr>
                <w:rFonts w:ascii="Times New Roman" w:hAnsi="Times New Roman"/>
                <w:b w:val="0"/>
                <w:i w:val="0"/>
                <w:sz w:val="20"/>
                <w:u w:val="none"/>
              </w:rPr>
              <w:t>Inscripción del libro de actas de asamblea</w:t>
            </w:r>
          </w:p>
        </w:tc>
        <w:tc>
          <w:tcPr>
            <w:tcW w:type="dxa" w:w="1824"/>
          </w:tcPr>
          <w:p>
            <w:pPr>
              <w:spacing w:after="40" w:before="40" w:line="240" w:lineRule="auto"/>
              <w:jc w:val="left"/>
            </w:pPr>
            <w:r>
              <w:rPr>
                <w:rFonts w:ascii="Times New Roman" w:hAnsi="Times New Roman"/>
                <w:b w:val="0"/>
                <w:i w:val="0"/>
                <w:sz w:val="20"/>
                <w:u w:val="none"/>
              </w:rPr>
              <w:t>2 UVB</w:t>
            </w:r>
          </w:p>
        </w:tc>
        <w:tc>
          <w:tcPr>
            <w:tcW w:type="dxa" w:w="1824"/>
          </w:tcPr>
          <w:p>
            <w:pPr>
              <w:spacing w:after="40" w:before="40" w:line="240" w:lineRule="auto"/>
              <w:jc w:val="left"/>
            </w:pPr>
            <w:r>
              <w:rPr>
                <w:rFonts w:ascii="Times New Roman" w:hAnsi="Times New Roman"/>
                <w:b/>
                <w:i w:val="0"/>
                <w:sz w:val="20"/>
                <w:u w:val="none"/>
              </w:rPr>
              <w:t>$24.220</w:t>
            </w:r>
          </w:p>
        </w:tc>
        <w:tc>
          <w:tcPr>
            <w:tcW w:type="dxa" w:w="1642"/>
          </w:tcPr>
          <w:p>
            <w:pPr>
              <w:spacing w:after="40" w:before="40" w:line="240" w:lineRule="auto"/>
              <w:jc w:val="left"/>
            </w:pPr>
            <w:r>
              <w:rPr>
                <w:rFonts w:ascii="Times New Roman" w:hAnsi="Times New Roman"/>
                <w:b w:val="0"/>
                <w:i w:val="0"/>
                <w:sz w:val="20"/>
                <w:u w:val="none"/>
              </w:rPr>
              <w:t>Artículo 175 del Decreto Ley 019 de 2012</w:t>
            </w:r>
          </w:p>
        </w:tc>
      </w:tr>
      <w:tr>
        <w:tc>
          <w:tcPr>
            <w:tcW w:type="dxa" w:w="3831"/>
          </w:tcPr>
          <w:p>
            <w:pPr>
              <w:spacing w:after="40" w:before="40" w:line="240" w:lineRule="auto"/>
              <w:jc w:val="left"/>
            </w:pPr>
            <w:r>
              <w:rPr>
                <w:rFonts w:ascii="Times New Roman" w:hAnsi="Times New Roman"/>
                <w:b w:val="0"/>
                <w:i w:val="0"/>
                <w:sz w:val="20"/>
                <w:u w:val="none"/>
              </w:rPr>
              <w:t>Certificado de existencia y representación legal (por ejemplar)</w:t>
            </w:r>
          </w:p>
        </w:tc>
        <w:tc>
          <w:tcPr>
            <w:tcW w:type="dxa" w:w="1824"/>
          </w:tcPr>
          <w:p>
            <w:pPr>
              <w:spacing w:after="40" w:before="40" w:line="240" w:lineRule="auto"/>
              <w:jc w:val="left"/>
            </w:pPr>
            <w:r>
              <w:rPr>
                <w:rFonts w:ascii="Times New Roman" w:hAnsi="Times New Roman"/>
                <w:b w:val="0"/>
                <w:i w:val="0"/>
                <w:sz w:val="20"/>
                <w:u w:val="none"/>
              </w:rPr>
              <w:t>1 UVB</w:t>
            </w:r>
          </w:p>
        </w:tc>
        <w:tc>
          <w:tcPr>
            <w:tcW w:type="dxa" w:w="1824"/>
          </w:tcPr>
          <w:p>
            <w:pPr>
              <w:spacing w:after="40" w:before="40" w:line="240" w:lineRule="auto"/>
              <w:jc w:val="left"/>
            </w:pPr>
            <w:r>
              <w:rPr>
                <w:rFonts w:ascii="Times New Roman" w:hAnsi="Times New Roman"/>
                <w:b/>
                <w:i w:val="0"/>
                <w:sz w:val="20"/>
                <w:u w:val="none"/>
              </w:rPr>
              <w:t>$12.110</w:t>
            </w:r>
          </w:p>
        </w:tc>
        <w:tc>
          <w:tcPr>
            <w:tcW w:type="dxa" w:w="1642"/>
          </w:tcPr>
          <w:p>
            <w:pPr>
              <w:spacing w:after="40" w:before="40" w:line="240" w:lineRule="auto"/>
              <w:jc w:val="left"/>
            </w:pPr>
            <w:r>
              <w:rPr>
                <w:rFonts w:ascii="Times New Roman" w:hAnsi="Times New Roman"/>
                <w:b w:val="0"/>
                <w:i w:val="0"/>
                <w:sz w:val="20"/>
                <w:u w:val="none"/>
              </w:rPr>
              <w:t>Tabla de tarifas 2026</w:t>
            </w:r>
          </w:p>
        </w:tc>
      </w:tr>
      <w:tr>
        <w:tc>
          <w:tcPr>
            <w:tcW w:type="dxa" w:w="3831"/>
          </w:tcPr>
          <w:p>
            <w:pPr>
              <w:spacing w:after="40" w:before="40" w:line="240" w:lineRule="auto"/>
              <w:jc w:val="left"/>
            </w:pPr>
            <w:r>
              <w:rPr>
                <w:rFonts w:ascii="Times New Roman" w:hAnsi="Times New Roman"/>
                <w:b w:val="0"/>
                <w:i w:val="0"/>
                <w:sz w:val="20"/>
                <w:u w:val="none"/>
              </w:rPr>
              <w:t>Formularios del RUES</w:t>
            </w:r>
          </w:p>
        </w:tc>
        <w:tc>
          <w:tcPr>
            <w:tcW w:type="dxa" w:w="1824"/>
          </w:tcPr>
          <w:p>
            <w:pPr>
              <w:spacing w:after="40" w:before="40" w:line="240" w:lineRule="auto"/>
              <w:jc w:val="left"/>
            </w:pPr>
            <w:r>
              <w:rPr>
                <w:rFonts w:ascii="Times New Roman" w:hAnsi="Times New Roman"/>
                <w:b w:val="0"/>
                <w:i w:val="0"/>
                <w:sz w:val="20"/>
                <w:u w:val="none"/>
              </w:rPr>
              <w:t>Sin costo cuando se diligencian en la sede virtual</w:t>
            </w:r>
          </w:p>
        </w:tc>
        <w:tc>
          <w:tcPr>
            <w:tcW w:type="dxa" w:w="1824"/>
          </w:tcPr>
          <w:p>
            <w:pPr>
              <w:spacing w:after="40" w:before="40" w:line="240" w:lineRule="auto"/>
              <w:jc w:val="left"/>
            </w:pPr>
            <w:r>
              <w:rPr>
                <w:rFonts w:ascii="Times New Roman" w:hAnsi="Times New Roman"/>
                <w:b w:val="0"/>
                <w:i w:val="0"/>
                <w:sz w:val="20"/>
                <w:u w:val="none"/>
              </w:rPr>
              <w:t>$0</w:t>
            </w:r>
          </w:p>
        </w:tc>
        <w:tc>
          <w:tcPr>
            <w:tcW w:type="dxa" w:w="1642"/>
          </w:tcPr>
          <w:p>
            <w:pPr>
              <w:spacing w:after="40" w:before="40" w:line="240" w:lineRule="auto"/>
              <w:jc w:val="left"/>
            </w:pPr>
            <w:r>
              <w:rPr>
                <w:rFonts w:ascii="Times New Roman" w:hAnsi="Times New Roman"/>
                <w:b w:val="0"/>
                <w:i w:val="0"/>
                <w:sz w:val="20"/>
                <w:u w:val="none"/>
              </w:rPr>
              <w:t>Práctica registral vigente</w:t>
            </w:r>
          </w:p>
        </w:tc>
      </w:tr>
    </w:tbl>
    <w:p>
      <w:pPr>
        <w:spacing w:after="80"/>
      </w:pPr>
    </w:p>
    <w:p>
      <w:r>
        <w:rPr>
          <w:rFonts w:ascii="Times New Roman" w:hAnsi="Times New Roman"/>
          <w:b/>
          <w:i w:val="0"/>
          <w:u w:val="none"/>
        </w:rPr>
        <w:t>Total aproximado, sin incluir la matrícula del establecimiento ni certificados adicionales: $4.321.100.</w:t>
      </w:r>
      <w:r>
        <w:rPr>
          <w:rFonts w:ascii="Times New Roman" w:hAnsi="Times New Roman"/>
          <w:b w:val="0"/>
          <w:i w:val="0"/>
          <w:u w:val="none"/>
        </w:rPr>
        <w:t xml:space="preserve"> El componente determinante del costo no es el derecho registral sino el </w:t>
      </w:r>
      <w:r>
        <w:rPr>
          <w:rFonts w:ascii="Times New Roman" w:hAnsi="Times New Roman"/>
          <w:b/>
          <w:i w:val="0"/>
          <w:u w:val="none"/>
        </w:rPr>
        <w:t>impuesto de registro</w:t>
      </w:r>
      <w:r>
        <w:rPr>
          <w:rFonts w:ascii="Times New Roman" w:hAnsi="Times New Roman"/>
          <w:b w:val="0"/>
          <w:i w:val="0"/>
          <w:u w:val="none"/>
        </w:rPr>
        <w:t>, que representa más del noventa y siete por ciento (97 %) del valor total del trámite.</w:t>
      </w:r>
    </w:p>
    <w:p>
      <w:pPr>
        <w:keepNext/>
        <w:spacing w:before="240" w:after="80"/>
        <w:jc w:val="left"/>
      </w:pPr>
      <w:r>
        <w:rPr>
          <w:rFonts w:ascii="Times New Roman" w:hAnsi="Times New Roman"/>
          <w:b/>
          <w:i w:val="0"/>
          <w:sz w:val="24"/>
          <w:u w:val="none"/>
        </w:rPr>
        <w:t>5.1. Dos advertencias sobre la liquidación</w:t>
      </w:r>
    </w:p>
    <w:p>
      <w:r>
        <w:rPr>
          <w:rFonts w:ascii="Times New Roman" w:hAnsi="Times New Roman"/>
          <w:b/>
          <w:i w:val="0"/>
          <w:u w:val="none"/>
        </w:rPr>
        <w:t>Primera — el impuesto de registro no está exento.</w:t>
      </w:r>
      <w:r>
        <w:rPr>
          <w:rFonts w:ascii="Times New Roman" w:hAnsi="Times New Roman"/>
          <w:b w:val="0"/>
          <w:i w:val="0"/>
          <w:u w:val="none"/>
        </w:rPr>
        <w:t xml:space="preserve"> El beneficio de la Ley 1780 de 2016 recae exclusivamente sobre los </w:t>
      </w:r>
      <w:r>
        <w:rPr>
          <w:rFonts w:ascii="Times New Roman" w:hAnsi="Times New Roman"/>
          <w:b/>
          <w:i w:val="0"/>
          <w:u w:val="none"/>
        </w:rPr>
        <w:t>derechos de matrícula mercantil</w:t>
      </w:r>
      <w:r>
        <w:rPr>
          <w:rFonts w:ascii="Times New Roman" w:hAnsi="Times New Roman"/>
          <w:b w:val="0"/>
          <w:i w:val="0"/>
          <w:u w:val="none"/>
        </w:rPr>
        <w:t xml:space="preserve"> que percibe la Cámara de Comercio. El impuesto de registro es una </w:t>
      </w:r>
      <w:r>
        <w:rPr>
          <w:rFonts w:ascii="Times New Roman" w:hAnsi="Times New Roman"/>
          <w:b/>
          <w:i w:val="0"/>
          <w:u w:val="none"/>
        </w:rPr>
        <w:t>renta de propiedad de los departamentos</w:t>
      </w:r>
      <w:r>
        <w:rPr>
          <w:rFonts w:ascii="Times New Roman" w:hAnsi="Times New Roman"/>
          <w:b w:val="0"/>
          <w:i w:val="0"/>
          <w:u w:val="none"/>
        </w:rPr>
        <w:t xml:space="preserve"> (Ley 223 de 1995) y la Cámara solo actúa como recaudadora por convenio; ninguna norma de la Ley 1780 lo exonera. Afirmar lo contrario en el trámite generaría una liquidación oficial de corrección y, eventualmente, sanción por inexactitud.</w:t>
      </w:r>
    </w:p>
    <w:p>
      <w:r>
        <w:rPr>
          <w:rFonts w:ascii="Times New Roman" w:hAnsi="Times New Roman"/>
          <w:b/>
          <w:i w:val="0"/>
          <w:u w:val="none"/>
        </w:rPr>
        <w:t>Segunda — el alcance de la exención sobre el establecimiento de comercio.</w:t>
      </w:r>
      <w:r>
        <w:rPr>
          <w:rFonts w:ascii="Times New Roman" w:hAnsi="Times New Roman"/>
          <w:b w:val="0"/>
          <w:i w:val="0"/>
          <w:u w:val="none"/>
        </w:rPr>
        <w:t xml:space="preserve"> El artículo 3.º de la Ley 1780 de 2016 se refiere genéricamente a "la matrícula mercantil". Existen dos lecturas posibles: una </w:t>
      </w:r>
      <w:r>
        <w:rPr>
          <w:rFonts w:ascii="Times New Roman" w:hAnsi="Times New Roman"/>
          <w:b/>
          <w:i w:val="0"/>
          <w:u w:val="none"/>
        </w:rPr>
        <w:t>restrictiva</w:t>
      </w:r>
      <w:r>
        <w:rPr>
          <w:rFonts w:ascii="Times New Roman" w:hAnsi="Times New Roman"/>
          <w:b w:val="0"/>
          <w:i w:val="0"/>
          <w:u w:val="none"/>
        </w:rPr>
        <w:t xml:space="preserve">, según la cual el beneficio cubre únicamente la matrícula del sujeto —la persona jurídica—, por ser esta la que ostenta la calidad de pequeña empresa joven; y una </w:t>
      </w:r>
      <w:r>
        <w:rPr>
          <w:rFonts w:ascii="Times New Roman" w:hAnsi="Times New Roman"/>
          <w:b/>
          <w:i w:val="0"/>
          <w:u w:val="none"/>
        </w:rPr>
        <w:t>extensiva</w:t>
      </w:r>
      <w:r>
        <w:rPr>
          <w:rFonts w:ascii="Times New Roman" w:hAnsi="Times New Roman"/>
          <w:b w:val="0"/>
          <w:i w:val="0"/>
          <w:u w:val="none"/>
        </w:rPr>
        <w:t xml:space="preserve">, que lo hace cobijar también la matrícula de los establecimientos de comercio de propiedad de esa empresa, por tratarse de matrículas causadas por el mismo sujeto beneficiario. La práctica de las cámaras de comercio no es uniforme. Para el caso de NOVA BIENESTAR INTEGRAL S.A.S. se recomienda </w:t>
      </w:r>
      <w:r>
        <w:rPr>
          <w:rFonts w:ascii="Times New Roman" w:hAnsi="Times New Roman"/>
          <w:b/>
          <w:i w:val="0"/>
          <w:u w:val="none"/>
        </w:rPr>
        <w:t>liquidar el trámite bajo la lectura restrictiva</w:t>
      </w:r>
      <w:r>
        <w:rPr>
          <w:rFonts w:ascii="Times New Roman" w:hAnsi="Times New Roman"/>
          <w:b w:val="0"/>
          <w:i w:val="0"/>
          <w:u w:val="none"/>
        </w:rPr>
        <w:t xml:space="preserve"> —esto es, previendo el pago de la matrícula del establecimiento— y solicitar por escrito el pronunciamiento de la Cámara; si esta aplica la lectura extensiva, el resultado será un menor valor a pagar y no un vicio del trámite.</w:t>
      </w:r>
    </w:p>
    <w:p>
      <w:pPr>
        <w:keepNext/>
        <w:spacing w:before="320" w:after="160"/>
        <w:jc w:val="center"/>
      </w:pPr>
      <w:r>
        <w:rPr>
          <w:rFonts w:ascii="Times New Roman" w:hAnsi="Times New Roman"/>
          <w:b/>
          <w:i w:val="0"/>
          <w:sz w:val="24"/>
          <w:u w:val="none"/>
        </w:rPr>
        <w:t>6. LISTA DE VERIFICACIÓN PREVIA A LA RADICACIÓN</w:t>
      </w:r>
    </w:p>
    <w:p>
      <w:pPr>
        <w:pStyle w:val="ListBullet"/>
        <w:spacing w:after="80"/>
        <w:ind w:left="567"/>
        <w:jc w:val="both"/>
      </w:pPr>
      <w:r>
        <w:rPr>
          <w:rFonts w:ascii="Times New Roman" w:hAnsi="Times New Roman"/>
          <w:b w:val="0"/>
          <w:i w:val="0"/>
          <w:u w:val="none"/>
        </w:rPr>
        <w:t>La denominación consultada en el RUES no presenta homonimia.</w:t>
      </w:r>
    </w:p>
    <w:p>
      <w:pPr>
        <w:pStyle w:val="ListBullet"/>
        <w:spacing w:after="80"/>
        <w:ind w:left="567"/>
        <w:jc w:val="both"/>
      </w:pPr>
      <w:r>
        <w:rPr>
          <w:rFonts w:ascii="Times New Roman" w:hAnsi="Times New Roman"/>
          <w:b w:val="0"/>
          <w:i w:val="0"/>
          <w:u w:val="none"/>
        </w:rPr>
        <w:t>El documento privado contiene las siete menciones del artículo 5.º de la Ley 1258 de 2008.</w:t>
      </w:r>
    </w:p>
    <w:p>
      <w:pPr>
        <w:pStyle w:val="ListBullet"/>
        <w:spacing w:after="80"/>
        <w:ind w:left="567"/>
        <w:jc w:val="both"/>
      </w:pPr>
      <w:r>
        <w:rPr>
          <w:rFonts w:ascii="Times New Roman" w:hAnsi="Times New Roman"/>
          <w:b w:val="0"/>
          <w:i w:val="0"/>
          <w:u w:val="none"/>
        </w:rPr>
        <w:t xml:space="preserve">El documento privado tiene presentación personal de </w:t>
      </w:r>
      <w:r>
        <w:rPr>
          <w:rFonts w:ascii="Times New Roman" w:hAnsi="Times New Roman"/>
          <w:b/>
          <w:i w:val="0"/>
          <w:u w:val="none"/>
        </w:rPr>
        <w:t>ambos</w:t>
      </w:r>
      <w:r>
        <w:rPr>
          <w:rFonts w:ascii="Times New Roman" w:hAnsi="Times New Roman"/>
          <w:b w:val="0"/>
          <w:i w:val="0"/>
          <w:u w:val="none"/>
        </w:rPr>
        <w:t xml:space="preserve"> accionistas o reconocimiento notarial de contenido y firma.</w:t>
      </w:r>
    </w:p>
    <w:p>
      <w:pPr>
        <w:pStyle w:val="ListBullet"/>
        <w:spacing w:after="80"/>
        <w:ind w:left="567"/>
        <w:jc w:val="both"/>
      </w:pPr>
      <w:r>
        <w:rPr>
          <w:rFonts w:ascii="Times New Roman" w:hAnsi="Times New Roman"/>
          <w:b w:val="0"/>
          <w:i w:val="0"/>
          <w:u w:val="none"/>
        </w:rPr>
        <w:t>Las cartas de aceptación indican nombre completo, número de documento y manifestación expresa de aceptación.</w:t>
      </w:r>
    </w:p>
    <w:p>
      <w:pPr>
        <w:pStyle w:val="ListBullet"/>
        <w:spacing w:after="80"/>
        <w:ind w:left="567"/>
        <w:jc w:val="both"/>
      </w:pPr>
      <w:r>
        <w:rPr>
          <w:rFonts w:ascii="Times New Roman" w:hAnsi="Times New Roman"/>
          <w:b w:val="0"/>
          <w:i w:val="0"/>
          <w:u w:val="none"/>
        </w:rPr>
        <w:t>La razón social es idéntica en el RUT, en la carátula única empresarial y en el formulario adicional de registro con otras entidades.</w:t>
      </w:r>
    </w:p>
    <w:p>
      <w:pPr>
        <w:pStyle w:val="ListBullet"/>
        <w:spacing w:after="80"/>
        <w:ind w:left="567"/>
        <w:jc w:val="both"/>
      </w:pPr>
      <w:r>
        <w:rPr>
          <w:rFonts w:ascii="Times New Roman" w:hAnsi="Times New Roman"/>
          <w:b w:val="0"/>
          <w:i w:val="0"/>
          <w:u w:val="none"/>
        </w:rPr>
        <w:t>El teléfono es idéntico en los tres formularios.</w:t>
      </w:r>
    </w:p>
    <w:p>
      <w:pPr>
        <w:pStyle w:val="ListBullet"/>
        <w:spacing w:after="80"/>
        <w:ind w:left="567"/>
        <w:jc w:val="both"/>
      </w:pPr>
      <w:r>
        <w:rPr>
          <w:rFonts w:ascii="Times New Roman" w:hAnsi="Times New Roman"/>
          <w:b w:val="0"/>
          <w:i w:val="0"/>
          <w:u w:val="none"/>
        </w:rPr>
        <w:t>El número del formulario 001 de la DIAN fue trasladado al formulario adicional de registro con otras entidades.</w:t>
      </w:r>
    </w:p>
    <w:p>
      <w:pPr>
        <w:pStyle w:val="ListBullet"/>
        <w:spacing w:after="80"/>
        <w:ind w:left="567"/>
        <w:jc w:val="both"/>
      </w:pPr>
      <w:r>
        <w:rPr>
          <w:rFonts w:ascii="Times New Roman" w:hAnsi="Times New Roman"/>
          <w:b w:val="0"/>
          <w:i w:val="0"/>
          <w:u w:val="none"/>
        </w:rPr>
        <w:t>Los tres capitales indican cuantía, número de acciones, valor nominal y, el suscrito, la clase de acciones.</w:t>
      </w:r>
    </w:p>
    <w:p>
      <w:pPr>
        <w:pStyle w:val="ListBullet"/>
        <w:spacing w:after="80"/>
        <w:ind w:left="567"/>
        <w:jc w:val="both"/>
      </w:pPr>
      <w:r>
        <w:rPr>
          <w:rFonts w:ascii="Times New Roman" w:hAnsi="Times New Roman"/>
          <w:b w:val="0"/>
          <w:i w:val="0"/>
          <w:u w:val="none"/>
        </w:rPr>
        <w:t>La suma de las acciones suscritas por los accionistas coincide exactamente con el capital suscrito declarado.</w:t>
      </w:r>
    </w:p>
    <w:p>
      <w:pPr>
        <w:pStyle w:val="ListBullet"/>
        <w:spacing w:after="80"/>
        <w:ind w:left="567"/>
        <w:jc w:val="both"/>
      </w:pPr>
      <w:r>
        <w:rPr>
          <w:rFonts w:ascii="Times New Roman" w:hAnsi="Times New Roman"/>
          <w:b w:val="0"/>
          <w:i w:val="0"/>
          <w:u w:val="none"/>
        </w:rPr>
        <w:t>Se marcó la casilla de beneficio de la Ley 1780 de 2016 y se anexó la declaración juramentada.</w:t>
      </w:r>
    </w:p>
    <w:p>
      <w:pPr>
        <w:pStyle w:val="ListBullet"/>
        <w:spacing w:after="80"/>
        <w:ind w:left="567"/>
        <w:jc w:val="both"/>
      </w:pPr>
      <w:r>
        <w:rPr>
          <w:rFonts w:ascii="Times New Roman" w:hAnsi="Times New Roman"/>
          <w:b w:val="0"/>
          <w:i w:val="0"/>
          <w:u w:val="none"/>
        </w:rPr>
        <w:t>Se anexó el comprobante de pago del impuesto de registro.</w:t>
      </w:r>
    </w:p>
    <w:p>
      <w:pPr>
        <w:pStyle w:val="ListBullet"/>
        <w:spacing w:after="80"/>
        <w:ind w:left="567"/>
        <w:jc w:val="both"/>
      </w:pPr>
      <w:r>
        <w:rPr>
          <w:rFonts w:ascii="Times New Roman" w:hAnsi="Times New Roman"/>
          <w:b w:val="0"/>
          <w:i w:val="0"/>
          <w:u w:val="none"/>
        </w:rPr>
        <w:t>Se diligenció el anexo de establecimiento de comercio con sus activos vinculados.</w:t>
      </w:r>
    </w:p>
    <w:p>
      <w:pPr>
        <w:keepNext/>
        <w:spacing w:before="320" w:after="160"/>
        <w:jc w:val="center"/>
      </w:pPr>
      <w:r>
        <w:rPr>
          <w:rFonts w:ascii="Times New Roman" w:hAnsi="Times New Roman"/>
          <w:b/>
          <w:i w:val="0"/>
          <w:sz w:val="24"/>
          <w:u w:val="none"/>
        </w:rPr>
        <w:t>7. TRÁMITES POSTERIORES A LA MATRÍCULA</w:t>
      </w:r>
    </w:p>
    <w:tbl>
      <w:tblPr>
        <w:tblStyle w:val="TableGrid"/>
        <w:tblW w:type="auto" w:w="0"/>
        <w:jc w:val="center"/>
        <w:tblLayout w:type="fixed"/>
        <w:tblLook w:firstColumn="1" w:firstRow="1" w:lastColumn="0" w:lastRow="0" w:noHBand="0" w:noVBand="1" w:val="04A0"/>
        <w:tblW w:w="9122" w:type="dxa"/>
        <w:tblLayout w:type="fixed"/>
      </w:tblPr>
      <w:tblGrid>
        <w:gridCol w:w="2737"/>
        <w:gridCol w:w="6385"/>
      </w:tblGrid>
      <w:tr>
        <w:tc>
          <w:tcPr>
            <w:tcW w:type="dxa" w:w="2737"/>
            <w:shd w:val="clear" w:color="auto" w:fill="D9D9D9"/>
          </w:tcPr>
          <w:p>
            <w:pPr>
              <w:spacing w:after="40" w:before="40" w:line="240" w:lineRule="auto"/>
              <w:jc w:val="center"/>
            </w:pPr>
            <w:r>
              <w:rPr>
                <w:rFonts w:ascii="Times New Roman" w:hAnsi="Times New Roman"/>
                <w:b/>
                <w:i w:val="0"/>
                <w:sz w:val="20"/>
                <w:u w:val="none"/>
              </w:rPr>
              <w:t>Trámite</w:t>
            </w:r>
          </w:p>
        </w:tc>
        <w:tc>
          <w:tcPr>
            <w:tcW w:type="dxa" w:w="6385"/>
            <w:shd w:val="clear" w:color="auto" w:fill="D9D9D9"/>
          </w:tcPr>
          <w:p>
            <w:pPr>
              <w:spacing w:after="40" w:before="40" w:line="240" w:lineRule="auto"/>
              <w:jc w:val="center"/>
            </w:pPr>
            <w:r>
              <w:rPr>
                <w:rFonts w:ascii="Times New Roman" w:hAnsi="Times New Roman"/>
                <w:b/>
                <w:i w:val="0"/>
                <w:sz w:val="20"/>
                <w:u w:val="none"/>
              </w:rPr>
              <w:t>Contenido y oportunidad</w:t>
            </w:r>
          </w:p>
        </w:tc>
      </w:tr>
      <w:tr>
        <w:tc>
          <w:tcPr>
            <w:tcW w:type="dxa" w:w="2737"/>
          </w:tcPr>
          <w:p>
            <w:pPr>
              <w:spacing w:after="40" w:before="40" w:line="240" w:lineRule="auto"/>
              <w:jc w:val="left"/>
            </w:pPr>
            <w:r>
              <w:rPr>
                <w:rFonts w:ascii="Times New Roman" w:hAnsi="Times New Roman"/>
                <w:b w:val="0"/>
                <w:i w:val="0"/>
                <w:sz w:val="20"/>
                <w:u w:val="none"/>
              </w:rPr>
              <w:t>Formalización del RUT y NIT definitivo</w:t>
            </w:r>
          </w:p>
        </w:tc>
        <w:tc>
          <w:tcPr>
            <w:tcW w:type="dxa" w:w="6385"/>
          </w:tcPr>
          <w:p>
            <w:pPr>
              <w:spacing w:after="40" w:before="40" w:line="240" w:lineRule="auto"/>
              <w:jc w:val="left"/>
            </w:pPr>
            <w:r>
              <w:rPr>
                <w:rFonts w:ascii="Times New Roman" w:hAnsi="Times New Roman"/>
                <w:b w:val="0"/>
                <w:i w:val="0"/>
                <w:sz w:val="20"/>
                <w:u w:val="none"/>
              </w:rPr>
              <w:t>La DIAN formaliza el RUT una vez la Cámara reporta la matrícula. Debe verificarse que las responsabilidades tributarias quedaron correctamente registradas.</w:t>
            </w:r>
          </w:p>
        </w:tc>
      </w:tr>
      <w:tr>
        <w:tc>
          <w:tcPr>
            <w:tcW w:type="dxa" w:w="2737"/>
          </w:tcPr>
          <w:p>
            <w:pPr>
              <w:spacing w:after="40" w:before="40" w:line="240" w:lineRule="auto"/>
              <w:jc w:val="left"/>
            </w:pPr>
            <w:r>
              <w:rPr>
                <w:rFonts w:ascii="Times New Roman" w:hAnsi="Times New Roman"/>
                <w:b w:val="0"/>
                <w:i w:val="0"/>
                <w:sz w:val="20"/>
                <w:u w:val="none"/>
              </w:rPr>
              <w:t>Inscripción en el RIT del Municipio de Medellín</w:t>
            </w:r>
          </w:p>
        </w:tc>
        <w:tc>
          <w:tcPr>
            <w:tcW w:type="dxa" w:w="6385"/>
          </w:tcPr>
          <w:p>
            <w:pPr>
              <w:spacing w:after="40" w:before="40" w:line="240" w:lineRule="auto"/>
              <w:jc w:val="left"/>
            </w:pPr>
            <w:r>
              <w:rPr>
                <w:rFonts w:ascii="Times New Roman" w:hAnsi="Times New Roman"/>
                <w:b w:val="0"/>
                <w:i w:val="0"/>
                <w:sz w:val="20"/>
                <w:u w:val="none"/>
              </w:rPr>
              <w:t>Registro de Información Tributaria para efectos del impuesto de industria y comercio, avisos y tableros.</w:t>
            </w:r>
          </w:p>
        </w:tc>
      </w:tr>
      <w:tr>
        <w:tc>
          <w:tcPr>
            <w:tcW w:type="dxa" w:w="2737"/>
          </w:tcPr>
          <w:p>
            <w:pPr>
              <w:spacing w:after="40" w:before="40" w:line="240" w:lineRule="auto"/>
              <w:jc w:val="left"/>
            </w:pPr>
            <w:r>
              <w:rPr>
                <w:rFonts w:ascii="Times New Roman" w:hAnsi="Times New Roman"/>
                <w:b w:val="0"/>
                <w:i w:val="0"/>
                <w:sz w:val="20"/>
                <w:u w:val="none"/>
              </w:rPr>
              <w:t>Habilitación de servicios de salud</w:t>
            </w:r>
          </w:p>
        </w:tc>
        <w:tc>
          <w:tcPr>
            <w:tcW w:type="dxa" w:w="6385"/>
          </w:tcPr>
          <w:p>
            <w:pPr>
              <w:spacing w:after="40" w:before="40" w:line="240" w:lineRule="auto"/>
              <w:jc w:val="left"/>
            </w:pPr>
            <w:r>
              <w:rPr>
                <w:rFonts w:ascii="Times New Roman" w:hAnsi="Times New Roman"/>
                <w:b w:val="0"/>
                <w:i w:val="0"/>
                <w:sz w:val="20"/>
                <w:u w:val="none"/>
              </w:rPr>
              <w:t xml:space="preserve">Inscripción en el Registro Especial de Prestadores de Servicios de Salud (REPS) y habilitación de los servicios de fisioterapia y rehabilitación ante la autoridad sanitaria, conforme a la Resolución 3100 de 2019. </w:t>
            </w:r>
            <w:r>
              <w:rPr>
                <w:rFonts w:ascii="Times New Roman" w:hAnsi="Times New Roman"/>
                <w:b/>
                <w:i w:val="0"/>
                <w:sz w:val="20"/>
                <w:u w:val="none"/>
              </w:rPr>
              <w:t>Sin habilitación no puede prestarse el servicio, aunque la sociedad ya exista.</w:t>
            </w:r>
          </w:p>
        </w:tc>
      </w:tr>
      <w:tr>
        <w:tc>
          <w:tcPr>
            <w:tcW w:type="dxa" w:w="2737"/>
          </w:tcPr>
          <w:p>
            <w:pPr>
              <w:spacing w:after="40" w:before="40" w:line="240" w:lineRule="auto"/>
              <w:jc w:val="left"/>
            </w:pPr>
            <w:r>
              <w:rPr>
                <w:rFonts w:ascii="Times New Roman" w:hAnsi="Times New Roman"/>
                <w:b w:val="0"/>
                <w:i w:val="0"/>
                <w:sz w:val="20"/>
                <w:u w:val="none"/>
              </w:rPr>
              <w:t>Apertura de cuenta bancaria definitiva</w:t>
            </w:r>
          </w:p>
        </w:tc>
        <w:tc>
          <w:tcPr>
            <w:tcW w:type="dxa" w:w="6385"/>
          </w:tcPr>
          <w:p>
            <w:pPr>
              <w:spacing w:after="40" w:before="40" w:line="240" w:lineRule="auto"/>
              <w:jc w:val="left"/>
            </w:pPr>
            <w:r>
              <w:rPr>
                <w:rFonts w:ascii="Times New Roman" w:hAnsi="Times New Roman"/>
                <w:b w:val="0"/>
                <w:i w:val="0"/>
                <w:sz w:val="20"/>
                <w:u w:val="none"/>
              </w:rPr>
              <w:t>Con el certificado de existencia y representación legal y el RUT.</w:t>
            </w:r>
          </w:p>
        </w:tc>
      </w:tr>
      <w:tr>
        <w:tc>
          <w:tcPr>
            <w:tcW w:type="dxa" w:w="2737"/>
          </w:tcPr>
          <w:p>
            <w:pPr>
              <w:spacing w:after="40" w:before="40" w:line="240" w:lineRule="auto"/>
              <w:jc w:val="left"/>
            </w:pPr>
            <w:r>
              <w:rPr>
                <w:rFonts w:ascii="Times New Roman" w:hAnsi="Times New Roman"/>
                <w:b w:val="0"/>
                <w:i w:val="0"/>
                <w:sz w:val="20"/>
                <w:u w:val="none"/>
              </w:rPr>
              <w:t>Afiliación al sistema de seguridad social y aportes parafiscales</w:t>
            </w:r>
          </w:p>
        </w:tc>
        <w:tc>
          <w:tcPr>
            <w:tcW w:type="dxa" w:w="6385"/>
          </w:tcPr>
          <w:p>
            <w:pPr>
              <w:spacing w:after="40" w:before="40" w:line="240" w:lineRule="auto"/>
              <w:jc w:val="left"/>
            </w:pPr>
            <w:r>
              <w:rPr>
                <w:rFonts w:ascii="Times New Roman" w:hAnsi="Times New Roman"/>
                <w:b w:val="0"/>
                <w:i w:val="0"/>
                <w:sz w:val="20"/>
                <w:u w:val="none"/>
              </w:rPr>
              <w:t>Para los nueve (9) trabajadores: EPS, fondo de pensiones, ARL, caja de compensación familiar, SENA e ICBF.</w:t>
            </w:r>
          </w:p>
        </w:tc>
      </w:tr>
      <w:tr>
        <w:tc>
          <w:tcPr>
            <w:tcW w:type="dxa" w:w="2737"/>
          </w:tcPr>
          <w:p>
            <w:pPr>
              <w:spacing w:after="40" w:before="40" w:line="240" w:lineRule="auto"/>
              <w:jc w:val="left"/>
            </w:pPr>
            <w:r>
              <w:rPr>
                <w:rFonts w:ascii="Times New Roman" w:hAnsi="Times New Roman"/>
                <w:b w:val="0"/>
                <w:i w:val="0"/>
                <w:sz w:val="20"/>
                <w:u w:val="none"/>
              </w:rPr>
              <w:t>Sistema de Gestión de Seguridad y Salud en el Trabajo</w:t>
            </w:r>
          </w:p>
        </w:tc>
        <w:tc>
          <w:tcPr>
            <w:tcW w:type="dxa" w:w="6385"/>
          </w:tcPr>
          <w:p>
            <w:pPr>
              <w:spacing w:after="40" w:before="40" w:line="240" w:lineRule="auto"/>
              <w:jc w:val="left"/>
            </w:pPr>
            <w:r>
              <w:rPr>
                <w:rFonts w:ascii="Times New Roman" w:hAnsi="Times New Roman"/>
                <w:b w:val="0"/>
                <w:i w:val="0"/>
                <w:sz w:val="20"/>
                <w:u w:val="none"/>
              </w:rPr>
              <w:t>Decreto 1072 de 2015 y estándares mínimos de la Resolución 0312 de 2019.</w:t>
            </w:r>
          </w:p>
        </w:tc>
      </w:tr>
      <w:tr>
        <w:tc>
          <w:tcPr>
            <w:tcW w:type="dxa" w:w="2737"/>
          </w:tcPr>
          <w:p>
            <w:pPr>
              <w:spacing w:after="40" w:before="40" w:line="240" w:lineRule="auto"/>
              <w:jc w:val="left"/>
            </w:pPr>
            <w:r>
              <w:rPr>
                <w:rFonts w:ascii="Times New Roman" w:hAnsi="Times New Roman"/>
                <w:b w:val="0"/>
                <w:i w:val="0"/>
                <w:sz w:val="20"/>
                <w:u w:val="none"/>
              </w:rPr>
              <w:t>Obligaciones del establecimiento abierto al público</w:t>
            </w:r>
          </w:p>
        </w:tc>
        <w:tc>
          <w:tcPr>
            <w:tcW w:type="dxa" w:w="6385"/>
          </w:tcPr>
          <w:p>
            <w:pPr>
              <w:spacing w:after="40" w:before="40" w:line="240" w:lineRule="auto"/>
              <w:jc w:val="left"/>
            </w:pPr>
            <w:r>
              <w:rPr>
                <w:rFonts w:ascii="Times New Roman" w:hAnsi="Times New Roman"/>
                <w:b w:val="0"/>
                <w:i w:val="0"/>
                <w:sz w:val="20"/>
                <w:u w:val="none"/>
              </w:rPr>
              <w:t>Uso del suelo, concepto sanitario, seguridad humana y sistemas contra incendio, y pago de derechos de autor (Sayco y Acinpro) si se difunde música.</w:t>
            </w:r>
          </w:p>
        </w:tc>
      </w:tr>
      <w:tr>
        <w:tc>
          <w:tcPr>
            <w:tcW w:type="dxa" w:w="2737"/>
          </w:tcPr>
          <w:p>
            <w:pPr>
              <w:spacing w:after="40" w:before="40" w:line="240" w:lineRule="auto"/>
              <w:jc w:val="left"/>
            </w:pPr>
            <w:r>
              <w:rPr>
                <w:rFonts w:ascii="Times New Roman" w:hAnsi="Times New Roman"/>
                <w:b w:val="0"/>
                <w:i w:val="0"/>
                <w:sz w:val="20"/>
                <w:u w:val="none"/>
              </w:rPr>
              <w:t>Política de tratamiento de datos personales</w:t>
            </w:r>
          </w:p>
        </w:tc>
        <w:tc>
          <w:tcPr>
            <w:tcW w:type="dxa" w:w="6385"/>
          </w:tcPr>
          <w:p>
            <w:pPr>
              <w:spacing w:after="40" w:before="40" w:line="240" w:lineRule="auto"/>
              <w:jc w:val="left"/>
            </w:pPr>
            <w:r>
              <w:rPr>
                <w:rFonts w:ascii="Times New Roman" w:hAnsi="Times New Roman"/>
                <w:b w:val="0"/>
                <w:i w:val="0"/>
                <w:sz w:val="20"/>
                <w:u w:val="none"/>
              </w:rPr>
              <w:t xml:space="preserve">Ley 1581 de 2012; especialmente relevante por el manejo de </w:t>
            </w:r>
            <w:r>
              <w:rPr>
                <w:rFonts w:ascii="Times New Roman" w:hAnsi="Times New Roman"/>
                <w:b/>
                <w:i w:val="0"/>
                <w:sz w:val="20"/>
                <w:u w:val="none"/>
              </w:rPr>
              <w:t>datos sensibles de salud</w:t>
            </w:r>
            <w:r>
              <w:rPr>
                <w:rFonts w:ascii="Times New Roman" w:hAnsi="Times New Roman"/>
                <w:b w:val="0"/>
                <w:i w:val="0"/>
                <w:sz w:val="20"/>
                <w:u w:val="none"/>
              </w:rPr>
              <w:t xml:space="preserve"> de los usuarios.</w:t>
            </w:r>
          </w:p>
        </w:tc>
      </w:tr>
      <w:tr>
        <w:tc>
          <w:tcPr>
            <w:tcW w:type="dxa" w:w="2737"/>
          </w:tcPr>
          <w:p>
            <w:pPr>
              <w:spacing w:after="40" w:before="40" w:line="240" w:lineRule="auto"/>
              <w:jc w:val="left"/>
            </w:pPr>
            <w:r>
              <w:rPr>
                <w:rFonts w:ascii="Times New Roman" w:hAnsi="Times New Roman"/>
                <w:b w:val="0"/>
                <w:i w:val="0"/>
                <w:sz w:val="20"/>
                <w:u w:val="none"/>
              </w:rPr>
              <w:t>Renovación de la matrícula mercantil</w:t>
            </w:r>
          </w:p>
        </w:tc>
        <w:tc>
          <w:tcPr>
            <w:tcW w:type="dxa" w:w="6385"/>
          </w:tcPr>
          <w:p>
            <w:pPr>
              <w:spacing w:after="40" w:before="40" w:line="240" w:lineRule="auto"/>
              <w:jc w:val="left"/>
            </w:pPr>
            <w:r>
              <w:rPr>
                <w:rFonts w:ascii="Times New Roman" w:hAnsi="Times New Roman"/>
                <w:b w:val="0"/>
                <w:i w:val="0"/>
                <w:sz w:val="20"/>
                <w:u w:val="none"/>
              </w:rPr>
              <w:t xml:space="preserve">Antes del </w:t>
            </w:r>
            <w:r>
              <w:rPr>
                <w:rFonts w:ascii="Times New Roman" w:hAnsi="Times New Roman"/>
                <w:b/>
                <w:i w:val="0"/>
                <w:sz w:val="20"/>
                <w:u w:val="none"/>
              </w:rPr>
              <w:t>31 de marzo de 2027</w:t>
            </w:r>
            <w:r>
              <w:rPr>
                <w:rFonts w:ascii="Times New Roman" w:hAnsi="Times New Roman"/>
                <w:b w:val="0"/>
                <w:i w:val="0"/>
                <w:sz w:val="20"/>
                <w:u w:val="none"/>
              </w:rPr>
              <w:t>, para conservar el beneficio de exención de la primera renovación previsto en la Ley 1780 de 2016.</w:t>
            </w:r>
          </w:p>
        </w:tc>
      </w:tr>
    </w:tbl>
    <w:p>
      <w:pPr>
        <w:spacing w:after="80"/>
      </w:pP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Guía de diligenciamiento de formularios — CCMA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NOVA BIENESTAR INTEGRAL S.A.S. — Guía de formularios y liquidación de derechos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