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28"/>
          <w:u w:val="none"/>
        </w:rPr>
        <w:t>TÍTULOS DE ACCIONES Y COMPROBANTES DE APORTE</w:t>
      </w:r>
    </w:p>
    <w:p>
      <w:pPr>
        <w:spacing w:after="280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NOVA BIENESTAR INTEGRAL S.A.S.</w:t>
      </w:r>
    </w:p>
    <w:p>
      <w:pPr>
        <w:keepNext/>
        <w:spacing w:before="320" w:after="160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NOTA PRELIMINAR</w:t>
      </w:r>
    </w:p>
    <w:p>
      <w:r>
        <w:rPr>
          <w:rFonts w:ascii="Times New Roman" w:hAnsi="Times New Roman"/>
          <w:b w:val="0"/>
          <w:i w:val="0"/>
          <w:u w:val="none"/>
        </w:rPr>
        <w:t xml:space="preserve">La expedición de los títulos representativos de las acciones no es un requisito de la matrícula mercantil, pero sí es una </w:t>
      </w:r>
      <w:r>
        <w:rPr>
          <w:rFonts w:ascii="Times New Roman" w:hAnsi="Times New Roman"/>
          <w:b/>
          <w:i w:val="0"/>
          <w:u w:val="none"/>
        </w:rPr>
        <w:t>obligación legal de la sociedad</w:t>
      </w:r>
      <w:r>
        <w:rPr>
          <w:rFonts w:ascii="Times New Roman" w:hAnsi="Times New Roman"/>
          <w:b w:val="0"/>
          <w:i w:val="0"/>
          <w:u w:val="none"/>
        </w:rPr>
        <w:t xml:space="preserve"> una vez constituida, y su omisión es una de las informalidades más frecuentes en las S.A.S. colombianas.</w:t>
      </w:r>
    </w:p>
    <w:p>
      <w:r>
        <w:rPr>
          <w:rFonts w:ascii="Times New Roman" w:hAnsi="Times New Roman"/>
          <w:b w:val="0"/>
          <w:i w:val="0"/>
          <w:u w:val="none"/>
        </w:rPr>
        <w:t xml:space="preserve">Su fundamento está en los artículos 399 a 402 del Código de Comercio, aplicables a la sociedad por acciones simplificada por remisión del artículo 45 de la Ley 1258 de 2008. El </w:t>
      </w:r>
      <w:r>
        <w:rPr>
          <w:rFonts w:ascii="Times New Roman" w:hAnsi="Times New Roman"/>
          <w:b/>
          <w:i w:val="0"/>
          <w:u w:val="none"/>
        </w:rPr>
        <w:t>artículo 401</w:t>
      </w:r>
      <w:r>
        <w:rPr>
          <w:rFonts w:ascii="Times New Roman" w:hAnsi="Times New Roman"/>
          <w:b w:val="0"/>
          <w:i w:val="0"/>
          <w:u w:val="none"/>
        </w:rPr>
        <w:t xml:space="preserve"> fija las menciones que el título debe contener y ordena que se expidan en </w:t>
      </w:r>
      <w:r>
        <w:rPr>
          <w:rFonts w:ascii="Times New Roman" w:hAnsi="Times New Roman"/>
          <w:b/>
          <w:i w:val="0"/>
          <w:u w:val="none"/>
        </w:rPr>
        <w:t>series continuas</w:t>
      </w:r>
      <w:r>
        <w:rPr>
          <w:rFonts w:ascii="Times New Roman" w:hAnsi="Times New Roman"/>
          <w:b w:val="0"/>
          <w:i w:val="0"/>
          <w:u w:val="none"/>
        </w:rPr>
        <w:t xml:space="preserve"> con las firmas del representante legal y del secretario. El </w:t>
      </w:r>
      <w:r>
        <w:rPr>
          <w:rFonts w:ascii="Times New Roman" w:hAnsi="Times New Roman"/>
          <w:b/>
          <w:i w:val="0"/>
          <w:u w:val="none"/>
        </w:rPr>
        <w:t>artículo 400</w:t>
      </w:r>
      <w:r>
        <w:rPr>
          <w:rFonts w:ascii="Times New Roman" w:hAnsi="Times New Roman"/>
          <w:b w:val="0"/>
          <w:i w:val="0"/>
          <w:u w:val="none"/>
        </w:rPr>
        <w:t xml:space="preserve"> dispone que, mientras el valor de las acciones no esté cubierto íntegramente, solo pueden expedirse </w:t>
      </w:r>
      <w:r>
        <w:rPr>
          <w:rFonts w:ascii="Times New Roman" w:hAnsi="Times New Roman"/>
          <w:b/>
          <w:i w:val="0"/>
          <w:u w:val="none"/>
        </w:rPr>
        <w:t>certificados provisionales</w:t>
      </w:r>
      <w:r>
        <w:rPr>
          <w:rFonts w:ascii="Times New Roman" w:hAnsi="Times New Roman"/>
          <w:b w:val="0"/>
          <w:i w:val="0"/>
          <w:u w:val="none"/>
        </w:rPr>
        <w:t xml:space="preserve">; como en este caso el capital suscrito fue pagado en su totalidad en el acto de constitución, procede expedir </w:t>
      </w:r>
      <w:r>
        <w:rPr>
          <w:rFonts w:ascii="Times New Roman" w:hAnsi="Times New Roman"/>
          <w:b/>
          <w:i w:val="0"/>
          <w:u w:val="none"/>
        </w:rPr>
        <w:t>títulos definitivos</w:t>
      </w:r>
      <w:r>
        <w:rPr>
          <w:rFonts w:ascii="Times New Roman" w:hAnsi="Times New Roman"/>
          <w:b w:val="0"/>
          <w:i w:val="0"/>
          <w:u w:val="none"/>
        </w:rPr>
        <w:t>.</w:t>
      </w:r>
    </w:p>
    <w:p>
      <w:r>
        <w:rPr>
          <w:rFonts w:ascii="Times New Roman" w:hAnsi="Times New Roman"/>
          <w:b w:val="0"/>
          <w:i w:val="0"/>
          <w:u w:val="none"/>
        </w:rPr>
        <w:t>Los títulos deben expedirse una vez inscrito el documento de constitución en el registro mercantil, porque solo entonces existe la sociedad y puede identificarse el número de matrícula. Por eso los espacios correspondientes se dejan señalados.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i w:val="0"/>
          <w:u w:val="none"/>
        </w:rPr>
        <w:t>NOVA BIENESTAR INTEGRAL S.A.S.</w:t>
      </w:r>
    </w:p>
    <w:p>
      <w:pPr>
        <w:jc w:val="center"/>
      </w:pPr>
      <w:r>
        <w:rPr>
          <w:rFonts w:ascii="Times New Roman" w:hAnsi="Times New Roman"/>
          <w:b w:val="0"/>
          <w:i w:val="0"/>
          <w:u w:val="none"/>
        </w:rPr>
        <w:t xml:space="preserve">Sociedad por acciones simplificada — NIT </w:t>
      </w:r>
      <w:r>
        <w:rPr>
          <w:rFonts w:ascii="Times New Roman" w:hAnsi="Times New Roman"/>
          <w:b w:val="0"/>
          <w:i w:val="0"/>
          <w:u w:val="single"/>
        </w:rPr>
        <w:t>_</w:t>
      </w:r>
      <w:r>
        <w:rPr>
          <w:rFonts w:ascii="Times New Roman" w:hAnsi="Times New Roman"/>
          <w:b w:val="0"/>
          <w:i w:val="0"/>
          <w:u w:val="single"/>
        </w:rPr>
        <w:t>_</w:t>
      </w:r>
      <w:r>
        <w:rPr>
          <w:rFonts w:ascii="Times New Roman" w:hAnsi="Times New Roman"/>
          <w:b w:val="0"/>
          <w:i w:val="0"/>
          <w:u w:val="single"/>
        </w:rPr>
      </w:r>
    </w:p>
    <w:p>
      <w:pPr>
        <w:jc w:val="center"/>
      </w:pPr>
      <w:r>
        <w:rPr>
          <w:rFonts w:ascii="Times New Roman" w:hAnsi="Times New Roman"/>
          <w:b w:val="0"/>
          <w:i w:val="0"/>
          <w:u w:val="none"/>
        </w:rPr>
        <w:t>Domicilio principal: Medellín (Antioquia)</w:t>
      </w:r>
    </w:p>
    <w:p>
      <w:pPr>
        <w:spacing w:after="160"/>
        <w:pBdr>
          <w:bottom w:val="single" w:sz="6" w:space="1" w:color="000000"/>
        </w:pBdr>
      </w:pP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28"/>
          <w:u w:val="none"/>
        </w:rPr>
        <w:t>TÍTULO DE ACCIONES N.º 001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122" w:type="dxa"/>
        <w:tblLayout w:type="fixed"/>
      </w:tblPr>
      <w:tblGrid>
        <w:gridCol w:w="3649"/>
        <w:gridCol w:w="5473"/>
      </w:tblGrid>
      <w:tr>
        <w:tc>
          <w:tcPr>
            <w:tcW w:type="dxa" w:w="3649"/>
            <w:shd w:val="clear" w:color="auto" w:fill="D9D9D9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Concepto</w:t>
            </w:r>
          </w:p>
        </w:tc>
        <w:tc>
          <w:tcPr>
            <w:tcW w:type="dxa" w:w="5473"/>
            <w:shd w:val="clear" w:color="auto" w:fill="D9D9D9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Contenido</w:t>
            </w:r>
          </w:p>
        </w:tc>
      </w:tr>
      <w:tr>
        <w:tc>
          <w:tcPr>
            <w:tcW w:type="dxa" w:w="364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Titular</w:t>
            </w:r>
          </w:p>
        </w:tc>
        <w:tc>
          <w:tcPr>
            <w:tcW w:type="dxa" w:w="547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MARIANA LÓPEZ CASTAÑO</w:t>
            </w:r>
          </w:p>
        </w:tc>
      </w:tr>
      <w:tr>
        <w:tc>
          <w:tcPr>
            <w:tcW w:type="dxa" w:w="364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Documento de identidad</w:t>
            </w:r>
          </w:p>
        </w:tc>
        <w:tc>
          <w:tcPr>
            <w:tcW w:type="dxa" w:w="547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Cédula de ciudadanía n.º 1.039.672.481 expedida en Medellín (Antioquia)</w:t>
            </w:r>
          </w:p>
        </w:tc>
      </w:tr>
      <w:tr>
        <w:tc>
          <w:tcPr>
            <w:tcW w:type="dxa" w:w="364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Domicilio del titular</w:t>
            </w:r>
          </w:p>
        </w:tc>
        <w:tc>
          <w:tcPr>
            <w:tcW w:type="dxa" w:w="547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Medellín (Antioquia)</w:t>
            </w:r>
          </w:p>
        </w:tc>
      </w:tr>
      <w:tr>
        <w:tc>
          <w:tcPr>
            <w:tcW w:type="dxa" w:w="364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Número de acciones representadas</w:t>
            </w:r>
          </w:p>
        </w:tc>
        <w:tc>
          <w:tcPr>
            <w:tcW w:type="dxa" w:w="547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TRESCIENTAS NOVENTA MIL (390.000)</w:t>
            </w:r>
          </w:p>
        </w:tc>
      </w:tr>
      <w:tr>
        <w:tc>
          <w:tcPr>
            <w:tcW w:type="dxa" w:w="364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Valor nominal de cada acción</w:t>
            </w:r>
          </w:p>
        </w:tc>
        <w:tc>
          <w:tcPr>
            <w:tcW w:type="dxa" w:w="547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MIL PESOS ($1.000) moneda corriente</w:t>
            </w:r>
          </w:p>
        </w:tc>
      </w:tr>
      <w:tr>
        <w:tc>
          <w:tcPr>
            <w:tcW w:type="dxa" w:w="364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Valor total del título</w:t>
            </w:r>
          </w:p>
        </w:tc>
        <w:tc>
          <w:tcPr>
            <w:tcW w:type="dxa" w:w="547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TRESCIENTOS NOVENTA MILLONES DE PESOS ($390.000.000) moneda corriente</w:t>
            </w:r>
          </w:p>
        </w:tc>
      </w:tr>
      <w:tr>
        <w:tc>
          <w:tcPr>
            <w:tcW w:type="dxa" w:w="364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Clase de acciones</w:t>
            </w:r>
          </w:p>
        </w:tc>
        <w:tc>
          <w:tcPr>
            <w:tcW w:type="dxa" w:w="547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Ordinarias, nominativas y de capital</w:t>
            </w:r>
          </w:p>
        </w:tc>
      </w:tr>
      <w:tr>
        <w:tc>
          <w:tcPr>
            <w:tcW w:type="dxa" w:w="364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Estado de pago</w:t>
            </w:r>
          </w:p>
        </w:tc>
        <w:tc>
          <w:tcPr>
            <w:tcW w:type="dxa" w:w="547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LIBERADAS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 xml:space="preserve"> — íntegramente pagadas en dinero</w:t>
            </w:r>
          </w:p>
        </w:tc>
      </w:tr>
      <w:tr>
        <w:tc>
          <w:tcPr>
            <w:tcW w:type="dxa" w:w="364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Participación en el capital suscrito</w:t>
            </w:r>
          </w:p>
        </w:tc>
        <w:tc>
          <w:tcPr>
            <w:tcW w:type="dxa" w:w="547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65 %</w:t>
            </w:r>
          </w:p>
        </w:tc>
      </w:tr>
      <w:tr>
        <w:tc>
          <w:tcPr>
            <w:tcW w:type="dxa" w:w="364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Acto de constitución</w:t>
            </w:r>
          </w:p>
        </w:tc>
        <w:tc>
          <w:tcPr>
            <w:tcW w:type="dxa" w:w="547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 xml:space="preserve">Documento privado del 1.º de octubre de 2026, inscrito en el registro mercantil de la Cámara de Comercio de Medellín para Antioquia bajo el número </w:t>
            </w:r>
            <w:r>
              <w:rPr>
                <w:rFonts w:ascii="Times New Roman" w:hAnsi="Times New Roman"/>
                <w:b w:val="0"/>
                <w:i w:val="0"/>
                <w:sz w:val="20"/>
                <w:u w:val="single"/>
              </w:rPr>
              <w:t>_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___ del libro IX</w:t>
            </w:r>
          </w:p>
        </w:tc>
      </w:tr>
      <w:tr>
        <w:tc>
          <w:tcPr>
            <w:tcW w:type="dxa" w:w="364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Matrícula mercantil de la sociedad</w:t>
            </w:r>
          </w:p>
        </w:tc>
        <w:tc>
          <w:tcPr>
            <w:tcW w:type="dxa" w:w="547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 xml:space="preserve">N.º </w:t>
            </w:r>
            <w:r>
              <w:rPr>
                <w:rFonts w:ascii="Times New Roman" w:hAnsi="Times New Roman"/>
                <w:b w:val="0"/>
                <w:i w:val="0"/>
                <w:sz w:val="20"/>
                <w:u w:val="single"/>
              </w:rPr>
              <w:t>_</w:t>
            </w:r>
            <w:r>
              <w:rPr>
                <w:rFonts w:ascii="Times New Roman" w:hAnsi="Times New Roman"/>
                <w:b w:val="0"/>
                <w:i w:val="0"/>
                <w:sz w:val="20"/>
                <w:u w:val="single"/>
              </w:rPr>
              <w:t>_</w:t>
            </w:r>
            <w:r>
              <w:rPr>
                <w:rFonts w:ascii="Times New Roman" w:hAnsi="Times New Roman"/>
                <w:b w:val="0"/>
                <w:i w:val="0"/>
                <w:sz w:val="20"/>
                <w:u w:val="single"/>
              </w:rPr>
            </w:r>
          </w:p>
        </w:tc>
      </w:tr>
      <w:tr>
        <w:tc>
          <w:tcPr>
            <w:tcW w:type="dxa" w:w="364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Fecha de expedición del título</w:t>
            </w:r>
          </w:p>
        </w:tc>
        <w:tc>
          <w:tcPr>
            <w:tcW w:type="dxa" w:w="547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single"/>
              </w:rPr>
              <w:t xml:space="preserve">__ / 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__ / 2026</w:t>
            </w:r>
          </w:p>
        </w:tc>
      </w:tr>
    </w:tbl>
    <w:p>
      <w:pPr>
        <w:spacing w:after="80"/>
      </w:pPr>
    </w:p>
    <w:p>
      <w:r>
        <w:rPr>
          <w:rFonts w:ascii="Times New Roman" w:hAnsi="Times New Roman"/>
          <w:b/>
          <w:i w:val="0"/>
          <w:u w:val="none"/>
        </w:rPr>
        <w:t>ADVERTENCIA SOBRE RESTRICCIONES A LA NEGOCIACIÓN.</w:t>
      </w:r>
      <w:r>
        <w:rPr>
          <w:rFonts w:ascii="Times New Roman" w:hAnsi="Times New Roman"/>
          <w:b w:val="0"/>
          <w:i w:val="0"/>
          <w:u w:val="none"/>
        </w:rPr>
        <w:t xml:space="preserve"> De conformidad con el inciso final del artículo 13 de la Ley 1258 de 2008, se hace constar que las acciones representadas en este título están sujetas a las siguientes restricciones estatutarias, oponibles a la sociedad y a terceros:</w:t>
      </w:r>
    </w:p>
    <w:p>
      <w:pPr>
        <w:ind w:left="567" w:hanging="567"/>
      </w:pPr>
      <w:r>
        <w:rPr>
          <w:rFonts w:ascii="Times New Roman" w:hAnsi="Times New Roman"/>
          <w:b w:val="0"/>
          <w:i w:val="0"/>
          <w:u w:val="none"/>
        </w:rPr>
        <w:t xml:space="preserve">1. </w:t>
      </w:r>
      <w:r>
        <w:rPr>
          <w:rFonts w:ascii="Times New Roman" w:hAnsi="Times New Roman"/>
          <w:b/>
          <w:i w:val="0"/>
          <w:u w:val="none"/>
        </w:rPr>
        <w:t>Derecho de preferencia en la negociación</w:t>
      </w:r>
      <w:r>
        <w:rPr>
          <w:rFonts w:ascii="Times New Roman" w:hAnsi="Times New Roman"/>
          <w:b w:val="0"/>
          <w:i w:val="0"/>
          <w:u w:val="none"/>
        </w:rPr>
        <w:t xml:space="preserve"> a favor de la sociedad y, en subsidio, de los demás accionistas (artículo 14 de los estatutos). La enajenación realizada en contravención de esta cláusula es </w:t>
      </w:r>
      <w:r>
        <w:rPr>
          <w:rFonts w:ascii="Times New Roman" w:hAnsi="Times New Roman"/>
          <w:b/>
          <w:i w:val="0"/>
          <w:u w:val="none"/>
        </w:rPr>
        <w:t>ineficaz de pleno derecho</w:t>
      </w:r>
      <w:r>
        <w:rPr>
          <w:rFonts w:ascii="Times New Roman" w:hAnsi="Times New Roman"/>
          <w:b w:val="0"/>
          <w:i w:val="0"/>
          <w:u w:val="none"/>
        </w:rPr>
        <w:t>, sin necesidad de declaración judicial.</w:t>
      </w:r>
    </w:p>
    <w:p>
      <w:pPr>
        <w:ind w:left="567" w:hanging="567"/>
      </w:pPr>
      <w:r>
        <w:rPr>
          <w:rFonts w:ascii="Times New Roman" w:hAnsi="Times New Roman"/>
          <w:b w:val="0"/>
          <w:i w:val="0"/>
          <w:u w:val="none"/>
        </w:rPr>
        <w:t xml:space="preserve">2. </w:t>
      </w:r>
      <w:r>
        <w:rPr>
          <w:rFonts w:ascii="Times New Roman" w:hAnsi="Times New Roman"/>
          <w:b/>
          <w:i w:val="0"/>
          <w:u w:val="none"/>
        </w:rPr>
        <w:t>Autorización previa de la asamblea general de accionistas</w:t>
      </w:r>
      <w:r>
        <w:rPr>
          <w:rFonts w:ascii="Times New Roman" w:hAnsi="Times New Roman"/>
          <w:b w:val="0"/>
          <w:i w:val="0"/>
          <w:u w:val="none"/>
        </w:rPr>
        <w:t xml:space="preserve">, adoptada con el voto favorable del setenta por ciento (70 %) de las acciones suscritas, para toda enajenación a favor de personas que no sean accionistas. Restricción vigente por </w:t>
      </w:r>
      <w:r>
        <w:rPr>
          <w:rFonts w:ascii="Times New Roman" w:hAnsi="Times New Roman"/>
          <w:b/>
          <w:i w:val="0"/>
          <w:u w:val="none"/>
        </w:rPr>
        <w:t>diez (10) años</w:t>
      </w:r>
      <w:r>
        <w:rPr>
          <w:rFonts w:ascii="Times New Roman" w:hAnsi="Times New Roman"/>
          <w:b w:val="0"/>
          <w:i w:val="0"/>
          <w:u w:val="none"/>
        </w:rPr>
        <w:t xml:space="preserve"> contados desde la inscripción del documento de constitución en el registro mercantil (artículo 15 de los estatutos).</w:t>
      </w:r>
    </w:p>
    <w:p>
      <w:r>
        <w:rPr>
          <w:rFonts w:ascii="Times New Roman" w:hAnsi="Times New Roman"/>
          <w:b w:val="0"/>
          <w:i w:val="0"/>
          <w:u w:val="none"/>
        </w:rPr>
        <w:t>Este título se expide en serie continua y se inscribe en el libro de registro de accionistas de la sociedad. La calidad de accionista frente a la sociedad y frente a terceros se acredita con la inscripción en dicho libro (artículos 195 y 406 del Código de Comercio).</w:t>
      </w:r>
    </w:p>
    <w:p>
      <w:pPr>
        <w:spacing w:after="0"/>
      </w:pPr>
    </w:p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u w:val="single"/>
              </w:rPr>
              <w:t>_</w:t>
            </w:r>
            <w:r>
              <w:rPr>
                <w:rFonts w:ascii="Times New Roman" w:hAnsi="Times New Roman"/>
                <w:b w:val="0"/>
                <w:i w:val="0"/>
                <w:u w:val="single"/>
              </w:rPr>
              <w:t>_</w:t>
            </w:r>
            <w:r>
              <w:rPr>
                <w:rFonts w:ascii="Times New Roman" w:hAnsi="Times New Roman"/>
                <w:b w:val="0"/>
                <w:i w:val="0"/>
                <w:u w:val="single"/>
              </w:rPr>
              <w:t>_</w:t>
            </w:r>
            <w:r>
              <w:rPr>
                <w:rFonts w:ascii="Times New Roman" w:hAnsi="Times New Roman"/>
                <w:b w:val="0"/>
                <w:i w:val="0"/>
                <w:u w:val="single"/>
              </w:rPr>
              <w:t>_</w:t>
            </w:r>
            <w:r>
              <w:rPr>
                <w:rFonts w:ascii="Times New Roman" w:hAnsi="Times New Roman"/>
                <w:b w:val="0"/>
                <w:i w:val="0"/>
                <w:u w:val="single"/>
              </w:rPr>
              <w:t>_</w:t>
            </w:r>
            <w:r>
              <w:rPr>
                <w:rFonts w:ascii="Times New Roman" w:hAnsi="Times New Roman"/>
                <w:b w:val="0"/>
                <w:i w:val="0"/>
                <w:u w:val="single"/>
              </w:rPr>
            </w:r>
          </w:p>
          <w:p>
            <w:pPr>
              <w:spacing w:after="0"/>
            </w:pPr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MARIANA LÓPEZ CASTAÑO</w:t>
            </w:r>
          </w:p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C.C. 1.039.672.481</w:t>
            </w:r>
          </w:p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Representante legal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u w:val="single"/>
              </w:rPr>
              <w:t>_</w:t>
            </w:r>
            <w:r>
              <w:rPr>
                <w:rFonts w:ascii="Times New Roman" w:hAnsi="Times New Roman"/>
                <w:b w:val="0"/>
                <w:i w:val="0"/>
                <w:u w:val="single"/>
              </w:rPr>
              <w:t>_</w:t>
            </w:r>
            <w:r>
              <w:rPr>
                <w:rFonts w:ascii="Times New Roman" w:hAnsi="Times New Roman"/>
                <w:b w:val="0"/>
                <w:i w:val="0"/>
                <w:u w:val="single"/>
              </w:rPr>
              <w:t>_</w:t>
            </w:r>
            <w:r>
              <w:rPr>
                <w:rFonts w:ascii="Times New Roman" w:hAnsi="Times New Roman"/>
                <w:b w:val="0"/>
                <w:i w:val="0"/>
                <w:u w:val="single"/>
              </w:rPr>
              <w:t>_</w:t>
            </w:r>
            <w:r>
              <w:rPr>
                <w:rFonts w:ascii="Times New Roman" w:hAnsi="Times New Roman"/>
                <w:b w:val="0"/>
                <w:i w:val="0"/>
                <w:u w:val="single"/>
              </w:rPr>
              <w:t>_</w:t>
            </w:r>
            <w:r>
              <w:rPr>
                <w:rFonts w:ascii="Times New Roman" w:hAnsi="Times New Roman"/>
                <w:b w:val="0"/>
                <w:i w:val="0"/>
                <w:u w:val="single"/>
              </w:rPr>
            </w:r>
          </w:p>
          <w:p>
            <w:pPr>
              <w:spacing w:after="0"/>
            </w:pPr>
            <w:r>
              <w:rPr>
                <w:rFonts w:ascii="Times New Roman" w:hAnsi="Times New Roman"/>
                <w:b/>
                <w:i w:val="0"/>
                <w:sz w:val="20"/>
                <w:u w:val="single"/>
              </w:rPr>
              <w:t>_</w:t>
            </w:r>
            <w:r>
              <w:rPr>
                <w:rFonts w:ascii="Times New Roman" w:hAnsi="Times New Roman"/>
                <w:b/>
                <w:i w:val="0"/>
                <w:sz w:val="20"/>
                <w:u w:val="single"/>
              </w:rPr>
              <w:t>_</w:t>
            </w:r>
            <w:r>
              <w:rPr>
                <w:rFonts w:ascii="Times New Roman" w:hAnsi="Times New Roman"/>
                <w:b/>
                <w:i w:val="0"/>
                <w:sz w:val="20"/>
                <w:u w:val="single"/>
              </w:rPr>
              <w:t>_</w:t>
            </w:r>
            <w:r>
              <w:rPr>
                <w:rFonts w:ascii="Times New Roman" w:hAnsi="Times New Roman"/>
                <w:b/>
                <w:i w:val="0"/>
                <w:sz w:val="20"/>
                <w:u w:val="single"/>
              </w:rPr>
              <w:t>_</w:t>
            </w:r>
          </w:p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Secretario(a)</w:t>
            </w:r>
          </w:p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Designado(a) para la expedición</w:t>
            </w:r>
          </w:p>
        </w:tc>
      </w:tr>
    </w:tbl>
    <w:p/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i w:val="0"/>
          <w:u w:val="none"/>
        </w:rPr>
        <w:t>NOVA BIENESTAR INTEGRAL S.A.S.</w:t>
      </w:r>
    </w:p>
    <w:p>
      <w:pPr>
        <w:jc w:val="center"/>
      </w:pPr>
      <w:r>
        <w:rPr>
          <w:rFonts w:ascii="Times New Roman" w:hAnsi="Times New Roman"/>
          <w:b w:val="0"/>
          <w:i w:val="0"/>
          <w:u w:val="none"/>
        </w:rPr>
        <w:t xml:space="preserve">Sociedad por acciones simplificada — NIT </w:t>
      </w:r>
      <w:r>
        <w:rPr>
          <w:rFonts w:ascii="Times New Roman" w:hAnsi="Times New Roman"/>
          <w:b w:val="0"/>
          <w:i w:val="0"/>
          <w:u w:val="single"/>
        </w:rPr>
        <w:t>_</w:t>
      </w:r>
      <w:r>
        <w:rPr>
          <w:rFonts w:ascii="Times New Roman" w:hAnsi="Times New Roman"/>
          <w:b w:val="0"/>
          <w:i w:val="0"/>
          <w:u w:val="single"/>
        </w:rPr>
        <w:t>_</w:t>
      </w:r>
      <w:r>
        <w:rPr>
          <w:rFonts w:ascii="Times New Roman" w:hAnsi="Times New Roman"/>
          <w:b w:val="0"/>
          <w:i w:val="0"/>
          <w:u w:val="single"/>
        </w:rPr>
      </w:r>
    </w:p>
    <w:p>
      <w:pPr>
        <w:jc w:val="center"/>
      </w:pPr>
      <w:r>
        <w:rPr>
          <w:rFonts w:ascii="Times New Roman" w:hAnsi="Times New Roman"/>
          <w:b w:val="0"/>
          <w:i w:val="0"/>
          <w:u w:val="none"/>
        </w:rPr>
        <w:t>Domicilio principal: Medellín (Antioquia)</w:t>
      </w:r>
    </w:p>
    <w:p>
      <w:pPr>
        <w:spacing w:after="160"/>
        <w:pBdr>
          <w:bottom w:val="single" w:sz="6" w:space="1" w:color="000000"/>
        </w:pBdr>
      </w:pP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28"/>
          <w:u w:val="none"/>
        </w:rPr>
        <w:t>TÍTULO DE ACCIONES N.º 002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122" w:type="dxa"/>
        <w:tblLayout w:type="fixed"/>
      </w:tblPr>
      <w:tblGrid>
        <w:gridCol w:w="3649"/>
        <w:gridCol w:w="5473"/>
      </w:tblGrid>
      <w:tr>
        <w:tc>
          <w:tcPr>
            <w:tcW w:type="dxa" w:w="3649"/>
            <w:shd w:val="clear" w:color="auto" w:fill="D9D9D9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Concepto</w:t>
            </w:r>
          </w:p>
        </w:tc>
        <w:tc>
          <w:tcPr>
            <w:tcW w:type="dxa" w:w="5473"/>
            <w:shd w:val="clear" w:color="auto" w:fill="D9D9D9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Contenido</w:t>
            </w:r>
          </w:p>
        </w:tc>
      </w:tr>
      <w:tr>
        <w:tc>
          <w:tcPr>
            <w:tcW w:type="dxa" w:w="364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Titular</w:t>
            </w:r>
          </w:p>
        </w:tc>
        <w:tc>
          <w:tcPr>
            <w:tcW w:type="dxa" w:w="547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FELIPE ANDRÉS GÓMEZ VÉLEZ</w:t>
            </w:r>
          </w:p>
        </w:tc>
      </w:tr>
      <w:tr>
        <w:tc>
          <w:tcPr>
            <w:tcW w:type="dxa" w:w="364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Documento de identidad</w:t>
            </w:r>
          </w:p>
        </w:tc>
        <w:tc>
          <w:tcPr>
            <w:tcW w:type="dxa" w:w="547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Cédula de ciudadanía n.º 1.152.846.390 expedida en Envigado (Antioquia)</w:t>
            </w:r>
          </w:p>
        </w:tc>
      </w:tr>
      <w:tr>
        <w:tc>
          <w:tcPr>
            <w:tcW w:type="dxa" w:w="364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Domicilio del titular</w:t>
            </w:r>
          </w:p>
        </w:tc>
        <w:tc>
          <w:tcPr>
            <w:tcW w:type="dxa" w:w="547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Envigado (Antioquia)</w:t>
            </w:r>
          </w:p>
        </w:tc>
      </w:tr>
      <w:tr>
        <w:tc>
          <w:tcPr>
            <w:tcW w:type="dxa" w:w="364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Número de acciones representadas</w:t>
            </w:r>
          </w:p>
        </w:tc>
        <w:tc>
          <w:tcPr>
            <w:tcW w:type="dxa" w:w="547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DOSCIENTAS DIEZ MIL (210.000)</w:t>
            </w:r>
          </w:p>
        </w:tc>
      </w:tr>
      <w:tr>
        <w:tc>
          <w:tcPr>
            <w:tcW w:type="dxa" w:w="364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Valor nominal de cada acción</w:t>
            </w:r>
          </w:p>
        </w:tc>
        <w:tc>
          <w:tcPr>
            <w:tcW w:type="dxa" w:w="547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MIL PESOS ($1.000) moneda corriente</w:t>
            </w:r>
          </w:p>
        </w:tc>
      </w:tr>
      <w:tr>
        <w:tc>
          <w:tcPr>
            <w:tcW w:type="dxa" w:w="364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Valor total del título</w:t>
            </w:r>
          </w:p>
        </w:tc>
        <w:tc>
          <w:tcPr>
            <w:tcW w:type="dxa" w:w="547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DOSCIENTOS DIEZ MILLONES DE PESOS ($210.000.000) moneda corriente</w:t>
            </w:r>
          </w:p>
        </w:tc>
      </w:tr>
      <w:tr>
        <w:tc>
          <w:tcPr>
            <w:tcW w:type="dxa" w:w="364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Clase de acciones</w:t>
            </w:r>
          </w:p>
        </w:tc>
        <w:tc>
          <w:tcPr>
            <w:tcW w:type="dxa" w:w="547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Ordinarias, nominativas y de capital</w:t>
            </w:r>
          </w:p>
        </w:tc>
      </w:tr>
      <w:tr>
        <w:tc>
          <w:tcPr>
            <w:tcW w:type="dxa" w:w="364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Estado de pago</w:t>
            </w:r>
          </w:p>
        </w:tc>
        <w:tc>
          <w:tcPr>
            <w:tcW w:type="dxa" w:w="547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LIBERADAS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 xml:space="preserve"> — íntegramente pagadas en dinero</w:t>
            </w:r>
          </w:p>
        </w:tc>
      </w:tr>
      <w:tr>
        <w:tc>
          <w:tcPr>
            <w:tcW w:type="dxa" w:w="364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Participación en el capital suscrito</w:t>
            </w:r>
          </w:p>
        </w:tc>
        <w:tc>
          <w:tcPr>
            <w:tcW w:type="dxa" w:w="547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35 %</w:t>
            </w:r>
          </w:p>
        </w:tc>
      </w:tr>
      <w:tr>
        <w:tc>
          <w:tcPr>
            <w:tcW w:type="dxa" w:w="364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Acto de constitución</w:t>
            </w:r>
          </w:p>
        </w:tc>
        <w:tc>
          <w:tcPr>
            <w:tcW w:type="dxa" w:w="547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 xml:space="preserve">Documento privado del 1.º de octubre de 2026, inscrito en el registro mercantil de la Cámara de Comercio de Medellín para Antioquia bajo el número </w:t>
            </w:r>
            <w:r>
              <w:rPr>
                <w:rFonts w:ascii="Times New Roman" w:hAnsi="Times New Roman"/>
                <w:b w:val="0"/>
                <w:i w:val="0"/>
                <w:sz w:val="20"/>
                <w:u w:val="single"/>
              </w:rPr>
              <w:t>_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___ del libro IX</w:t>
            </w:r>
          </w:p>
        </w:tc>
      </w:tr>
      <w:tr>
        <w:tc>
          <w:tcPr>
            <w:tcW w:type="dxa" w:w="364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Matrícula mercantil de la sociedad</w:t>
            </w:r>
          </w:p>
        </w:tc>
        <w:tc>
          <w:tcPr>
            <w:tcW w:type="dxa" w:w="547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 xml:space="preserve">N.º </w:t>
            </w:r>
            <w:r>
              <w:rPr>
                <w:rFonts w:ascii="Times New Roman" w:hAnsi="Times New Roman"/>
                <w:b w:val="0"/>
                <w:i w:val="0"/>
                <w:sz w:val="20"/>
                <w:u w:val="single"/>
              </w:rPr>
              <w:t>_</w:t>
            </w:r>
            <w:r>
              <w:rPr>
                <w:rFonts w:ascii="Times New Roman" w:hAnsi="Times New Roman"/>
                <w:b w:val="0"/>
                <w:i w:val="0"/>
                <w:sz w:val="20"/>
                <w:u w:val="single"/>
              </w:rPr>
              <w:t>_</w:t>
            </w:r>
            <w:r>
              <w:rPr>
                <w:rFonts w:ascii="Times New Roman" w:hAnsi="Times New Roman"/>
                <w:b w:val="0"/>
                <w:i w:val="0"/>
                <w:sz w:val="20"/>
                <w:u w:val="single"/>
              </w:rPr>
            </w:r>
          </w:p>
        </w:tc>
      </w:tr>
      <w:tr>
        <w:tc>
          <w:tcPr>
            <w:tcW w:type="dxa" w:w="364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Fecha de expedición del título</w:t>
            </w:r>
          </w:p>
        </w:tc>
        <w:tc>
          <w:tcPr>
            <w:tcW w:type="dxa" w:w="547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single"/>
              </w:rPr>
              <w:t xml:space="preserve">__ / 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__ / 2026</w:t>
            </w:r>
          </w:p>
        </w:tc>
      </w:tr>
    </w:tbl>
    <w:p>
      <w:pPr>
        <w:spacing w:after="80"/>
      </w:pPr>
    </w:p>
    <w:p>
      <w:r>
        <w:rPr>
          <w:rFonts w:ascii="Times New Roman" w:hAnsi="Times New Roman"/>
          <w:b/>
          <w:i w:val="0"/>
          <w:u w:val="none"/>
        </w:rPr>
        <w:t>ADVERTENCIA SOBRE RESTRICCIONES A LA NEGOCIACIÓN.</w:t>
      </w:r>
      <w:r>
        <w:rPr>
          <w:rFonts w:ascii="Times New Roman" w:hAnsi="Times New Roman"/>
          <w:b w:val="0"/>
          <w:i w:val="0"/>
          <w:u w:val="none"/>
        </w:rPr>
        <w:t xml:space="preserve"> De conformidad con el inciso final del artículo 13 de la Ley 1258 de 2008, las acciones representadas en este título están sujetas al </w:t>
      </w:r>
      <w:r>
        <w:rPr>
          <w:rFonts w:ascii="Times New Roman" w:hAnsi="Times New Roman"/>
          <w:b/>
          <w:i w:val="0"/>
          <w:u w:val="none"/>
        </w:rPr>
        <w:t>derecho de preferencia en la negociación</w:t>
      </w:r>
      <w:r>
        <w:rPr>
          <w:rFonts w:ascii="Times New Roman" w:hAnsi="Times New Roman"/>
          <w:b w:val="0"/>
          <w:i w:val="0"/>
          <w:u w:val="none"/>
        </w:rPr>
        <w:t xml:space="preserve"> del artículo 14 de los estatutos —cuya inobservancia produce la </w:t>
      </w:r>
      <w:r>
        <w:rPr>
          <w:rFonts w:ascii="Times New Roman" w:hAnsi="Times New Roman"/>
          <w:b/>
          <w:i w:val="0"/>
          <w:u w:val="none"/>
        </w:rPr>
        <w:t>ineficacia de pleno derecho</w:t>
      </w:r>
      <w:r>
        <w:rPr>
          <w:rFonts w:ascii="Times New Roman" w:hAnsi="Times New Roman"/>
          <w:b w:val="0"/>
          <w:i w:val="0"/>
          <w:u w:val="none"/>
        </w:rPr>
        <w:t xml:space="preserve"> de la enajenación— y a la </w:t>
      </w:r>
      <w:r>
        <w:rPr>
          <w:rFonts w:ascii="Times New Roman" w:hAnsi="Times New Roman"/>
          <w:b/>
          <w:i w:val="0"/>
          <w:u w:val="none"/>
        </w:rPr>
        <w:t>autorización previa de la asamblea general de accionistas</w:t>
      </w:r>
      <w:r>
        <w:rPr>
          <w:rFonts w:ascii="Times New Roman" w:hAnsi="Times New Roman"/>
          <w:b w:val="0"/>
          <w:i w:val="0"/>
          <w:u w:val="none"/>
        </w:rPr>
        <w:t xml:space="preserve"> con el setenta por ciento (70 %) de las acciones suscritas para su transferencia a terceros, por el término de diez (10) años (artículo 15 de los estatutos).</w:t>
      </w:r>
    </w:p>
    <w:p>
      <w:pPr>
        <w:spacing w:after="0"/>
      </w:pPr>
    </w:p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u w:val="single"/>
              </w:rPr>
              <w:t>_</w:t>
            </w:r>
            <w:r>
              <w:rPr>
                <w:rFonts w:ascii="Times New Roman" w:hAnsi="Times New Roman"/>
                <w:b w:val="0"/>
                <w:i w:val="0"/>
                <w:u w:val="single"/>
              </w:rPr>
              <w:t>_</w:t>
            </w:r>
            <w:r>
              <w:rPr>
                <w:rFonts w:ascii="Times New Roman" w:hAnsi="Times New Roman"/>
                <w:b w:val="0"/>
                <w:i w:val="0"/>
                <w:u w:val="single"/>
              </w:rPr>
              <w:t>_</w:t>
            </w:r>
            <w:r>
              <w:rPr>
                <w:rFonts w:ascii="Times New Roman" w:hAnsi="Times New Roman"/>
                <w:b w:val="0"/>
                <w:i w:val="0"/>
                <w:u w:val="single"/>
              </w:rPr>
              <w:t>_</w:t>
            </w:r>
            <w:r>
              <w:rPr>
                <w:rFonts w:ascii="Times New Roman" w:hAnsi="Times New Roman"/>
                <w:b w:val="0"/>
                <w:i w:val="0"/>
                <w:u w:val="single"/>
              </w:rPr>
              <w:t>_</w:t>
            </w:r>
            <w:r>
              <w:rPr>
                <w:rFonts w:ascii="Times New Roman" w:hAnsi="Times New Roman"/>
                <w:b w:val="0"/>
                <w:i w:val="0"/>
                <w:u w:val="single"/>
              </w:rPr>
            </w:r>
          </w:p>
          <w:p>
            <w:pPr>
              <w:spacing w:after="0"/>
            </w:pPr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FELIPE ANDRÉS GÓMEZ VÉLEZ</w:t>
            </w:r>
          </w:p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C.C. 1.152.846.390</w:t>
            </w:r>
          </w:p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Titular — recibe conforme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u w:val="single"/>
              </w:rPr>
              <w:t>_</w:t>
            </w:r>
            <w:r>
              <w:rPr>
                <w:rFonts w:ascii="Times New Roman" w:hAnsi="Times New Roman"/>
                <w:b w:val="0"/>
                <w:i w:val="0"/>
                <w:u w:val="single"/>
              </w:rPr>
              <w:t>_</w:t>
            </w:r>
            <w:r>
              <w:rPr>
                <w:rFonts w:ascii="Times New Roman" w:hAnsi="Times New Roman"/>
                <w:b w:val="0"/>
                <w:i w:val="0"/>
                <w:u w:val="single"/>
              </w:rPr>
              <w:t>_</w:t>
            </w:r>
            <w:r>
              <w:rPr>
                <w:rFonts w:ascii="Times New Roman" w:hAnsi="Times New Roman"/>
                <w:b w:val="0"/>
                <w:i w:val="0"/>
                <w:u w:val="single"/>
              </w:rPr>
              <w:t>_</w:t>
            </w:r>
            <w:r>
              <w:rPr>
                <w:rFonts w:ascii="Times New Roman" w:hAnsi="Times New Roman"/>
                <w:b w:val="0"/>
                <w:i w:val="0"/>
                <w:u w:val="single"/>
              </w:rPr>
              <w:t>_</w:t>
            </w:r>
            <w:r>
              <w:rPr>
                <w:rFonts w:ascii="Times New Roman" w:hAnsi="Times New Roman"/>
                <w:b w:val="0"/>
                <w:i w:val="0"/>
                <w:u w:val="single"/>
              </w:rPr>
            </w:r>
          </w:p>
          <w:p>
            <w:pPr>
              <w:spacing w:after="0"/>
            </w:pPr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MARIANA LÓPEZ CASTAÑO</w:t>
            </w:r>
          </w:p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C.C. 1.039.672.481</w:t>
            </w:r>
          </w:p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Representante legal</w:t>
            </w:r>
          </w:p>
        </w:tc>
      </w:tr>
    </w:tbl>
    <w:p/>
    <w:p>
      <w:r>
        <w:br w:type="page"/>
      </w: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28"/>
          <w:u w:val="none"/>
        </w:rPr>
        <w:t>COMPROBANTES DE INGRESO POR APORTES DE CAPITAL</w:t>
      </w:r>
    </w:p>
    <w:p>
      <w:pPr>
        <w:spacing w:after="280"/>
        <w:jc w:val="center"/>
      </w:pPr>
      <w:r>
        <w:rPr>
          <w:rFonts w:ascii="Times New Roman" w:hAnsi="Times New Roman"/>
          <w:b/>
          <w:i w:val="0"/>
          <w:sz w:val="24"/>
          <w:u w:val="none"/>
        </w:rPr>
        <w:t>Soporte contable del pago del capital suscrito</w:t>
      </w:r>
    </w:p>
    <w:p>
      <w:r>
        <w:rPr>
          <w:rFonts w:ascii="Times New Roman" w:hAnsi="Times New Roman"/>
          <w:b w:val="0"/>
          <w:i w:val="0"/>
          <w:u w:val="none"/>
        </w:rPr>
        <w:t>Los comprobantes que siguen constituyen el soporte contable del hecho declarado en la certificación de capital: que el capital suscrito fue pagado íntegramente en dinero en el acto de constitución. Deben archivarse con el extracto o comprobante bancario de la consignación correspondiente.</w:t>
      </w:r>
    </w:p>
    <w:p>
      <w:pPr>
        <w:keepNext/>
        <w:spacing w:before="240" w:after="80"/>
        <w:jc w:val="left"/>
      </w:pPr>
      <w:r>
        <w:rPr>
          <w:rFonts w:ascii="Times New Roman" w:hAnsi="Times New Roman"/>
          <w:b/>
          <w:i w:val="0"/>
          <w:sz w:val="24"/>
          <w:u w:val="none"/>
        </w:rPr>
        <w:t>Comprobante de ingreso n.º 001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122" w:type="dxa"/>
        <w:tblLayout w:type="fixed"/>
      </w:tblPr>
      <w:tblGrid>
        <w:gridCol w:w="3649"/>
        <w:gridCol w:w="5473"/>
      </w:tblGrid>
      <w:tr>
        <w:tc>
          <w:tcPr>
            <w:tcW w:type="dxa" w:w="3649"/>
            <w:shd w:val="clear" w:color="auto" w:fill="D9D9D9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Concepto</w:t>
            </w:r>
          </w:p>
        </w:tc>
        <w:tc>
          <w:tcPr>
            <w:tcW w:type="dxa" w:w="5473"/>
            <w:shd w:val="clear" w:color="auto" w:fill="D9D9D9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Contenido</w:t>
            </w:r>
          </w:p>
        </w:tc>
      </w:tr>
      <w:tr>
        <w:tc>
          <w:tcPr>
            <w:tcW w:type="dxa" w:w="364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Sociedad</w:t>
            </w:r>
          </w:p>
        </w:tc>
        <w:tc>
          <w:tcPr>
            <w:tcW w:type="dxa" w:w="547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NOVA BIENESTAR INTEGRAL S.A.S. (en constitución)</w:t>
            </w:r>
          </w:p>
        </w:tc>
      </w:tr>
      <w:tr>
        <w:tc>
          <w:tcPr>
            <w:tcW w:type="dxa" w:w="364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Fecha</w:t>
            </w:r>
          </w:p>
        </w:tc>
        <w:tc>
          <w:tcPr>
            <w:tcW w:type="dxa" w:w="547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1.º de octubre de 2026</w:t>
            </w:r>
          </w:p>
        </w:tc>
      </w:tr>
      <w:tr>
        <w:tc>
          <w:tcPr>
            <w:tcW w:type="dxa" w:w="364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Recibido de</w:t>
            </w:r>
          </w:p>
        </w:tc>
        <w:tc>
          <w:tcPr>
            <w:tcW w:type="dxa" w:w="547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Mariana López Castaño — C.C. 1.039.672.481</w:t>
            </w:r>
          </w:p>
        </w:tc>
      </w:tr>
      <w:tr>
        <w:tc>
          <w:tcPr>
            <w:tcW w:type="dxa" w:w="364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Concepto</w:t>
            </w:r>
          </w:p>
        </w:tc>
        <w:tc>
          <w:tcPr>
            <w:tcW w:type="dxa" w:w="547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Pago íntegro de 390.000 acciones ordinarias suscritas, de valor nominal de $1.000 cada una</w:t>
            </w:r>
          </w:p>
        </w:tc>
      </w:tr>
      <w:tr>
        <w:tc>
          <w:tcPr>
            <w:tcW w:type="dxa" w:w="364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Valor</w:t>
            </w:r>
          </w:p>
        </w:tc>
        <w:tc>
          <w:tcPr>
            <w:tcW w:type="dxa" w:w="547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$390.000.000 moneda corriente</w:t>
            </w:r>
          </w:p>
        </w:tc>
      </w:tr>
      <w:tr>
        <w:tc>
          <w:tcPr>
            <w:tcW w:type="dxa" w:w="364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Forma de pago</w:t>
            </w:r>
          </w:p>
        </w:tc>
        <w:tc>
          <w:tcPr>
            <w:tcW w:type="dxa" w:w="547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Consignación en la cuenta bancaria abierta a nombre de la sociedad en formación</w:t>
            </w:r>
          </w:p>
        </w:tc>
      </w:tr>
      <w:tr>
        <w:tc>
          <w:tcPr>
            <w:tcW w:type="dxa" w:w="364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Cuenta bancaria</w:t>
            </w:r>
          </w:p>
        </w:tc>
        <w:tc>
          <w:tcPr>
            <w:tcW w:type="dxa" w:w="547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 xml:space="preserve">N.º </w:t>
            </w:r>
            <w:r>
              <w:rPr>
                <w:rFonts w:ascii="Times New Roman" w:hAnsi="Times New Roman"/>
                <w:b w:val="0"/>
                <w:i w:val="0"/>
                <w:sz w:val="20"/>
                <w:u w:val="single"/>
              </w:rPr>
              <w:t>_</w:t>
            </w:r>
            <w:r>
              <w:rPr>
                <w:rFonts w:ascii="Times New Roman" w:hAnsi="Times New Roman"/>
                <w:b w:val="0"/>
                <w:i w:val="0"/>
                <w:sz w:val="20"/>
                <w:u w:val="single"/>
              </w:rPr>
              <w:t>_</w:t>
            </w:r>
            <w:r>
              <w:rPr>
                <w:rFonts w:ascii="Times New Roman" w:hAnsi="Times New Roman"/>
                <w:b w:val="0"/>
                <w:i w:val="0"/>
                <w:sz w:val="20"/>
                <w:u w:val="single"/>
              </w:rPr>
              <w:t xml:space="preserve"> del banco </w:t>
            </w:r>
            <w:r>
              <w:rPr>
                <w:rFonts w:ascii="Times New Roman" w:hAnsi="Times New Roman"/>
                <w:b w:val="0"/>
                <w:i w:val="0"/>
                <w:sz w:val="20"/>
                <w:u w:val="single"/>
              </w:rPr>
              <w:t>_</w:t>
            </w:r>
            <w:r>
              <w:rPr>
                <w:rFonts w:ascii="Times New Roman" w:hAnsi="Times New Roman"/>
                <w:b w:val="0"/>
                <w:i w:val="0"/>
                <w:sz w:val="20"/>
                <w:u w:val="single"/>
              </w:rPr>
              <w:t>_</w:t>
            </w:r>
          </w:p>
        </w:tc>
      </w:tr>
      <w:tr>
        <w:tc>
          <w:tcPr>
            <w:tcW w:type="dxa" w:w="364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Comprobante bancario n.º</w:t>
            </w:r>
          </w:p>
        </w:tc>
        <w:tc>
          <w:tcPr>
            <w:tcW w:type="dxa" w:w="547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single"/>
              </w:rPr>
              <w:t>_</w:t>
            </w:r>
            <w:r>
              <w:rPr>
                <w:rFonts w:ascii="Times New Roman" w:hAnsi="Times New Roman"/>
                <w:b w:val="0"/>
                <w:i w:val="0"/>
                <w:sz w:val="20"/>
                <w:u w:val="single"/>
              </w:rPr>
              <w:t>_</w:t>
            </w:r>
            <w:r>
              <w:rPr>
                <w:rFonts w:ascii="Times New Roman" w:hAnsi="Times New Roman"/>
                <w:b w:val="0"/>
                <w:i w:val="0"/>
                <w:sz w:val="20"/>
                <w:u w:val="single"/>
              </w:rPr>
            </w:r>
          </w:p>
        </w:tc>
      </w:tr>
      <w:tr>
        <w:tc>
          <w:tcPr>
            <w:tcW w:type="dxa" w:w="364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Imputación contable</w:t>
            </w:r>
          </w:p>
        </w:tc>
        <w:tc>
          <w:tcPr>
            <w:tcW w:type="dxa" w:w="547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Débito: Bancos. Crédito: Capital suscrito y pagado</w:t>
            </w:r>
          </w:p>
        </w:tc>
      </w:tr>
    </w:tbl>
    <w:p>
      <w:pPr>
        <w:spacing w:after="80"/>
      </w:pPr>
    </w:p>
    <w:p>
      <w:pPr>
        <w:spacing w:after="0"/>
      </w:pPr>
    </w:p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u w:val="single"/>
              </w:rPr>
              <w:t>_</w:t>
            </w:r>
            <w:r>
              <w:rPr>
                <w:rFonts w:ascii="Times New Roman" w:hAnsi="Times New Roman"/>
                <w:b w:val="0"/>
                <w:i w:val="0"/>
                <w:u w:val="single"/>
              </w:rPr>
              <w:t>_</w:t>
            </w:r>
            <w:r>
              <w:rPr>
                <w:rFonts w:ascii="Times New Roman" w:hAnsi="Times New Roman"/>
                <w:b w:val="0"/>
                <w:i w:val="0"/>
                <w:u w:val="single"/>
              </w:rPr>
              <w:t>_</w:t>
            </w:r>
            <w:r>
              <w:rPr>
                <w:rFonts w:ascii="Times New Roman" w:hAnsi="Times New Roman"/>
                <w:b w:val="0"/>
                <w:i w:val="0"/>
                <w:u w:val="single"/>
              </w:rPr>
              <w:t>_</w:t>
            </w:r>
            <w:r>
              <w:rPr>
                <w:rFonts w:ascii="Times New Roman" w:hAnsi="Times New Roman"/>
                <w:b w:val="0"/>
                <w:i w:val="0"/>
                <w:u w:val="single"/>
              </w:rPr>
              <w:t>_</w:t>
            </w:r>
            <w:r>
              <w:rPr>
                <w:rFonts w:ascii="Times New Roman" w:hAnsi="Times New Roman"/>
                <w:b w:val="0"/>
                <w:i w:val="0"/>
                <w:u w:val="single"/>
              </w:rPr>
            </w:r>
          </w:p>
          <w:p>
            <w:pPr>
              <w:spacing w:after="0"/>
            </w:pPr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MARIANA LÓPEZ CASTAÑO</w:t>
            </w:r>
          </w:p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C.C. 1.039.672.481</w:t>
            </w:r>
          </w:p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Aportante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u w:val="single"/>
              </w:rPr>
              <w:t>_</w:t>
            </w:r>
            <w:r>
              <w:rPr>
                <w:rFonts w:ascii="Times New Roman" w:hAnsi="Times New Roman"/>
                <w:b w:val="0"/>
                <w:i w:val="0"/>
                <w:u w:val="single"/>
              </w:rPr>
              <w:t>_</w:t>
            </w:r>
            <w:r>
              <w:rPr>
                <w:rFonts w:ascii="Times New Roman" w:hAnsi="Times New Roman"/>
                <w:b w:val="0"/>
                <w:i w:val="0"/>
                <w:u w:val="single"/>
              </w:rPr>
              <w:t>_</w:t>
            </w:r>
            <w:r>
              <w:rPr>
                <w:rFonts w:ascii="Times New Roman" w:hAnsi="Times New Roman"/>
                <w:b w:val="0"/>
                <w:i w:val="0"/>
                <w:u w:val="single"/>
              </w:rPr>
              <w:t>_</w:t>
            </w:r>
            <w:r>
              <w:rPr>
                <w:rFonts w:ascii="Times New Roman" w:hAnsi="Times New Roman"/>
                <w:b w:val="0"/>
                <w:i w:val="0"/>
                <w:u w:val="single"/>
              </w:rPr>
              <w:t>_</w:t>
            </w:r>
            <w:r>
              <w:rPr>
                <w:rFonts w:ascii="Times New Roman" w:hAnsi="Times New Roman"/>
                <w:b w:val="0"/>
                <w:i w:val="0"/>
                <w:u w:val="single"/>
              </w:rPr>
            </w:r>
          </w:p>
          <w:p>
            <w:pPr>
              <w:spacing w:after="0"/>
            </w:pPr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MARIANA LÓPEZ CASTAÑO</w:t>
            </w:r>
          </w:p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C.C. 1.039.672.481</w:t>
            </w:r>
          </w:p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Representante legal — recibe</w:t>
            </w:r>
          </w:p>
        </w:tc>
      </w:tr>
    </w:tbl>
    <w:p/>
    <w:p>
      <w:pPr>
        <w:keepNext/>
        <w:spacing w:before="240" w:after="80"/>
        <w:jc w:val="left"/>
      </w:pPr>
      <w:r>
        <w:rPr>
          <w:rFonts w:ascii="Times New Roman" w:hAnsi="Times New Roman"/>
          <w:b/>
          <w:i w:val="0"/>
          <w:sz w:val="24"/>
          <w:u w:val="none"/>
        </w:rPr>
        <w:t>Comprobante de ingreso n.º 002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122" w:type="dxa"/>
        <w:tblLayout w:type="fixed"/>
      </w:tblPr>
      <w:tblGrid>
        <w:gridCol w:w="3649"/>
        <w:gridCol w:w="5473"/>
      </w:tblGrid>
      <w:tr>
        <w:tc>
          <w:tcPr>
            <w:tcW w:type="dxa" w:w="3649"/>
            <w:shd w:val="clear" w:color="auto" w:fill="D9D9D9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Concepto</w:t>
            </w:r>
          </w:p>
        </w:tc>
        <w:tc>
          <w:tcPr>
            <w:tcW w:type="dxa" w:w="5473"/>
            <w:shd w:val="clear" w:color="auto" w:fill="D9D9D9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Contenido</w:t>
            </w:r>
          </w:p>
        </w:tc>
      </w:tr>
      <w:tr>
        <w:tc>
          <w:tcPr>
            <w:tcW w:type="dxa" w:w="364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Sociedad</w:t>
            </w:r>
          </w:p>
        </w:tc>
        <w:tc>
          <w:tcPr>
            <w:tcW w:type="dxa" w:w="547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NOVA BIENESTAR INTEGRAL S.A.S. (en constitución)</w:t>
            </w:r>
          </w:p>
        </w:tc>
      </w:tr>
      <w:tr>
        <w:tc>
          <w:tcPr>
            <w:tcW w:type="dxa" w:w="364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Fecha</w:t>
            </w:r>
          </w:p>
        </w:tc>
        <w:tc>
          <w:tcPr>
            <w:tcW w:type="dxa" w:w="547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1.º de octubre de 2026</w:t>
            </w:r>
          </w:p>
        </w:tc>
      </w:tr>
      <w:tr>
        <w:tc>
          <w:tcPr>
            <w:tcW w:type="dxa" w:w="364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Recibido de</w:t>
            </w:r>
          </w:p>
        </w:tc>
        <w:tc>
          <w:tcPr>
            <w:tcW w:type="dxa" w:w="547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Felipe Andrés Gómez Vélez — C.C. 1.152.846.390</w:t>
            </w:r>
          </w:p>
        </w:tc>
      </w:tr>
      <w:tr>
        <w:tc>
          <w:tcPr>
            <w:tcW w:type="dxa" w:w="364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Concepto</w:t>
            </w:r>
          </w:p>
        </w:tc>
        <w:tc>
          <w:tcPr>
            <w:tcW w:type="dxa" w:w="547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Pago íntegro de 210.000 acciones ordinarias suscritas, de valor nominal de $1.000 cada una</w:t>
            </w:r>
          </w:p>
        </w:tc>
      </w:tr>
      <w:tr>
        <w:tc>
          <w:tcPr>
            <w:tcW w:type="dxa" w:w="364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Valor</w:t>
            </w:r>
          </w:p>
        </w:tc>
        <w:tc>
          <w:tcPr>
            <w:tcW w:type="dxa" w:w="547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$210.000.000 moneda corriente</w:t>
            </w:r>
          </w:p>
        </w:tc>
      </w:tr>
      <w:tr>
        <w:tc>
          <w:tcPr>
            <w:tcW w:type="dxa" w:w="364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Forma de pago</w:t>
            </w:r>
          </w:p>
        </w:tc>
        <w:tc>
          <w:tcPr>
            <w:tcW w:type="dxa" w:w="547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Consignación en la cuenta bancaria abierta a nombre de la sociedad en formación</w:t>
            </w:r>
          </w:p>
        </w:tc>
      </w:tr>
      <w:tr>
        <w:tc>
          <w:tcPr>
            <w:tcW w:type="dxa" w:w="364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Cuenta bancaria</w:t>
            </w:r>
          </w:p>
        </w:tc>
        <w:tc>
          <w:tcPr>
            <w:tcW w:type="dxa" w:w="547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 xml:space="preserve">N.º </w:t>
            </w:r>
            <w:r>
              <w:rPr>
                <w:rFonts w:ascii="Times New Roman" w:hAnsi="Times New Roman"/>
                <w:b w:val="0"/>
                <w:i w:val="0"/>
                <w:sz w:val="20"/>
                <w:u w:val="single"/>
              </w:rPr>
              <w:t>_</w:t>
            </w:r>
            <w:r>
              <w:rPr>
                <w:rFonts w:ascii="Times New Roman" w:hAnsi="Times New Roman"/>
                <w:b w:val="0"/>
                <w:i w:val="0"/>
                <w:sz w:val="20"/>
                <w:u w:val="single"/>
              </w:rPr>
              <w:t>_</w:t>
            </w:r>
            <w:r>
              <w:rPr>
                <w:rFonts w:ascii="Times New Roman" w:hAnsi="Times New Roman"/>
                <w:b w:val="0"/>
                <w:i w:val="0"/>
                <w:sz w:val="20"/>
                <w:u w:val="single"/>
              </w:rPr>
              <w:t xml:space="preserve"> del banco </w:t>
            </w:r>
            <w:r>
              <w:rPr>
                <w:rFonts w:ascii="Times New Roman" w:hAnsi="Times New Roman"/>
                <w:b w:val="0"/>
                <w:i w:val="0"/>
                <w:sz w:val="20"/>
                <w:u w:val="single"/>
              </w:rPr>
              <w:t>_</w:t>
            </w:r>
            <w:r>
              <w:rPr>
                <w:rFonts w:ascii="Times New Roman" w:hAnsi="Times New Roman"/>
                <w:b w:val="0"/>
                <w:i w:val="0"/>
                <w:sz w:val="20"/>
                <w:u w:val="single"/>
              </w:rPr>
              <w:t>_</w:t>
            </w:r>
          </w:p>
        </w:tc>
      </w:tr>
      <w:tr>
        <w:tc>
          <w:tcPr>
            <w:tcW w:type="dxa" w:w="364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Comprobante bancario n.º</w:t>
            </w:r>
          </w:p>
        </w:tc>
        <w:tc>
          <w:tcPr>
            <w:tcW w:type="dxa" w:w="547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single"/>
              </w:rPr>
              <w:t>_</w:t>
            </w:r>
            <w:r>
              <w:rPr>
                <w:rFonts w:ascii="Times New Roman" w:hAnsi="Times New Roman"/>
                <w:b w:val="0"/>
                <w:i w:val="0"/>
                <w:sz w:val="20"/>
                <w:u w:val="single"/>
              </w:rPr>
              <w:t>_</w:t>
            </w:r>
            <w:r>
              <w:rPr>
                <w:rFonts w:ascii="Times New Roman" w:hAnsi="Times New Roman"/>
                <w:b w:val="0"/>
                <w:i w:val="0"/>
                <w:sz w:val="20"/>
                <w:u w:val="single"/>
              </w:rPr>
            </w:r>
          </w:p>
        </w:tc>
      </w:tr>
      <w:tr>
        <w:tc>
          <w:tcPr>
            <w:tcW w:type="dxa" w:w="3649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Imputación contable</w:t>
            </w:r>
          </w:p>
        </w:tc>
        <w:tc>
          <w:tcPr>
            <w:tcW w:type="dxa" w:w="5473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Débito: Bancos. Crédito: Capital suscrito y pagado</w:t>
            </w:r>
          </w:p>
        </w:tc>
      </w:tr>
    </w:tbl>
    <w:p>
      <w:pPr>
        <w:spacing w:after="80"/>
      </w:pPr>
    </w:p>
    <w:p>
      <w:pPr>
        <w:spacing w:after="0"/>
      </w:pPr>
    </w:p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u w:val="single"/>
              </w:rPr>
              <w:t>_</w:t>
            </w:r>
            <w:r>
              <w:rPr>
                <w:rFonts w:ascii="Times New Roman" w:hAnsi="Times New Roman"/>
                <w:b w:val="0"/>
                <w:i w:val="0"/>
                <w:u w:val="single"/>
              </w:rPr>
              <w:t>_</w:t>
            </w:r>
            <w:r>
              <w:rPr>
                <w:rFonts w:ascii="Times New Roman" w:hAnsi="Times New Roman"/>
                <w:b w:val="0"/>
                <w:i w:val="0"/>
                <w:u w:val="single"/>
              </w:rPr>
              <w:t>_</w:t>
            </w:r>
            <w:r>
              <w:rPr>
                <w:rFonts w:ascii="Times New Roman" w:hAnsi="Times New Roman"/>
                <w:b w:val="0"/>
                <w:i w:val="0"/>
                <w:u w:val="single"/>
              </w:rPr>
              <w:t>_</w:t>
            </w:r>
            <w:r>
              <w:rPr>
                <w:rFonts w:ascii="Times New Roman" w:hAnsi="Times New Roman"/>
                <w:b w:val="0"/>
                <w:i w:val="0"/>
                <w:u w:val="single"/>
              </w:rPr>
              <w:t>_</w:t>
            </w:r>
            <w:r>
              <w:rPr>
                <w:rFonts w:ascii="Times New Roman" w:hAnsi="Times New Roman"/>
                <w:b w:val="0"/>
                <w:i w:val="0"/>
                <w:u w:val="single"/>
              </w:rPr>
            </w:r>
          </w:p>
          <w:p>
            <w:pPr>
              <w:spacing w:after="0"/>
            </w:pPr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FELIPE ANDRÉS GÓMEZ VÉLEZ</w:t>
            </w:r>
          </w:p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C.C. 1.152.846.390</w:t>
            </w:r>
          </w:p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Aportante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u w:val="single"/>
              </w:rPr>
              <w:t>_</w:t>
            </w:r>
            <w:r>
              <w:rPr>
                <w:rFonts w:ascii="Times New Roman" w:hAnsi="Times New Roman"/>
                <w:b w:val="0"/>
                <w:i w:val="0"/>
                <w:u w:val="single"/>
              </w:rPr>
              <w:t>_</w:t>
            </w:r>
            <w:r>
              <w:rPr>
                <w:rFonts w:ascii="Times New Roman" w:hAnsi="Times New Roman"/>
                <w:b w:val="0"/>
                <w:i w:val="0"/>
                <w:u w:val="single"/>
              </w:rPr>
              <w:t>_</w:t>
            </w:r>
            <w:r>
              <w:rPr>
                <w:rFonts w:ascii="Times New Roman" w:hAnsi="Times New Roman"/>
                <w:b w:val="0"/>
                <w:i w:val="0"/>
                <w:u w:val="single"/>
              </w:rPr>
              <w:t>_</w:t>
            </w:r>
            <w:r>
              <w:rPr>
                <w:rFonts w:ascii="Times New Roman" w:hAnsi="Times New Roman"/>
                <w:b w:val="0"/>
                <w:i w:val="0"/>
                <w:u w:val="single"/>
              </w:rPr>
              <w:t>_</w:t>
            </w:r>
            <w:r>
              <w:rPr>
                <w:rFonts w:ascii="Times New Roman" w:hAnsi="Times New Roman"/>
                <w:b w:val="0"/>
                <w:i w:val="0"/>
                <w:u w:val="single"/>
              </w:rPr>
            </w:r>
          </w:p>
          <w:p>
            <w:pPr>
              <w:spacing w:after="0"/>
            </w:pPr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MARIANA LÓPEZ CASTAÑO</w:t>
            </w:r>
          </w:p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C.C. 1.039.672.481</w:t>
            </w:r>
          </w:p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Representante legal — recibe</w:t>
            </w:r>
          </w:p>
        </w:tc>
      </w:tr>
    </w:tbl>
    <w:p/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9121" w:type="dxa"/>
        <w:tblLayout w:type="fixed"/>
      </w:tblPr>
      <w:tblGrid>
        <w:gridCol w:w="4561"/>
        <w:gridCol w:w="2280"/>
        <w:gridCol w:w="2280"/>
      </w:tblGrid>
      <w:tr>
        <w:tc>
          <w:tcPr>
            <w:tcW w:type="dxa" w:w="4561"/>
            <w:shd w:val="clear" w:color="auto" w:fill="D9D9D9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Resumen de la integración del capital</w:t>
            </w:r>
          </w:p>
        </w:tc>
        <w:tc>
          <w:tcPr>
            <w:tcW w:type="dxa" w:w="2280"/>
            <w:shd w:val="clear" w:color="auto" w:fill="D9D9D9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Acciones</w:t>
            </w:r>
          </w:p>
        </w:tc>
        <w:tc>
          <w:tcPr>
            <w:tcW w:type="dxa" w:w="2280"/>
            <w:shd w:val="clear" w:color="auto" w:fill="D9D9D9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Valor</w:t>
            </w:r>
          </w:p>
        </w:tc>
      </w:tr>
      <w:tr>
        <w:tc>
          <w:tcPr>
            <w:tcW w:type="dxa" w:w="4561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Comprobante n.º 001 — Mariana López Castaño</w:t>
            </w:r>
          </w:p>
        </w:tc>
        <w:tc>
          <w:tcPr>
            <w:tcW w:type="dxa" w:w="2280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390.000</w:t>
            </w:r>
          </w:p>
        </w:tc>
        <w:tc>
          <w:tcPr>
            <w:tcW w:type="dxa" w:w="2280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$390.000.000</w:t>
            </w:r>
          </w:p>
        </w:tc>
      </w:tr>
      <w:tr>
        <w:tc>
          <w:tcPr>
            <w:tcW w:type="dxa" w:w="4561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Comprobante n.º 002 — Felipe Andrés Gómez Vélez</w:t>
            </w:r>
          </w:p>
        </w:tc>
        <w:tc>
          <w:tcPr>
            <w:tcW w:type="dxa" w:w="2280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210.000</w:t>
            </w:r>
          </w:p>
        </w:tc>
        <w:tc>
          <w:tcPr>
            <w:tcW w:type="dxa" w:w="2280"/>
          </w:tcPr>
          <w:p>
            <w:pPr>
              <w:spacing w:after="40" w:before="40" w:line="240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$210.000.000</w:t>
            </w:r>
          </w:p>
        </w:tc>
      </w:tr>
      <w:tr>
        <w:tc>
          <w:tcPr>
            <w:tcW w:type="dxa" w:w="4561"/>
            <w:shd w:val="clear" w:color="auto" w:fill="D9D9D9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TOTAL CAPITAL PAGADO</w:t>
            </w:r>
          </w:p>
        </w:tc>
        <w:tc>
          <w:tcPr>
            <w:tcW w:type="dxa" w:w="2280"/>
            <w:shd w:val="clear" w:color="auto" w:fill="D9D9D9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600.000</w:t>
            </w:r>
          </w:p>
        </w:tc>
        <w:tc>
          <w:tcPr>
            <w:tcW w:type="dxa" w:w="2280"/>
            <w:shd w:val="clear" w:color="auto" w:fill="D9D9D9"/>
          </w:tcPr>
          <w:p>
            <w:pPr>
              <w:spacing w:after="40" w:before="4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$600.000.000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701" w:right="1417" w:bottom="1417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555555"/>
        <w:sz w:val="16"/>
      </w:rPr>
      <w:t xml:space="preserve">Títulos de acciones y comprobantes de aporte  |  </w:t>
    </w:r>
    <w:r>
      <w:rPr>
        <w:rFonts w:ascii="Times New Roman" w:hAnsi="Times New Roman"/>
        <w:color w:val="555555"/>
        <w:sz w:val="16"/>
      </w:rPr>
      <w:t xml:space="preserve">Página </w:t>
    </w:r>
    <w:r>
      <w:rPr>
        <w:rFonts w:ascii="Times New Roman" w:hAnsi="Times New Roman"/>
        <w:color w:val="555555"/>
        <w:sz w:val="16"/>
      </w:rPr>
      <w:fldChar w:fldCharType="begin"/>
      <w:instrText xml:space="preserve"> PAGE </w:instrText>
      <w:fldChar w:fldCharType="end"/>
    </w:r>
    <w:r>
      <w:rPr>
        <w:rFonts w:ascii="Times New Roman" w:hAnsi="Times New Roman"/>
        <w:color w:val="555555"/>
        <w:sz w:val="16"/>
      </w:rPr>
      <w:t xml:space="preserve"> de </w:t>
    </w:r>
    <w:r>
      <w:rPr>
        <w:rFonts w:ascii="Times New Roman" w:hAnsi="Times New Roman"/>
        <w:color w:val="555555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4" w:space="1" w:color="AAAAAA"/>
      </w:pBdr>
    </w:pPr>
    <w:r>
      <w:rPr>
        <w:rFonts w:ascii="Times New Roman" w:hAnsi="Times New Roman"/>
        <w:i/>
        <w:color w:val="555555"/>
        <w:sz w:val="16"/>
      </w:rPr>
      <w:t>NOVA BIENESTAR INTEGRAL S.A.S. — Títulos de acciones y comprobantes de aporte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