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2480F" w14:textId="77777777" w:rsidR="0023240D" w:rsidRDefault="0023240D"/>
    <w:p w14:paraId="3733445C" w14:textId="77777777" w:rsidR="0023240D" w:rsidRDefault="0023240D"/>
    <w:p w14:paraId="44D26041" w14:textId="77777777" w:rsidR="0023240D" w:rsidRDefault="0023240D"/>
    <w:p w14:paraId="55C3677E" w14:textId="77777777" w:rsidR="0023240D" w:rsidRDefault="00000000">
      <w:pPr>
        <w:jc w:val="center"/>
      </w:pPr>
      <w:r>
        <w:rPr>
          <w:b/>
          <w:bCs/>
        </w:rPr>
        <w:t>Condiciones escolares de reconocimiento de la lectura: gramáticas escolares y experiencia disléxica desde el pensamiento complejo en aulas híbridas de educación media de Bogotá, Colombia</w:t>
      </w:r>
    </w:p>
    <w:p w14:paraId="44662A5C" w14:textId="77777777" w:rsidR="0023240D" w:rsidRDefault="0023240D"/>
    <w:p w14:paraId="1E73E03E" w14:textId="77777777" w:rsidR="0023240D" w:rsidRDefault="00000000">
      <w:pPr>
        <w:jc w:val="center"/>
      </w:pPr>
      <w:r>
        <w:t>Nombre del autor</w:t>
      </w:r>
    </w:p>
    <w:p w14:paraId="5E6E75AD" w14:textId="77777777" w:rsidR="0023240D" w:rsidRDefault="00000000">
      <w:pPr>
        <w:jc w:val="center"/>
      </w:pPr>
      <w:r>
        <w:t>Programa de Doctorado, Universidad</w:t>
      </w:r>
    </w:p>
    <w:p w14:paraId="4EA54ECE" w14:textId="77777777" w:rsidR="0023240D" w:rsidRDefault="00000000">
      <w:pPr>
        <w:jc w:val="center"/>
      </w:pPr>
      <w:r>
        <w:t>Director de tesis</w:t>
      </w:r>
    </w:p>
    <w:p w14:paraId="36CD1053" w14:textId="77777777" w:rsidR="0023240D" w:rsidRDefault="00000000">
      <w:pPr>
        <w:jc w:val="center"/>
      </w:pPr>
      <w:r>
        <w:t>Agosto de 2026</w:t>
      </w:r>
    </w:p>
    <w:p w14:paraId="73F811AC" w14:textId="77777777" w:rsidR="0023240D" w:rsidRDefault="00000000">
      <w:r>
        <w:br w:type="page"/>
      </w:r>
    </w:p>
    <w:p w14:paraId="0ECAE54E" w14:textId="77777777" w:rsidR="0023240D" w:rsidRDefault="00000000">
      <w:pPr>
        <w:pStyle w:val="Ttulo1"/>
      </w:pPr>
      <w:r>
        <w:lastRenderedPageBreak/>
        <w:t>Resumen</w:t>
      </w:r>
    </w:p>
    <w:p w14:paraId="18CB9184" w14:textId="77777777" w:rsidR="0023240D" w:rsidRDefault="00000000">
      <w:pPr>
        <w:ind w:firstLine="720"/>
        <w:jc w:val="both"/>
      </w:pPr>
      <w:r>
        <w:t>Si la dislexia es una posición dentro del continuo de la habilidad lectora y no una categoría discreta, el corte que la separa de lo esperable no lo traza la naturaleza: lo traza una institución. De esa constatación parte esta investigación, que examina cómo las gramáticas escolares de lectura del aula híbrida y la experiencia lectora de estudiantes de educación media diagnosticados con dislexia se configuran de manera recursiva hasta producir las condiciones desde las cuales la escuela reconoce ciertas formas de leer como lectura. El pensamiento complejo aporta los operadores, recursividad organizacional, dialógica y multidimensionalidad del sujeto, y con ellos un diseño cualitativo de orientación etnográfica y filosófica, articulado como estudio de casos múltiples en instituciones de educación media de Bogotá, D. C., que operan con modalidades híbridas en el área de lenguaje. Observación participante, diario de campo, rejillas de análisis, análisis interpretativo de consignas y entrevista fenomenológica en dos rondas, con triangulación entre fuentes, entre técnicas y entre claves teóricas. Comprender el fenómeno no agota el propósito: el trabajo debe dejar un modelo de análisis de las condiciones escolares de reconocimiento de la lectura, criterios pedagógicos para el diseño de la consigna en entornos mediados por plataformas y un instrumento de autoevaluación institucional, los tres sometidos a validación mediante juicio de expertos y grupo focal con los docentes participantes. El conocimiento así producido será situado, y no autoriza generalizaciones universales sobre la dislexia ni tipologías neurocognitivas cerradas.</w:t>
      </w:r>
    </w:p>
    <w:p w14:paraId="549A46EC" w14:textId="77777777" w:rsidR="0023240D" w:rsidRDefault="00000000">
      <w:pPr>
        <w:ind w:firstLine="720"/>
        <w:jc w:val="both"/>
      </w:pPr>
      <w:r>
        <w:t>Palabras clave: gramáticas escolares de lectura, dislexia, aula híbrida, inteligibilidad pedagógica, pensamiento complejo, educación inclusiva.</w:t>
      </w:r>
    </w:p>
    <w:p w14:paraId="3D9FC0FF" w14:textId="77777777" w:rsidR="0023240D" w:rsidRDefault="00000000">
      <w:r>
        <w:br w:type="page"/>
      </w:r>
    </w:p>
    <w:p w14:paraId="34BBDABE" w14:textId="77777777" w:rsidR="0023240D" w:rsidRDefault="00000000">
      <w:pPr>
        <w:pStyle w:val="Ttulo1"/>
      </w:pPr>
      <w:r>
        <w:lastRenderedPageBreak/>
        <w:t>Tabla de contenido</w:t>
      </w:r>
    </w:p>
    <w:p w14:paraId="25C37847" w14:textId="77777777" w:rsidR="0023240D" w:rsidRDefault="00000000">
      <w:pPr>
        <w:tabs>
          <w:tab w:val="right" w:leader="dot" w:pos="9360"/>
        </w:tabs>
      </w:pPr>
      <w:r>
        <w:rPr>
          <w:b/>
          <w:bCs/>
        </w:rPr>
        <w:t>Resumen</w:t>
      </w:r>
      <w:r>
        <w:rPr>
          <w:b/>
          <w:bCs/>
        </w:rPr>
        <w:tab/>
        <w:t>2</w:t>
      </w:r>
    </w:p>
    <w:p w14:paraId="56E9F9AF" w14:textId="77777777" w:rsidR="0023240D" w:rsidRDefault="00000000">
      <w:pPr>
        <w:tabs>
          <w:tab w:val="right" w:leader="dot" w:pos="9360"/>
        </w:tabs>
      </w:pPr>
      <w:r>
        <w:rPr>
          <w:b/>
          <w:bCs/>
        </w:rPr>
        <w:t>1. Introducción</w:t>
      </w:r>
      <w:r>
        <w:rPr>
          <w:b/>
          <w:bCs/>
        </w:rPr>
        <w:tab/>
        <w:t>5</w:t>
      </w:r>
    </w:p>
    <w:p w14:paraId="691C89C3" w14:textId="77777777" w:rsidR="0023240D" w:rsidRDefault="00000000">
      <w:pPr>
        <w:tabs>
          <w:tab w:val="right" w:leader="dot" w:pos="9360"/>
        </w:tabs>
        <w:ind w:left="431"/>
      </w:pPr>
      <w:r>
        <w:t>1.1. Contexto general del tema</w:t>
      </w:r>
      <w:r>
        <w:tab/>
        <w:t>5</w:t>
      </w:r>
    </w:p>
    <w:p w14:paraId="06DDD9DB" w14:textId="77777777" w:rsidR="0023240D" w:rsidRDefault="00000000">
      <w:pPr>
        <w:tabs>
          <w:tab w:val="right" w:leader="dot" w:pos="9360"/>
        </w:tabs>
        <w:ind w:left="431"/>
      </w:pPr>
      <w:r>
        <w:t>1.2. Importancia del fenómeno a investigar</w:t>
      </w:r>
      <w:r>
        <w:tab/>
        <w:t>5</w:t>
      </w:r>
    </w:p>
    <w:p w14:paraId="07FB5C23" w14:textId="77777777" w:rsidR="0023240D" w:rsidRDefault="00000000">
      <w:pPr>
        <w:tabs>
          <w:tab w:val="right" w:leader="dot" w:pos="9360"/>
        </w:tabs>
        <w:ind w:left="431"/>
      </w:pPr>
      <w:r>
        <w:t>1.3. Enlace inicial con el pensamiento complejo</w:t>
      </w:r>
      <w:r>
        <w:tab/>
        <w:t>6</w:t>
      </w:r>
    </w:p>
    <w:p w14:paraId="510A5952" w14:textId="77777777" w:rsidR="0023240D" w:rsidRDefault="00000000">
      <w:pPr>
        <w:tabs>
          <w:tab w:val="right" w:leader="dot" w:pos="9360"/>
        </w:tabs>
      </w:pPr>
      <w:r>
        <w:rPr>
          <w:b/>
          <w:bCs/>
        </w:rPr>
        <w:t>2. Planteamiento del problema</w:t>
      </w:r>
      <w:r>
        <w:rPr>
          <w:b/>
          <w:bCs/>
        </w:rPr>
        <w:tab/>
        <w:t>7</w:t>
      </w:r>
    </w:p>
    <w:p w14:paraId="151177E2" w14:textId="77777777" w:rsidR="0023240D" w:rsidRDefault="00000000">
      <w:pPr>
        <w:tabs>
          <w:tab w:val="right" w:leader="dot" w:pos="9360"/>
        </w:tabs>
        <w:ind w:left="431"/>
      </w:pPr>
      <w:r>
        <w:t>2.1. Descripción clara del problema</w:t>
      </w:r>
      <w:r>
        <w:tab/>
        <w:t>7</w:t>
      </w:r>
    </w:p>
    <w:p w14:paraId="5A30CB74" w14:textId="77777777" w:rsidR="0023240D" w:rsidRDefault="00000000">
      <w:pPr>
        <w:tabs>
          <w:tab w:val="right" w:leader="dot" w:pos="9360"/>
        </w:tabs>
        <w:ind w:left="431"/>
      </w:pPr>
      <w:r>
        <w:t>2.2. Manifestaciones del problema en el contexto del aula híbrida</w:t>
      </w:r>
      <w:r>
        <w:tab/>
        <w:t>7</w:t>
      </w:r>
    </w:p>
    <w:p w14:paraId="1CF9FD61" w14:textId="77777777" w:rsidR="0023240D" w:rsidRDefault="00000000">
      <w:pPr>
        <w:tabs>
          <w:tab w:val="right" w:leader="dot" w:pos="9360"/>
        </w:tabs>
        <w:ind w:left="431"/>
      </w:pPr>
      <w:r>
        <w:t>2.3. El problema como sistema problemático: tensiones, bucles y contradicciones</w:t>
      </w:r>
      <w:r>
        <w:tab/>
        <w:t>8</w:t>
      </w:r>
    </w:p>
    <w:p w14:paraId="3D7A3CB8" w14:textId="77777777" w:rsidR="0023240D" w:rsidRDefault="00000000">
      <w:pPr>
        <w:tabs>
          <w:tab w:val="right" w:leader="dot" w:pos="9360"/>
        </w:tabs>
        <w:ind w:left="431"/>
      </w:pPr>
      <w:r>
        <w:t>2.4. Consecuencias de no intervenir o comprender el fenómeno</w:t>
      </w:r>
      <w:r>
        <w:tab/>
        <w:t>8</w:t>
      </w:r>
    </w:p>
    <w:p w14:paraId="15782774" w14:textId="77777777" w:rsidR="0023240D" w:rsidRDefault="00000000">
      <w:pPr>
        <w:tabs>
          <w:tab w:val="right" w:leader="dot" w:pos="9360"/>
        </w:tabs>
      </w:pPr>
      <w:r>
        <w:rPr>
          <w:b/>
          <w:bCs/>
        </w:rPr>
        <w:t>3. Balance bibliográfico</w:t>
      </w:r>
      <w:r>
        <w:rPr>
          <w:b/>
          <w:bCs/>
        </w:rPr>
        <w:tab/>
        <w:t>10</w:t>
      </w:r>
    </w:p>
    <w:p w14:paraId="3D8E40FE" w14:textId="77777777" w:rsidR="0023240D" w:rsidRDefault="00000000">
      <w:pPr>
        <w:tabs>
          <w:tab w:val="right" w:leader="dot" w:pos="9360"/>
        </w:tabs>
        <w:ind w:left="431"/>
      </w:pPr>
      <w:r>
        <w:t>3.1. Delimitación del tema</w:t>
      </w:r>
      <w:r>
        <w:tab/>
        <w:t>10</w:t>
      </w:r>
    </w:p>
    <w:p w14:paraId="15601E6D" w14:textId="77777777" w:rsidR="0023240D" w:rsidRDefault="00000000">
      <w:pPr>
        <w:tabs>
          <w:tab w:val="right" w:leader="dot" w:pos="9360"/>
        </w:tabs>
        <w:ind w:left="431"/>
      </w:pPr>
      <w:r>
        <w:t>3.2. Principales enfoques teóricos</w:t>
      </w:r>
      <w:r>
        <w:tab/>
        <w:t>10</w:t>
      </w:r>
    </w:p>
    <w:p w14:paraId="237C0062" w14:textId="77777777" w:rsidR="0023240D" w:rsidRDefault="00000000">
      <w:pPr>
        <w:tabs>
          <w:tab w:val="right" w:leader="dot" w:pos="9360"/>
        </w:tabs>
        <w:ind w:left="431"/>
      </w:pPr>
      <w:r>
        <w:t>3.3. Autores y referentes clave</w:t>
      </w:r>
      <w:r>
        <w:tab/>
        <w:t>11</w:t>
      </w:r>
    </w:p>
    <w:p w14:paraId="67277FB3" w14:textId="77777777" w:rsidR="0023240D" w:rsidRDefault="00000000">
      <w:pPr>
        <w:tabs>
          <w:tab w:val="right" w:leader="dot" w:pos="9360"/>
        </w:tabs>
        <w:ind w:left="431"/>
      </w:pPr>
      <w:r>
        <w:t>3.4. Tendencias de investigación</w:t>
      </w:r>
      <w:r>
        <w:tab/>
        <w:t>11</w:t>
      </w:r>
    </w:p>
    <w:p w14:paraId="715AD688" w14:textId="77777777" w:rsidR="0023240D" w:rsidRDefault="00000000">
      <w:pPr>
        <w:tabs>
          <w:tab w:val="right" w:leader="dot" w:pos="9360"/>
        </w:tabs>
        <w:ind w:left="431"/>
      </w:pPr>
      <w:r>
        <w:t>3.5. Vacíos de conocimiento</w:t>
      </w:r>
      <w:r>
        <w:tab/>
        <w:t>12</w:t>
      </w:r>
    </w:p>
    <w:p w14:paraId="44E51DCF" w14:textId="77777777" w:rsidR="0023240D" w:rsidRDefault="00000000">
      <w:pPr>
        <w:tabs>
          <w:tab w:val="right" w:leader="dot" w:pos="9360"/>
        </w:tabs>
        <w:ind w:left="431"/>
      </w:pPr>
      <w:r>
        <w:t>3.6. Tensiones conceptuales</w:t>
      </w:r>
      <w:r>
        <w:tab/>
        <w:t>12</w:t>
      </w:r>
    </w:p>
    <w:p w14:paraId="24B57886" w14:textId="77777777" w:rsidR="0023240D" w:rsidRDefault="00000000">
      <w:pPr>
        <w:tabs>
          <w:tab w:val="right" w:leader="dot" w:pos="9360"/>
        </w:tabs>
        <w:ind w:left="431"/>
      </w:pPr>
      <w:r>
        <w:t>3.7. Límites metodológicos del campo</w:t>
      </w:r>
      <w:r>
        <w:tab/>
        <w:t>12</w:t>
      </w:r>
    </w:p>
    <w:p w14:paraId="60DD7CDA" w14:textId="77777777" w:rsidR="0023240D" w:rsidRDefault="00000000">
      <w:pPr>
        <w:tabs>
          <w:tab w:val="right" w:leader="dot" w:pos="9360"/>
        </w:tabs>
        <w:ind w:left="431"/>
      </w:pPr>
      <w:r>
        <w:t>3.8. Justificación del estudio propio</w:t>
      </w:r>
      <w:r>
        <w:tab/>
        <w:t>13</w:t>
      </w:r>
    </w:p>
    <w:p w14:paraId="2C0B9EAC" w14:textId="77777777" w:rsidR="0023240D" w:rsidRDefault="00000000">
      <w:pPr>
        <w:tabs>
          <w:tab w:val="right" w:leader="dot" w:pos="9360"/>
        </w:tabs>
      </w:pPr>
      <w:r>
        <w:rPr>
          <w:b/>
          <w:bCs/>
        </w:rPr>
        <w:t>4. Pregunta de investigación</w:t>
      </w:r>
      <w:r>
        <w:rPr>
          <w:b/>
          <w:bCs/>
        </w:rPr>
        <w:tab/>
        <w:t>14</w:t>
      </w:r>
    </w:p>
    <w:p w14:paraId="54D30067" w14:textId="77777777" w:rsidR="0023240D" w:rsidRDefault="00000000">
      <w:pPr>
        <w:tabs>
          <w:tab w:val="right" w:leader="dot" w:pos="9360"/>
        </w:tabs>
        <w:ind w:left="431"/>
      </w:pPr>
      <w:r>
        <w:t>4.1. Formulación</w:t>
      </w:r>
      <w:r>
        <w:tab/>
        <w:t>14</w:t>
      </w:r>
    </w:p>
    <w:p w14:paraId="3DC35A0B" w14:textId="77777777" w:rsidR="0023240D" w:rsidRDefault="00000000">
      <w:pPr>
        <w:tabs>
          <w:tab w:val="right" w:leader="dot" w:pos="9360"/>
        </w:tabs>
        <w:ind w:left="431"/>
      </w:pPr>
      <w:r>
        <w:t>4.2. Preguntas orientadoras</w:t>
      </w:r>
      <w:r>
        <w:tab/>
        <w:t>14</w:t>
      </w:r>
    </w:p>
    <w:p w14:paraId="0A621DAF" w14:textId="77777777" w:rsidR="0023240D" w:rsidRDefault="00000000">
      <w:pPr>
        <w:tabs>
          <w:tab w:val="right" w:leader="dot" w:pos="9360"/>
        </w:tabs>
      </w:pPr>
      <w:r>
        <w:rPr>
          <w:b/>
          <w:bCs/>
        </w:rPr>
        <w:t>5. Justificación</w:t>
      </w:r>
      <w:r>
        <w:rPr>
          <w:b/>
          <w:bCs/>
        </w:rPr>
        <w:tab/>
        <w:t>15</w:t>
      </w:r>
    </w:p>
    <w:p w14:paraId="71197333" w14:textId="77777777" w:rsidR="0023240D" w:rsidRDefault="00000000">
      <w:pPr>
        <w:tabs>
          <w:tab w:val="right" w:leader="dot" w:pos="9360"/>
        </w:tabs>
        <w:ind w:left="431"/>
      </w:pPr>
      <w:r>
        <w:t>5.1. Dimensión teórica: aportes al conocimiento</w:t>
      </w:r>
      <w:r>
        <w:tab/>
        <w:t>15</w:t>
      </w:r>
    </w:p>
    <w:p w14:paraId="7865674E" w14:textId="77777777" w:rsidR="0023240D" w:rsidRDefault="00000000">
      <w:pPr>
        <w:tabs>
          <w:tab w:val="right" w:leader="dot" w:pos="9360"/>
        </w:tabs>
        <w:ind w:left="431"/>
      </w:pPr>
      <w:r>
        <w:t>5.2. Dimensión práctica: utilidad en contextos reales</w:t>
      </w:r>
      <w:r>
        <w:tab/>
        <w:t>15</w:t>
      </w:r>
    </w:p>
    <w:p w14:paraId="65391E3C" w14:textId="77777777" w:rsidR="0023240D" w:rsidRDefault="00000000">
      <w:pPr>
        <w:tabs>
          <w:tab w:val="right" w:leader="dot" w:pos="9360"/>
        </w:tabs>
        <w:ind w:left="431"/>
      </w:pPr>
      <w:r>
        <w:t>5.3. Dimensión social y educativa: impacto en comunidades e instituciones</w:t>
      </w:r>
      <w:r>
        <w:tab/>
        <w:t>15</w:t>
      </w:r>
    </w:p>
    <w:p w14:paraId="5B49CA39" w14:textId="77777777" w:rsidR="0023240D" w:rsidRDefault="00000000">
      <w:pPr>
        <w:tabs>
          <w:tab w:val="right" w:leader="dot" w:pos="9360"/>
        </w:tabs>
        <w:ind w:left="431"/>
      </w:pPr>
      <w:r>
        <w:t>5.4. Carácter situado del conocimiento producido</w:t>
      </w:r>
      <w:r>
        <w:tab/>
        <w:t>15</w:t>
      </w:r>
    </w:p>
    <w:p w14:paraId="38DFD229" w14:textId="77777777" w:rsidR="0023240D" w:rsidRDefault="00000000">
      <w:pPr>
        <w:tabs>
          <w:tab w:val="right" w:leader="dot" w:pos="9360"/>
        </w:tabs>
      </w:pPr>
      <w:r>
        <w:rPr>
          <w:b/>
          <w:bCs/>
        </w:rPr>
        <w:t>6. Objetivos</w:t>
      </w:r>
      <w:r>
        <w:rPr>
          <w:b/>
          <w:bCs/>
        </w:rPr>
        <w:tab/>
        <w:t>16</w:t>
      </w:r>
    </w:p>
    <w:p w14:paraId="7D8E467B" w14:textId="77777777" w:rsidR="0023240D" w:rsidRDefault="00000000">
      <w:pPr>
        <w:tabs>
          <w:tab w:val="right" w:leader="dot" w:pos="9360"/>
        </w:tabs>
        <w:ind w:left="431"/>
      </w:pPr>
      <w:r>
        <w:t>6.1. Objetivo general</w:t>
      </w:r>
      <w:r>
        <w:tab/>
        <w:t>16</w:t>
      </w:r>
    </w:p>
    <w:p w14:paraId="5632E9D9" w14:textId="77777777" w:rsidR="0023240D" w:rsidRDefault="00000000">
      <w:pPr>
        <w:tabs>
          <w:tab w:val="right" w:leader="dot" w:pos="9360"/>
        </w:tabs>
        <w:ind w:left="431"/>
      </w:pPr>
      <w:r>
        <w:t>6.2. Objetivos específicos</w:t>
      </w:r>
      <w:r>
        <w:tab/>
        <w:t>16</w:t>
      </w:r>
    </w:p>
    <w:p w14:paraId="7A420BC3" w14:textId="77777777" w:rsidR="0023240D" w:rsidRDefault="00000000">
      <w:pPr>
        <w:tabs>
          <w:tab w:val="right" w:leader="dot" w:pos="9360"/>
        </w:tabs>
      </w:pPr>
      <w:r>
        <w:rPr>
          <w:b/>
          <w:bCs/>
        </w:rPr>
        <w:t>7. Marco teórico-conceptual</w:t>
      </w:r>
      <w:r>
        <w:rPr>
          <w:b/>
          <w:bCs/>
        </w:rPr>
        <w:tab/>
        <w:t>17</w:t>
      </w:r>
    </w:p>
    <w:p w14:paraId="52CA2130" w14:textId="77777777" w:rsidR="0023240D" w:rsidRDefault="00000000">
      <w:pPr>
        <w:tabs>
          <w:tab w:val="right" w:leader="dot" w:pos="9360"/>
        </w:tabs>
        <w:ind w:left="431"/>
      </w:pPr>
      <w:r>
        <w:t>7.1. El pensamiento complejo como matriz epistemológica</w:t>
      </w:r>
      <w:r>
        <w:tab/>
        <w:t>17</w:t>
      </w:r>
    </w:p>
    <w:p w14:paraId="2F681743" w14:textId="77777777" w:rsidR="0023240D" w:rsidRDefault="00000000">
      <w:pPr>
        <w:tabs>
          <w:tab w:val="right" w:leader="dot" w:pos="9360"/>
        </w:tabs>
        <w:ind w:left="431"/>
      </w:pPr>
      <w:r>
        <w:t>7.2. Inteligibilidad pedagógica y condiciones de reconocimiento de la lectura</w:t>
      </w:r>
      <w:r>
        <w:tab/>
        <w:t>17</w:t>
      </w:r>
    </w:p>
    <w:p w14:paraId="47514399" w14:textId="77777777" w:rsidR="0023240D" w:rsidRDefault="00000000">
      <w:pPr>
        <w:tabs>
          <w:tab w:val="right" w:leader="dot" w:pos="9360"/>
        </w:tabs>
        <w:ind w:left="431"/>
      </w:pPr>
      <w:r>
        <w:t>7.3. Gramáticas escolares de lectura</w:t>
      </w:r>
      <w:r>
        <w:tab/>
        <w:t>17</w:t>
      </w:r>
    </w:p>
    <w:p w14:paraId="139B31C1" w14:textId="77777777" w:rsidR="0023240D" w:rsidRDefault="00000000">
      <w:pPr>
        <w:tabs>
          <w:tab w:val="right" w:leader="dot" w:pos="9360"/>
        </w:tabs>
        <w:ind w:left="431"/>
      </w:pPr>
      <w:r>
        <w:t xml:space="preserve">7.4. Cuerpo, percepción y cognición </w:t>
      </w:r>
      <w:proofErr w:type="spellStart"/>
      <w:r>
        <w:t>enactiva</w:t>
      </w:r>
      <w:proofErr w:type="spellEnd"/>
      <w:r>
        <w:tab/>
        <w:t>18</w:t>
      </w:r>
    </w:p>
    <w:p w14:paraId="43D0858A" w14:textId="77777777" w:rsidR="0023240D" w:rsidRDefault="00000000">
      <w:pPr>
        <w:tabs>
          <w:tab w:val="right" w:leader="dot" w:pos="9360"/>
        </w:tabs>
        <w:ind w:left="431"/>
      </w:pPr>
      <w:r>
        <w:t>7.5. El aula híbrida como ecología de la consigna</w:t>
      </w:r>
      <w:r>
        <w:tab/>
        <w:t>18</w:t>
      </w:r>
    </w:p>
    <w:p w14:paraId="319FE377" w14:textId="77777777" w:rsidR="0023240D" w:rsidRDefault="00000000">
      <w:pPr>
        <w:tabs>
          <w:tab w:val="right" w:leader="dot" w:pos="9360"/>
        </w:tabs>
        <w:ind w:left="431"/>
      </w:pPr>
      <w:r>
        <w:t>7.6. Educación inclusiva, diseño universal y marco normativo colombiano</w:t>
      </w:r>
      <w:r>
        <w:tab/>
        <w:t>18</w:t>
      </w:r>
    </w:p>
    <w:p w14:paraId="5DE60806" w14:textId="77777777" w:rsidR="0023240D" w:rsidRDefault="00000000">
      <w:pPr>
        <w:tabs>
          <w:tab w:val="right" w:leader="dot" w:pos="9360"/>
        </w:tabs>
        <w:ind w:left="431"/>
      </w:pPr>
      <w:r>
        <w:t>7.7. Articulación teórica y relación con el objeto de estudio</w:t>
      </w:r>
      <w:r>
        <w:tab/>
        <w:t>18</w:t>
      </w:r>
    </w:p>
    <w:p w14:paraId="5CCEA612" w14:textId="77777777" w:rsidR="0023240D" w:rsidRDefault="00000000">
      <w:pPr>
        <w:tabs>
          <w:tab w:val="right" w:leader="dot" w:pos="9360"/>
        </w:tabs>
      </w:pPr>
      <w:r>
        <w:rPr>
          <w:b/>
          <w:bCs/>
        </w:rPr>
        <w:t>8. Hipótesis de trabajo y categorías iniciales</w:t>
      </w:r>
      <w:r>
        <w:rPr>
          <w:b/>
          <w:bCs/>
        </w:rPr>
        <w:tab/>
        <w:t>20</w:t>
      </w:r>
    </w:p>
    <w:p w14:paraId="7EC5DCD9" w14:textId="77777777" w:rsidR="0023240D" w:rsidRDefault="00000000">
      <w:pPr>
        <w:tabs>
          <w:tab w:val="right" w:leader="dot" w:pos="9360"/>
        </w:tabs>
        <w:ind w:left="431"/>
      </w:pPr>
      <w:r>
        <w:t>8.1. Hipótesis de trabajo</w:t>
      </w:r>
      <w:r>
        <w:tab/>
        <w:t>20</w:t>
      </w:r>
    </w:p>
    <w:p w14:paraId="07B668A5" w14:textId="77777777" w:rsidR="0023240D" w:rsidRDefault="00000000">
      <w:pPr>
        <w:tabs>
          <w:tab w:val="right" w:leader="dot" w:pos="9360"/>
        </w:tabs>
        <w:ind w:left="431"/>
      </w:pPr>
      <w:r>
        <w:t>8.2. Supuestos derivados</w:t>
      </w:r>
      <w:r>
        <w:tab/>
        <w:t>20</w:t>
      </w:r>
    </w:p>
    <w:p w14:paraId="7BD9467F" w14:textId="77777777" w:rsidR="0023240D" w:rsidRDefault="00000000">
      <w:pPr>
        <w:tabs>
          <w:tab w:val="right" w:leader="dot" w:pos="9360"/>
        </w:tabs>
        <w:ind w:left="431"/>
      </w:pPr>
      <w:r>
        <w:t>8.3. Categorías iniciales de análisis</w:t>
      </w:r>
      <w:r>
        <w:tab/>
        <w:t>20</w:t>
      </w:r>
    </w:p>
    <w:p w14:paraId="59727E0E" w14:textId="77777777" w:rsidR="0023240D" w:rsidRDefault="00000000">
      <w:pPr>
        <w:tabs>
          <w:tab w:val="right" w:leader="dot" w:pos="9360"/>
        </w:tabs>
      </w:pPr>
      <w:r>
        <w:rPr>
          <w:b/>
          <w:bCs/>
        </w:rPr>
        <w:t>9. Diseño metodológico y técnicas de investigación</w:t>
      </w:r>
      <w:r>
        <w:rPr>
          <w:b/>
          <w:bCs/>
        </w:rPr>
        <w:tab/>
        <w:t>21</w:t>
      </w:r>
    </w:p>
    <w:p w14:paraId="185ACC1C" w14:textId="77777777" w:rsidR="0023240D" w:rsidRDefault="00000000">
      <w:pPr>
        <w:tabs>
          <w:tab w:val="right" w:leader="dot" w:pos="9360"/>
        </w:tabs>
        <w:ind w:left="431"/>
      </w:pPr>
      <w:r>
        <w:t>9.1. Enfoque metodológico</w:t>
      </w:r>
      <w:r>
        <w:tab/>
        <w:t>21</w:t>
      </w:r>
    </w:p>
    <w:p w14:paraId="6E550CA9" w14:textId="77777777" w:rsidR="0023240D" w:rsidRDefault="00000000">
      <w:pPr>
        <w:tabs>
          <w:tab w:val="right" w:leader="dot" w:pos="9360"/>
        </w:tabs>
        <w:ind w:left="431"/>
      </w:pPr>
      <w:r>
        <w:t>9.2. Tipo de estudio</w:t>
      </w:r>
      <w:r>
        <w:tab/>
        <w:t>21</w:t>
      </w:r>
    </w:p>
    <w:p w14:paraId="4FD39BF7" w14:textId="77777777" w:rsidR="0023240D" w:rsidRDefault="00000000">
      <w:pPr>
        <w:tabs>
          <w:tab w:val="right" w:leader="dot" w:pos="9360"/>
        </w:tabs>
        <w:ind w:left="431"/>
      </w:pPr>
      <w:r>
        <w:lastRenderedPageBreak/>
        <w:t>9.3. Contexto, población y muestra</w:t>
      </w:r>
      <w:r>
        <w:tab/>
        <w:t>21</w:t>
      </w:r>
    </w:p>
    <w:p w14:paraId="04133437" w14:textId="77777777" w:rsidR="0023240D" w:rsidRDefault="00000000">
      <w:pPr>
        <w:tabs>
          <w:tab w:val="right" w:leader="dot" w:pos="9360"/>
        </w:tabs>
        <w:ind w:left="431"/>
      </w:pPr>
      <w:r>
        <w:t>9.4. Técnicas e instrumentos</w:t>
      </w:r>
      <w:r>
        <w:tab/>
        <w:t>22</w:t>
      </w:r>
    </w:p>
    <w:p w14:paraId="6FC6E184" w14:textId="77777777" w:rsidR="0023240D" w:rsidRDefault="00000000">
      <w:pPr>
        <w:tabs>
          <w:tab w:val="right" w:leader="dot" w:pos="9360"/>
        </w:tabs>
        <w:ind w:left="431"/>
      </w:pPr>
      <w:r>
        <w:t>9.5. Matriz de coherencia</w:t>
      </w:r>
      <w:r>
        <w:tab/>
        <w:t>22</w:t>
      </w:r>
    </w:p>
    <w:p w14:paraId="3BC6865B" w14:textId="77777777" w:rsidR="0023240D" w:rsidRDefault="00000000">
      <w:pPr>
        <w:tabs>
          <w:tab w:val="right" w:leader="dot" w:pos="9360"/>
        </w:tabs>
        <w:ind w:left="431"/>
      </w:pPr>
      <w:r>
        <w:t>9.6. Plan de análisis de la información</w:t>
      </w:r>
      <w:r>
        <w:tab/>
        <w:t>23</w:t>
      </w:r>
    </w:p>
    <w:p w14:paraId="4A1D1F35" w14:textId="77777777" w:rsidR="0023240D" w:rsidRDefault="00000000">
      <w:pPr>
        <w:tabs>
          <w:tab w:val="right" w:leader="dot" w:pos="9360"/>
        </w:tabs>
        <w:ind w:left="431"/>
      </w:pPr>
      <w:r>
        <w:t>9.7. Vigilancia epistemológica y estatuto de la evidencia</w:t>
      </w:r>
      <w:r>
        <w:tab/>
        <w:t>23</w:t>
      </w:r>
    </w:p>
    <w:p w14:paraId="5A431F66" w14:textId="77777777" w:rsidR="0023240D" w:rsidRDefault="00000000">
      <w:pPr>
        <w:tabs>
          <w:tab w:val="right" w:leader="dot" w:pos="9360"/>
        </w:tabs>
        <w:ind w:left="431"/>
      </w:pPr>
      <w:r>
        <w:t>9.8. Criterios de rigor</w:t>
      </w:r>
      <w:r>
        <w:tab/>
        <w:t>23</w:t>
      </w:r>
    </w:p>
    <w:p w14:paraId="5C188284" w14:textId="77777777" w:rsidR="0023240D" w:rsidRDefault="00000000">
      <w:pPr>
        <w:tabs>
          <w:tab w:val="right" w:leader="dot" w:pos="9360"/>
        </w:tabs>
        <w:ind w:left="431"/>
      </w:pPr>
      <w:r>
        <w:t>9.9. Flexibilidad y adaptación del diseño</w:t>
      </w:r>
      <w:r>
        <w:tab/>
        <w:t>24</w:t>
      </w:r>
    </w:p>
    <w:p w14:paraId="3353E276" w14:textId="77777777" w:rsidR="0023240D" w:rsidRDefault="00000000">
      <w:pPr>
        <w:tabs>
          <w:tab w:val="right" w:leader="dot" w:pos="9360"/>
        </w:tabs>
        <w:ind w:left="431"/>
      </w:pPr>
      <w:r>
        <w:t>9.10. Consideraciones éticas</w:t>
      </w:r>
      <w:r>
        <w:tab/>
        <w:t>24</w:t>
      </w:r>
    </w:p>
    <w:p w14:paraId="3423A0E9" w14:textId="77777777" w:rsidR="0023240D" w:rsidRDefault="00000000">
      <w:pPr>
        <w:tabs>
          <w:tab w:val="right" w:leader="dot" w:pos="9360"/>
        </w:tabs>
      </w:pPr>
      <w:r>
        <w:rPr>
          <w:b/>
          <w:bCs/>
        </w:rPr>
        <w:t>10. Propuesta y desarrollo</w:t>
      </w:r>
      <w:r>
        <w:rPr>
          <w:b/>
          <w:bCs/>
        </w:rPr>
        <w:tab/>
        <w:t>25</w:t>
      </w:r>
    </w:p>
    <w:p w14:paraId="55E0CE87" w14:textId="77777777" w:rsidR="0023240D" w:rsidRDefault="00000000">
      <w:pPr>
        <w:tabs>
          <w:tab w:val="right" w:leader="dot" w:pos="9360"/>
        </w:tabs>
        <w:ind w:left="431"/>
      </w:pPr>
      <w:r>
        <w:t>10.1. Naturaleza de la propuesta</w:t>
      </w:r>
      <w:r>
        <w:tab/>
        <w:t>25</w:t>
      </w:r>
    </w:p>
    <w:p w14:paraId="2C60009D" w14:textId="77777777" w:rsidR="0023240D" w:rsidRDefault="00000000">
      <w:pPr>
        <w:tabs>
          <w:tab w:val="right" w:leader="dot" w:pos="9360"/>
        </w:tabs>
        <w:ind w:left="431"/>
      </w:pPr>
      <w:r>
        <w:t>10.2. Arquitectura del modelo de análisis</w:t>
      </w:r>
      <w:r>
        <w:tab/>
        <w:t>25</w:t>
      </w:r>
    </w:p>
    <w:p w14:paraId="7A044C44" w14:textId="77777777" w:rsidR="0023240D" w:rsidRDefault="00000000">
      <w:pPr>
        <w:tabs>
          <w:tab w:val="right" w:leader="dot" w:pos="9360"/>
        </w:tabs>
        <w:ind w:left="431"/>
      </w:pPr>
      <w:r>
        <w:t>10.3. Criterios pedagógicos derivados</w:t>
      </w:r>
      <w:r>
        <w:tab/>
        <w:t>25</w:t>
      </w:r>
    </w:p>
    <w:p w14:paraId="11EEC69D" w14:textId="77777777" w:rsidR="0023240D" w:rsidRDefault="00000000">
      <w:pPr>
        <w:tabs>
          <w:tab w:val="right" w:leader="dot" w:pos="9360"/>
        </w:tabs>
        <w:ind w:left="431"/>
      </w:pPr>
      <w:r>
        <w:t>10.4. Instrumento de autoevaluación institucional</w:t>
      </w:r>
      <w:r>
        <w:tab/>
        <w:t>25</w:t>
      </w:r>
    </w:p>
    <w:p w14:paraId="10463CE5" w14:textId="77777777" w:rsidR="0023240D" w:rsidRDefault="00000000">
      <w:pPr>
        <w:tabs>
          <w:tab w:val="right" w:leader="dot" w:pos="9360"/>
        </w:tabs>
        <w:ind w:left="431"/>
      </w:pPr>
      <w:r>
        <w:t>10.5. Ruta de construcción y validación</w:t>
      </w:r>
      <w:r>
        <w:tab/>
        <w:t>25</w:t>
      </w:r>
    </w:p>
    <w:p w14:paraId="719AD815" w14:textId="77777777" w:rsidR="0023240D" w:rsidRDefault="00000000">
      <w:pPr>
        <w:tabs>
          <w:tab w:val="right" w:leader="dot" w:pos="9360"/>
        </w:tabs>
      </w:pPr>
      <w:r>
        <w:rPr>
          <w:b/>
          <w:bCs/>
        </w:rPr>
        <w:t>11. Alcances esperados</w:t>
      </w:r>
      <w:r>
        <w:rPr>
          <w:b/>
          <w:bCs/>
        </w:rPr>
        <w:tab/>
        <w:t>26</w:t>
      </w:r>
    </w:p>
    <w:p w14:paraId="5C6094FD" w14:textId="77777777" w:rsidR="0023240D" w:rsidRDefault="00000000">
      <w:pPr>
        <w:tabs>
          <w:tab w:val="right" w:leader="dot" w:pos="9360"/>
        </w:tabs>
        <w:ind w:left="431"/>
      </w:pPr>
      <w:r>
        <w:t>11.1. Aportes al conocimiento</w:t>
      </w:r>
      <w:r>
        <w:tab/>
        <w:t>26</w:t>
      </w:r>
    </w:p>
    <w:p w14:paraId="00409564" w14:textId="77777777" w:rsidR="0023240D" w:rsidRDefault="00000000">
      <w:pPr>
        <w:tabs>
          <w:tab w:val="right" w:leader="dot" w:pos="9360"/>
        </w:tabs>
        <w:ind w:left="431"/>
      </w:pPr>
      <w:r>
        <w:t>11.2. Transformaciones posibles en el contexto</w:t>
      </w:r>
      <w:r>
        <w:tab/>
        <w:t>26</w:t>
      </w:r>
    </w:p>
    <w:p w14:paraId="48AFCAE2" w14:textId="77777777" w:rsidR="0023240D" w:rsidRDefault="00000000">
      <w:pPr>
        <w:tabs>
          <w:tab w:val="right" w:leader="dot" w:pos="9360"/>
        </w:tabs>
        <w:ind w:left="431"/>
      </w:pPr>
      <w:r>
        <w:t>11.3. Límites del estudio</w:t>
      </w:r>
      <w:r>
        <w:tab/>
        <w:t>26</w:t>
      </w:r>
    </w:p>
    <w:p w14:paraId="1B072ABB" w14:textId="77777777" w:rsidR="0023240D" w:rsidRDefault="00000000">
      <w:pPr>
        <w:tabs>
          <w:tab w:val="right" w:leader="dot" w:pos="9360"/>
        </w:tabs>
      </w:pPr>
      <w:r>
        <w:rPr>
          <w:b/>
          <w:bCs/>
        </w:rPr>
        <w:t>12. Conclusiones provisionales</w:t>
      </w:r>
      <w:r>
        <w:rPr>
          <w:b/>
          <w:bCs/>
        </w:rPr>
        <w:tab/>
        <w:t>27</w:t>
      </w:r>
    </w:p>
    <w:p w14:paraId="7CFEF5A3" w14:textId="77777777" w:rsidR="0023240D" w:rsidRDefault="00000000">
      <w:pPr>
        <w:tabs>
          <w:tab w:val="right" w:leader="dot" w:pos="9360"/>
        </w:tabs>
      </w:pPr>
      <w:r>
        <w:rPr>
          <w:b/>
          <w:bCs/>
        </w:rPr>
        <w:t>13. Cronograma</w:t>
      </w:r>
      <w:r>
        <w:rPr>
          <w:b/>
          <w:bCs/>
        </w:rPr>
        <w:tab/>
        <w:t>27</w:t>
      </w:r>
    </w:p>
    <w:p w14:paraId="5C2266C6" w14:textId="77777777" w:rsidR="0023240D" w:rsidRDefault="00000000">
      <w:pPr>
        <w:tabs>
          <w:tab w:val="right" w:leader="dot" w:pos="9360"/>
        </w:tabs>
      </w:pPr>
      <w:r>
        <w:rPr>
          <w:b/>
          <w:bCs/>
        </w:rPr>
        <w:t>Referencias</w:t>
      </w:r>
      <w:r>
        <w:rPr>
          <w:b/>
          <w:bCs/>
        </w:rPr>
        <w:tab/>
        <w:t>29</w:t>
      </w:r>
    </w:p>
    <w:p w14:paraId="2ECD9DCF" w14:textId="77777777" w:rsidR="0023240D" w:rsidRDefault="00000000">
      <w:r>
        <w:br w:type="page"/>
      </w:r>
    </w:p>
    <w:p w14:paraId="212BECE9" w14:textId="77777777" w:rsidR="0023240D" w:rsidRDefault="00000000">
      <w:pPr>
        <w:pStyle w:val="Ttulo1"/>
      </w:pPr>
      <w:r>
        <w:lastRenderedPageBreak/>
        <w:t>1. Introducción</w:t>
      </w:r>
    </w:p>
    <w:p w14:paraId="2D2C70E6" w14:textId="77777777" w:rsidR="0023240D" w:rsidRDefault="00000000">
      <w:pPr>
        <w:pStyle w:val="Ttulo2"/>
      </w:pPr>
      <w:r>
        <w:t>1.1. Contexto general del tema</w:t>
      </w:r>
    </w:p>
    <w:p w14:paraId="1CF4019F" w14:textId="77777777" w:rsidR="0023240D" w:rsidRPr="006F358B" w:rsidRDefault="00000000">
      <w:pPr>
        <w:ind w:firstLine="720"/>
        <w:jc w:val="both"/>
        <w:rPr/>
      </w:pPr>
      <w:r>
        <w:t xml:space="preserve">Colombia obtuvo 409 puntos en lectura en el ciclo 2022 del Programa para la Evaluación Internacional de Estudiantes. El promedio de la Organización para la Cooperación y el Desarrollo Económicos fue de 476, y el país quedó en la casilla 54 de 81 sistemas evaluados (Laboratorio de Economía de la Educación, 2023; Ministerio de Educación Nacional, 2023). La cifra suele leerse como diagnóstico de rezago. </w:t>
      </w:r>
      <w:r w:rsidRPr="006F358B">
        <w:t xml:space="preserve">Puesta en serie, sin embargo, dice menos de lo que aparenta: 425 puntos en 2015, 412 en 2018, 409 en 2022. El descenso ya venía en curso cuando las aulas cerraron. Cargarlo entero a la cuenta de la pandemia tiene la ventaja de ahorrarse una pregunta bastante más incómoda: qué venía ocurriendo desde antes con la enseñanza de la lectura.</w:t>
      </w:r>
    </w:p>
    <w:p w14:paraId="57EEF0F9" w14:textId="77777777" w:rsidR="0023240D" w:rsidRPr="006F358B" w:rsidRDefault="00000000">
      <w:pPr>
        <w:ind w:firstLine="720"/>
        <w:jc w:val="both"/>
        <w:rPr/>
      </w:pPr>
      <w:r w:rsidRPr="006F358B">
        <w:t xml:space="preserve">Lo que la pandemia sí alteró fue la materia misma con la que hoy se enseña a leer. De la reorganización de urgencia de 2020 quedó un sedimento de prácticas mixtas todavía sin bautizar, en el que la clase presencial convive con sesiones sincrónicas por videollamada y con un caudal de trabajo asincrónico administrado desde plataformas. Bajo la expresión aprendizaje combinado caben arreglos tan dispares entre sí que el término apenas alcanza a designar una familia (Hrastinski, 2019), y lo que está en juego con esa imprecisión desborda con mucho el vocabulario. En el aula híbrida la consigna de lectura pasó de ser algo que un docente dice a ser algo que una interfaz determina, y el plazo, los intentos permitidos y el formato exigido de respuesta suelen venir fijados por alguien que no enseña.</w:t>
      </w:r>
      <w:proofErr w:type="spellStart"/>
      <w:r w:rsidRPr="006F358B">
        <w:t/>
      </w:r>
      <w:proofErr w:type="spellEnd"/>
      <w:r w:rsidRPr="006F358B">
        <w:t xml:space="preserve"/>
      </w:r>
    </w:p>
    <w:p w14:paraId="049F73DA" w14:textId="77777777" w:rsidR="0023240D" w:rsidRPr="006F358B" w:rsidRDefault="00000000">
      <w:pPr>
        <w:ind w:firstLine="720"/>
        <w:jc w:val="both"/>
        <w:rPr/>
      </w:pPr>
      <w:r w:rsidRPr="006F358B">
        <w:t xml:space="preserve">A ese cambio material se le sumó una obligación jurídica. El Decreto 1421 de 2017 reglamentó la atención educativa a la población con discapacidad y convirtió el Plan Individual de Ajustes Razonables en pieza exigible de la gestión escolar, con lo cual la respuesta a la diferencia dejó de depender del criterio discrecional de cada establecimiento. Entre la norma y su cumplimiento hay, sin embargo, una distancia, y sobre ella recae la advertencia más incómoda del informe de seguimiento de la educación en el mundo (Organización de las Naciones Unidas para la Educación, la Ciencia y la Cultura, 2020) sitúa su advertencia más incómoda: los sistemas educativos siguen produciendo exclusión mediante sus operaciones más ordinarias, las de clasificar, evaluar y agrupar, incluso cuando su discurso oficial es inclusivo.</w:t>
      </w:r>
    </w:p>
    <w:p w14:paraId="742C1B2E" w14:textId="77777777" w:rsidR="0023240D" w:rsidRPr="006F358B" w:rsidRDefault="00000000">
      <w:pPr>
        <w:ind w:firstLine="720"/>
        <w:jc w:val="both"/>
        <w:rPr/>
      </w:pPr>
      <w:r w:rsidRPr="006F358B">
        <w:t xml:space="preserve">Tenemos entonces un desempeño lector que lleva una década sin repuntar, un aula que la técnica reorganizó sin que nadie acabara de decidirlo y una obligación jurídica que ya no admite discrecionalidad. Cada uno de esos planos tiene su propia literatura y admite explicarse por separado, cosa que en buena medida ya se ha hecho. El fenómeno que aquí interesa ocurre en el punto en que los tres se enredan, y ese enredo desborda a las literaturas que lo tocan una a una.</w:t>
      </w:r>
    </w:p>
    <w:p w14:paraId="5B1B9B43" w14:textId="77777777" w:rsidR="0023240D" w:rsidRPr="006F358B" w:rsidRDefault="00000000">
      <w:pPr>
        <w:pStyle w:val="Ttulo2"/>
        <w:rPr/>
      </w:pPr>
      <w:r w:rsidRPr="006F358B">
        <w:t>1.2. Importancia del fenómeno a investigar</w:t>
      </w:r>
    </w:p>
    <w:p w14:paraId="4D203461" w14:textId="77777777" w:rsidR="0023240D" w:rsidRPr="006F358B" w:rsidRDefault="00000000">
      <w:pPr>
        <w:ind w:firstLine="720"/>
        <w:jc w:val="both"/>
        <w:rPr/>
      </w:pPr>
      <w:r w:rsidRPr="006F358B">
        <w:t xml:space="preserve">La dislexia entra en ese enredo con un peso que las cifras alcanzan a estimar. Carrillo Gallego et al. (2011) hallaron una prevalencia del 11,8 % de dificultades específicas del aprendizaje de la lectura en población escolar hispanohablante, con oscilaciones por curso que van del 15,2 % en segundo grado al 10,9 % en sexto. Ahora bien, más decisivo que la magnitud es lo que Snowling et al. (2020) establecieron sobre la naturaleza del objeto. La dislexia, para ellos, es una posición dentro del continuo de la habilidad lectora, determinada por factores de riesgo que se acumulan e interactúan, y no una categoría discreta separada del resto de los lectores.</w:t>
      </w:r>
    </w:p>
    <w:p w14:paraId="67863B50" w14:textId="77777777" w:rsidR="0023240D" w:rsidRPr="006F358B" w:rsidRDefault="00000000">
      <w:pPr>
        <w:ind w:firstLine="720"/>
        <w:jc w:val="both"/>
        <w:rPr/>
      </w:pPr>
      <w:r w:rsidRPr="006F358B">
        <w:t xml:space="preserve">Conviene detenerse en la implicación, porque orienta buena parte de lo que sigue. Si la dislexia es un punto de un continuo, ¿quién traza el corte que separa la lentitud tolerable de la lentitud patológica? Alguien lo traza, en algún lugar y con algún criterio, y en la escuela ese criterio rara vez pertenece a una persona identificable. Con mayor frecuencia está inscrito en reglas que la institución da por sabidas y que por eso mismo permanecen sin enunciar.</w:t>
      </w:r>
    </w:p>
    <w:p w14:paraId="239E503E" w14:textId="77777777" w:rsidR="0023240D" w:rsidRPr="006F358B" w:rsidRDefault="00000000">
      <w:pPr>
        <w:ind w:firstLine="720"/>
        <w:jc w:val="both"/>
        <w:rPr/>
      </w:pPr>
      <w:r w:rsidRPr="006F358B">
        <w:t xml:space="preserve">Al escenario híbrido cabe sospecharlo, además, por una razón material, y es que Delgado et al. (2018) reunieron 54 estudios con más de 170.000 participantes y encontraron que la comprensión de textos informativos resulta mejor en papel que en pantalla, con una diferencia que crece cuando la tarea impone un límite temporal. Pantalla y cronómetro juntos: exactamente lo que la plataforma escolar produce por defecto. Ni la pantalla ni el cronómetro se fijaron pensando en un lector disléxico, cosa que está lejos de volverlos neutrales respecto de él.</w:t>
      </w:r>
      <w:r w:rsidRPr="006F358B">
        <w:lastRenderedPageBreak/>
        <w:t/>
      </w:r>
    </w:p>
    <w:p w14:paraId="0B792EBF" w14:textId="77777777" w:rsidR="0023240D" w:rsidRPr="006F358B" w:rsidRDefault="00000000">
      <w:pPr>
        <w:ind w:firstLine="720"/>
        <w:jc w:val="both"/>
        <w:rPr/>
      </w:pPr>
      <w:r w:rsidRPr="006F358B">
        <w:t xml:space="preserve">Describir una vez más el perfil cognitivo de la dislexia sería redundante, porque la psicolingüística lleva décadas en ese terreno y lo ha cubierto con solvencia. La pregunta que queda abierta toca a la escuela: cómo participa su propia organización de la lectura en fabricar aquello que más tarde reconocerá como dificultad.</w:t>
      </w:r>
    </w:p>
    <w:p w14:paraId="43030F28" w14:textId="77777777" w:rsidR="0023240D" w:rsidRPr="006F358B" w:rsidRDefault="00000000">
      <w:pPr>
        <w:pStyle w:val="Ttulo2"/>
        <w:rPr/>
      </w:pPr>
      <w:r w:rsidRPr="006F358B">
        <w:t>1.3. Enlace inicial con el pensamiento complejo</w:t>
      </w:r>
    </w:p>
    <w:p w14:paraId="67694D17" w14:textId="77777777" w:rsidR="0023240D" w:rsidRPr="006F358B" w:rsidRDefault="00000000">
      <w:pPr>
        <w:ind w:firstLine="720"/>
        <w:jc w:val="both"/>
        <w:rPr/>
      </w:pPr>
      <w:r w:rsidRPr="006F358B">
        <w:t xml:space="preserve">Sostener semejante afirmación exige un aparato epistemológico que no reparta el problema entre un sujeto deficitario y una institución neutral. Morin (1994) propuso reemplazar el paradigma de disyunción, reducción y simplificación por uno de distinción, conjunción e implicación, y de ahí provienen los operadores con que este estudio construye su objeto, cuyo empleo se justifica solo en la medida en que el fenómeno los sostenga.</w:t>
      </w:r>
    </w:p>
    <w:p w14:paraId="4DBF6A35" w14:textId="77777777" w:rsidR="0023240D" w:rsidRPr="006F358B" w:rsidRDefault="00000000">
      <w:pPr>
        <w:ind w:firstLine="720"/>
        <w:jc w:val="both"/>
        <w:rPr/>
      </w:pPr>
      <w:r w:rsidRPr="006F358B">
        <w:t xml:space="preserve">Según la recursividad organizacional, los productos son al mismo tiempo productores de aquello que los produce. Trasladada al aula, la fórmula pierde su aire abstracto, porque la gramática escolar de lectura fabrica la experiencia disléxica al constituirla como desviación y esa experiencia, una vez administrada mediante apoyos y ajustes, le devuelve a la gramática la confirmación de que su umbral era el correcto. Si la relación tiene un punto de inicio localizable, o si funciona sin él, es algo que habrá de resolver el trabajo de campo y no el marco teórico.</w:t>
      </w:r>
    </w:p>
    <w:p w14:paraId="435A60F3" w14:textId="77777777" w:rsidR="0023240D" w:rsidRPr="006F358B" w:rsidRDefault="00000000">
      <w:pPr>
        <w:ind w:firstLine="720"/>
        <w:jc w:val="both"/>
        <w:rPr/>
      </w:pPr>
      <w:r w:rsidRPr="006F358B">
        <w:t xml:space="preserve">De la dialógica se sigue algo más incómodo, y son dos exigencias contradictorias entre sí, ambas irrenunciables. La escuela debe homogeneizar, porque certifica. Debe diferenciar, porque incluye. El aula híbrida agudiza el conflicto al inscribir la homogeneización en los parámetros mismos de la plataforma, donde un solo valor rige para el curso entero. Disolver esa contradicción no está entre los propósitos de esta investigación, aunque sí lo está observar cómo se la administra semana a semana.</w:t>
      </w:r>
    </w:p>
    <w:p w14:paraId="7D46211E" w14:textId="77777777" w:rsidR="0023240D" w:rsidRPr="006F358B" w:rsidRDefault="00000000">
      <w:pPr>
        <w:ind w:firstLine="720"/>
        <w:jc w:val="both"/>
        <w:rPr/>
      </w:pPr>
      <w:r w:rsidRPr="006F358B">
        <w:t xml:space="preserve">La multidimensionalidad hace un trabajo más modesto y no por ello menos necesario, que es impedir que el estudiante quede reducido a su perfil neurocognitivo, porque quien lee es también un cuerpo con ritmo propio y un expediente evaluado contra cronologías estandarizadas (Terigi, 2010). Es, además, alguien que sabe perfectamente cómo lo miran sus compañeros cuando le toca leer en voz alta.</w:t>
      </w:r>
    </w:p>
    <w:p w14:paraId="067169BF" w14:textId="77777777" w:rsidR="0023240D" w:rsidRDefault="00000000">
      <w:pPr>
        <w:ind w:firstLine="720"/>
        <w:jc w:val="both"/>
      </w:pPr>
      <w:r w:rsidRPr="006F358B">
        <w:t xml:space="preserve">Con estos operadores el fenómeno queda planteado como algo que resultaría de la interacción entre actores escolares, tecnologías de enseñanza y condiciones de neurodivergencia, cuando esos términos por separado todavía no lo contienen, y las categorías se emplean porque el fenómeno parece exigirlas. Hay retroacción documentable entre la norma y su propia gestión, y hay dos mandatos institucionales igualmente vigentes y contrarios entre sí. Si el campo mostrara que la relación es lineal, o que los mandatos no colisionan, el vocabulario sobraría y habría que abandonarlo sin mayor duelo.</w:t>
      </w:r>
    </w:p>
    <w:p w14:paraId="47F282F4" w14:textId="77777777" w:rsidR="0023240D" w:rsidRDefault="00000000">
      <w:r>
        <w:br w:type="page"/>
      </w:r>
    </w:p>
    <w:p w14:paraId="3D9697D1" w14:textId="77777777" w:rsidR="0023240D" w:rsidRDefault="00000000">
      <w:pPr>
        <w:pStyle w:val="Ttulo1"/>
      </w:pPr>
      <w:r>
        <w:lastRenderedPageBreak/>
        <w:t>2. Planteamiento del problema</w:t>
      </w:r>
    </w:p>
    <w:p w14:paraId="554B0A36" w14:textId="77777777" w:rsidR="0023240D" w:rsidRDefault="00000000">
      <w:pPr>
        <w:pStyle w:val="Ttulo2"/>
      </w:pPr>
      <w:r>
        <w:t>2.1. Descripción clara del problema</w:t>
      </w:r>
    </w:p>
    <w:p w14:paraId="3AD398ED" w14:textId="77777777" w:rsidR="0023240D" w:rsidRPr="006F358B" w:rsidRDefault="00000000">
      <w:pPr>
        <w:ind w:firstLine="720"/>
        <w:jc w:val="both"/>
        <w:rPr/>
      </w:pPr>
      <w:r w:rsidRPr="006F358B">
        <w:t xml:space="preserve">En las aulas híbridas de educación media la lectura se reconoce mediante criterios que permanecen fuera de discusión, y permanecen fuera de discusión porque rara vez se enuncian, de modo que un estudiante lee bien cuando lee con cierta velocidad, en cierto orden y con cierta estabilidad de significado. Si alguno de esos rasgos falla, el sistema interroga al lector. El criterio queda en paz. La variabilidad perceptiva y temporal queda así traducida en déficit personal, mientras las condiciones que hacen posible esa traducción conservan su posición de referencia y quedan dispensadas de justificarse. Que la traducción opere con su criterio a cubierto es lo que esta investigación se propone interrogar.</w:t>
      </w:r>
    </w:p>
    <w:p w14:paraId="629E97BC" w14:textId="77777777" w:rsidR="0023240D" w:rsidRDefault="00000000">
      <w:pPr>
        <w:ind w:firstLine="720"/>
        <w:jc w:val="both"/>
      </w:pPr>
      <w:r w:rsidRPr="006F358B">
        <w:t xml:space="preserve">La dislexia funciona aquí como punto de entrada más que como objeto definitivo. Lo que se investiga son las condiciones bajo las cuales una variación en el modo de leer llega a ser reconocida como dislexia escolarmente relevante, y tales condiciones no vienen dadas: hay que reconstruirlas.</w:t>
      </w:r>
      <w:r>
        <w:t xml:space="preserve"> Las propias categorías con que este protocolo construye el problema, gramática escolar de lectura entre ellas, quedan sometidas a la misma exigencia y podrían resultar insuficientes o mal recortadas una vez que el campo las someta a prueba.</w:t>
      </w:r>
    </w:p>
    <w:p w14:paraId="792FE6C1" w14:textId="77777777" w:rsidR="0023240D" w:rsidRPr="006F358B" w:rsidRDefault="00000000">
      <w:pPr>
        <w:ind w:firstLine="720"/>
        <w:jc w:val="both"/>
        <w:rPr/>
      </w:pPr>
      <w:r>
        <w:t xml:space="preserve">Hay literatura para fundamentarlo. Tyack y Tobin (1994) mostraron que la organización escolar descansa sobre regularidades estructurales, la gramática de la escolarización, que reparten a los estudiantes por edades, fraccionan el conocimiento en asignaturas y certifican mediante calificaciones. </w:t>
      </w:r>
      <w:r w:rsidRPr="006F358B">
        <w:t xml:space="preserve">El inventario, con todo, era lo de menos. Lo que esos autores explicaron fue la persistencia. Esas reglas sobreviven a las reformas porque constituyen el fondo desde el cual las reformas se piensan. Viñao (2002) llevó la tesis al terreno iberoamericano y documentó cómo las culturas escolares poseen un tiempo propio con el que absorben y reconfiguran lo que llega de afuera. La pieza que faltaba, del lado del aprendizaje lector, se la debemos a Terigi (2010) y a su noción de cronologías de aprendizaje, ese supuesto según el cual existiría un único ritmo esperable de progresión, supuesto que vuelve anomalía toda trayectoria que no lo siga.</w:t>
      </w:r>
    </w:p>
    <w:p w14:paraId="3DB463B0" w14:textId="77777777" w:rsidR="0023240D" w:rsidRPr="006F358B" w:rsidRDefault="00000000">
      <w:pPr>
        <w:ind w:firstLine="720"/>
        <w:jc w:val="both"/>
        <w:rPr/>
      </w:pPr>
      <w:r w:rsidRPr="006F358B">
        <w:t xml:space="preserve">Leídas juntas, las tres contribuciones sitúan el problema en un lugar bastante preciso, ya que la escuela exige uniformidad porque su función certificadora se lo demanda, mientras que la población escolar es heterogénea, dado que la variabilidad lectora resulta constitutiva y no excepcional (Snowling et al., 2020). La dificultad, entonces, no habita en el estudiante ni tampoco en la institución: está en la relación entre ambos, y ninguna de las dos partes puede repararla por su cuenta.</w:t>
      </w:r>
    </w:p>
    <w:p w14:paraId="4C612E3B" w14:textId="77777777" w:rsidR="0023240D" w:rsidRPr="006F358B" w:rsidRDefault="00000000">
      <w:pPr>
        <w:ind w:firstLine="720"/>
        <w:jc w:val="both"/>
        <w:rPr/>
      </w:pPr>
      <w:r w:rsidRPr="006F358B">
        <w:t xml:space="preserve">Que esa relación no sea inocua lo confirma la investigación reciente, pues incluso los modelos pedagógicos que se declaran complejos y transdisciplinares conservan estructuras de interacción notablemente estables, y el aprendizaje lector se sigue moldeando en ellas igual que antes (León Mora, 2021). Por vías distintas llegan al mismo diagnóstico Miranda-Merizalde y Núñez Naranjo (2025), desde la neurociencia aplicada a la inclusión, y Ramos Ventura (2025), desde la revisión latinoamericana del diseño universal para el aprendizaje: las estrategias disponibles optimizan funciones ejecutivas, atención y rendimiento del estudiante dentro de marcos pedagógicos que quedan fuera de examen, de suerte que toda la corrección recae sobre el lector y el marco se queda sin examinar.</w:t>
      </w:r>
    </w:p>
    <w:p w14:paraId="4737585D" w14:textId="77777777" w:rsidR="0023240D" w:rsidRPr="006F358B" w:rsidRDefault="00000000">
      <w:pPr>
        <w:pStyle w:val="Ttulo2"/>
        <w:rPr/>
      </w:pPr>
      <w:r w:rsidRPr="006F358B">
        <w:t>2.2. Manifestaciones del problema en el contexto del aula híbrida</w:t>
      </w:r>
    </w:p>
    <w:p w14:paraId="5A110097" w14:textId="77777777" w:rsidR="0023240D" w:rsidRPr="006F358B" w:rsidRDefault="00000000">
      <w:pPr>
        <w:ind w:firstLine="720"/>
        <w:jc w:val="both"/>
        <w:rPr/>
      </w:pPr>
      <w:r w:rsidRPr="006F358B">
        <w:t xml:space="preserve">Conviene empezar por la arquitectura técnica de la consigna, ya que las plataformas de gestión del aprendizaje que usan los colegios colombianos organizan la lectura mediante formularios con temporizador, cuestionarios de opción múltiple que admiten un solo envío y foros que cierran a una hora fija. Un criterio pedagógico discutible, el de la fluidez, queda así convertido en un parámetro técnico inapelable, el tiempo de respuesta. Penalizar la lentitud deja de ser una decisión que alguien tomó para volverse un efecto del diseño, y eso la hace a la vez invisible</w:t>
      </w:r>
      <w:r>
        <w:t xml:space="preserve"> </w:t>
      </w:r>
      <w:r>
        <w:lastRenderedPageBreak/>
        <w:t xml:space="preserve">y difícil de recurrir. </w:t>
      </w:r>
      <w:r w:rsidRPr="006F358B">
        <w:t xml:space="preserve">Y la evidencia de Delgado et al. (2018) sobre el efecto conjunto de pantalla y tiempo limitado indica que ese diseño dista de ser neutro respecto de quién comprende.</w:t>
      </w:r>
    </w:p>
    <w:p w14:paraId="5950979E" w14:textId="77777777" w:rsidR="0023240D" w:rsidRPr="006F358B" w:rsidRDefault="00000000">
      <w:pPr>
        <w:ind w:firstLine="720"/>
        <w:jc w:val="both"/>
        <w:rPr/>
      </w:pPr>
      <w:r w:rsidRPr="006F358B">
        <w:t xml:space="preserve">Entre los dos segmentos del aula hay además una asimetría que se mantiene sin compensación. En el tramo sincrónico, leer en voz alta y responder de inmediato expone la disfluencia ante treinta compañeros. En el asincrónico desaparece el docente y con él la posibilidad de preguntar, de modo que descifrar enunciados escritos extensos queda a cargo del estudiante y de su familia. Lo que el estudiante encuentra es la alternancia de dos exigencias distintas, cada una con su barrera propia.</w:t>
      </w:r>
    </w:p>
    <w:p w14:paraId="03D55E6C" w14:textId="77777777" w:rsidR="0023240D" w:rsidRPr="006F358B" w:rsidRDefault="00000000">
      <w:pPr>
        <w:ind w:firstLine="720"/>
        <w:jc w:val="both"/>
        <w:rPr/>
      </w:pPr>
      <w:r w:rsidRPr="006F358B">
        <w:t xml:space="preserve">En la evaluación el efecto se vuelve más costoso. La comprensión lectora se valora casi siempre mediante productos escritos, de modo que una misma calificación termina midiendo de una sola vez la comprensión, la ortografía y la velocidad de escritura. Un estudiante puede entender un texto con precisión y aparecer en el sistema como si no lo hubiera entendido. El registro documenta entonces un déficit que el propio instrumento acaba de producir.</w:t>
      </w:r>
    </w:p>
    <w:p w14:paraId="2B93F66E" w14:textId="77777777" w:rsidR="0023240D" w:rsidRDefault="00000000">
      <w:pPr>
        <w:ind w:firstLine="720"/>
        <w:jc w:val="both"/>
      </w:pPr>
      <w:r w:rsidRPr="006F358B">
        <w:t xml:space="preserve">La distancia se hace todavía más visible en la gestión de los ajustes razonables. El Decreto 1421 de 2017 obliga a formular el Plan Individual de Ajustes Razonables, pero el instrumento fue concebido para el salón presencial y no siempre encuentra traducción en plataformas cuyos parámetros son comunes para todo el curso. Conceder tiempo adicional resulta sencillo cuando el docente controla el reloj y bastante más difícil cuando lo controla un formulario. Arteaga Gualán et al. (2024) añaden, en revisión sistemática, que la falta de formación docente específica merma sin excepción la eficacia de cualquier estrategia que se intente.</w:t>
      </w:r>
    </w:p>
    <w:p w14:paraId="66619F58" w14:textId="77777777" w:rsidR="0023240D" w:rsidRPr="006F358B" w:rsidRDefault="00000000">
      <w:pPr>
        <w:pStyle w:val="Ttulo2"/>
        <w:rPr/>
      </w:pPr>
      <w:r>
        <w:t>2</w:t>
      </w:r>
      <w:r w:rsidRPr="006F358B">
        <w:t>.3. El problema como sistema problemático: tensiones, bucles y contradicciones</w:t>
      </w:r>
    </w:p>
    <w:p w14:paraId="4A2AD473" w14:textId="77777777" w:rsidR="0023240D" w:rsidRPr="006F358B" w:rsidRDefault="00000000">
      <w:pPr>
        <w:ind w:firstLine="720"/>
        <w:jc w:val="both"/>
        <w:rPr/>
      </w:pPr>
      <w:r w:rsidRPr="006F358B">
        <w:t xml:space="preserve">Descrito así, el problema admitiría leerse como una suma de fallas corregibles una por una. Cabe dudarlo, porque las manifestaciones descritas parecen sostenerse entre sí, de manera que corregir cualquiera de ellas por separado dejaría intactas a las demás.</w:t>
      </w:r>
    </w:p>
    <w:p w14:paraId="682525AD" w14:textId="77777777" w:rsidR="0023240D" w:rsidRPr="006F358B" w:rsidRDefault="00000000">
      <w:pPr>
        <w:ind w:firstLine="720"/>
        <w:jc w:val="both"/>
        <w:rPr/>
      </w:pPr>
      <w:r w:rsidRPr="006F358B">
        <w:t xml:space="preserve">Considérese el circuito que une la norma de fluidez con el registro del déficit. La institución fija un umbral de velocidad. El estudiante no lo alcanza, el sistema anota la brecha, la anotación justifica intensificar el ejercicio de fluidez, y esa intensificación reafirma el umbral como criterio legítimo. Si el circuito opera de ese modo, produciría estabilidad en lugar de aprendizaje, y dejaría el umbral inicial fuera de toda revisión.</w:t>
      </w:r>
    </w:p>
    <w:p w14:paraId="74235F3F" w14:textId="77777777" w:rsidR="0023240D" w:rsidRPr="006F358B" w:rsidRDefault="00000000">
      <w:pPr>
        <w:ind w:firstLine="720"/>
        <w:jc w:val="both"/>
        <w:rPr/>
      </w:pPr>
      <w:r w:rsidRPr="006F358B">
        <w:t xml:space="preserve">Entre el apoyo y la marca ocurre otro tanto, con una dificultad añadida, porque la institución concede tiempo extra o formatos alternativos, el estudiante recibe un trato visiblemente distinto, esa visibilidad refuerza su identidad de alumno con dificultad, y la identidad justifica que el apoyo continúe. Nada de esto quita que el ajuste sea obligatorio y necesario. Produce además un efecto de señalamiento que la escuela no tematiza, quizá porque lo considera el precio inevitable de incluir.</w:t>
      </w:r>
    </w:p>
    <w:p w14:paraId="0C09E854" w14:textId="77777777" w:rsidR="0023240D" w:rsidRDefault="00000000">
      <w:pPr>
        <w:ind w:firstLine="720"/>
        <w:jc w:val="both"/>
      </w:pPr>
      <w:r w:rsidRPr="006F358B">
        <w:t xml:space="preserve">Un tercer enlace une la mediación tecnológica con la pérdida del proceso, ya que la plataforma guarda resultados y no procesos, así que el docente ve la nota y se le escapa cuántas veces el estudiante volvió al segundo párrafo, dónde se detuvo o qué releyó. Desaparecido el proceso del campo de observación, la única información disponible para tomar una decisión pedagógica es la que confirma el déficit.</w:t>
      </w:r>
    </w:p>
    <w:p w14:paraId="73229C7B" w14:textId="710773BB" w:rsidR="0023240D" w:rsidRDefault="00000000">
      <w:pPr>
        <w:ind w:firstLine="720"/>
        <w:jc w:val="both"/>
      </w:pPr>
      <w:r>
        <w:t xml:space="preserve">Atraviesa esos circuitos una contradicción que ninguna solución técnica disuelve. La escuela tiene que homogeneizar para poder certificar y tiene que diferenciar para poder incluir, y ambos mandatos son legítimos. </w:t>
      </w:r>
      <w:r w:rsidRPr="006F358B">
        <w:t xml:space="preserve">Lo que el aula híbrida agrega es una capa de código que fija el primero de esos mandatos en los ajustes por defecto, con lo cual la diferenciación queda relegada al margen que cada docente logre negociarle a la interfaz.</w:t>
      </w:r>
    </w:p>
    <w:p w14:paraId="45EFC39F" w14:textId="1A3079D0" w:rsidR="006F358B" w:rsidRDefault="006F358B">
      <w:pPr>
        <w:ind w:firstLine="720"/>
        <w:jc w:val="both"/>
      </w:pPr>
    </w:p>
    <w:p w14:paraId="50BDEC3D" w14:textId="77777777" w:rsidR="006F358B" w:rsidRDefault="006F358B">
      <w:pPr>
        <w:ind w:firstLine="720"/>
        <w:jc w:val="both"/>
      </w:pPr>
    </w:p>
    <w:p w14:paraId="11D9FCD8" w14:textId="77777777" w:rsidR="0023240D" w:rsidRPr="006F358B" w:rsidRDefault="00000000">
      <w:pPr>
        <w:pStyle w:val="Ttulo2"/>
        <w:rPr/>
      </w:pPr>
      <w:r w:rsidRPr="006F358B">
        <w:lastRenderedPageBreak/>
        <w:t>2.4. Consecuencias de no intervenir o comprender el fenómeno</w:t>
      </w:r>
    </w:p>
    <w:p w14:paraId="220421B1" w14:textId="77777777" w:rsidR="0023240D" w:rsidRPr="006F358B" w:rsidRDefault="00000000">
      <w:pPr>
        <w:ind w:firstLine="720"/>
        <w:jc w:val="both"/>
        <w:rPr/>
      </w:pPr>
      <w:r w:rsidRPr="006F358B">
        <w:t xml:space="preserve">Los efectos de dejar el fenómeno sin comprender desbordan con holgura lo pedagógico. En las trayectorias educativas, los circuitos descritos se traducen en reprobación, extraedad y salida temprana del sistema. El informe de seguimiento de la educación en el mundo (Organización de las Naciones Unidas para la Educación, la Ciencia y la Cultura, 2020) deja constancia de que la clasificación escolar ordinaria es una de las vías principales de exclusión de los sistemas educativos. Nadie tiene que proponérselo. En un país cuyo desempeño lector agregado se ubica 67 puntos por debajo del promedio de la Organización para la Cooperación y el Desarrollo Económicos, ese efecto se acumula sobre estudiantes que ya partían en desventaja.</w:t>
      </w:r>
    </w:p>
    <w:p w14:paraId="138D4CA9" w14:textId="77777777" w:rsidR="0023240D" w:rsidRPr="006F358B" w:rsidRDefault="00000000">
      <w:pPr>
        <w:ind w:firstLine="720"/>
        <w:jc w:val="both"/>
        <w:rPr/>
      </w:pPr>
      <w:r w:rsidRPr="006F358B">
        <w:t xml:space="preserve">Pedagógicamente, la ausencia de una comprensión sistémica condena la respuesta institucional a la remediación individual, y se multiplican los planes de apoyo mientras la consigna sigue igual y el colegio gasta esfuerzo en compensar un efecto cuya causa sigue intacta en su lugar. Las intervenciones documentadas, constatan Arteaga Gualán et al. (2024), se concentran en la estrategia didáctica de aula y rara vez alcanzan el diseño curricular o la política institucional, que es el lugar de origen del problema.</w:t>
      </w:r>
    </w:p>
    <w:p w14:paraId="2EC29C34" w14:textId="77777777" w:rsidR="0023240D" w:rsidRPr="006F358B" w:rsidRDefault="00000000">
      <w:pPr>
        <w:ind w:firstLine="720"/>
        <w:jc w:val="both"/>
        <w:rPr/>
      </w:pPr>
      <w:r w:rsidRPr="006F358B">
        <w:t xml:space="preserve">Está en juego, además, un problema ético, quizá el más difícil de encarar, y es que atribuir el fracaso lector al estudiante equivale a una forma de injusticia epistémica, pues se lo evalúa sobre un texto que la institución escogió, en un tiempo que la institución fijó y con un criterio que la institución no somete a discusión, y después se le imputa el resultado como si fuera un rasgo suyo. Su propia experiencia de lectura, que sería con diferencia la mejor fuente disponible para entender qué ocurre, queda descalificada de antemano.</w:t>
      </w:r>
    </w:p>
    <w:p w14:paraId="7AEF4231" w14:textId="77777777" w:rsidR="0023240D" w:rsidRPr="006F358B" w:rsidRDefault="00000000">
      <w:pPr>
        <w:ind w:firstLine="720"/>
        <w:jc w:val="both"/>
        <w:rPr/>
      </w:pPr>
      <w:r w:rsidRPr="006F358B">
        <w:t xml:space="preserve">En lo institucional y normativo, la desatención expone a los colegios a un incumplimiento material del Decreto 1421 de 2017 y de la Ley 1618 de 2013. Diligenciar el Plan Individual de Ajustes Razonables no remueve la barrera cuando la barrera está escrita en el diseño de la tarea y no en la disposición del profesor, de suerte que se cumple el expediente sin que el derecho quede por ello garantizado.</w:t>
      </w:r>
    </w:p>
    <w:p w14:paraId="47CB40B2" w14:textId="77777777" w:rsidR="0023240D" w:rsidRDefault="00000000">
      <w:pPr>
        <w:ind w:firstLine="720"/>
        <w:jc w:val="both"/>
      </w:pPr>
      <w:r w:rsidRPr="006F358B">
        <w:t xml:space="preserve">Sostener el fenómeno sin examinarlo significa, en suma, mantener en funcionamiento un dispositivo que documenta inclusión y produce exclusión. El diagnóstico, así enunciado, ya es conocido. Falta el trabajo empírico que muestre por dónde pasa exactamente el circuito, y de ahí que valga la pena investigarlo.</w:t>
      </w:r>
    </w:p>
    <w:p w14:paraId="5B7DBFE8" w14:textId="77777777" w:rsidR="0023240D" w:rsidRDefault="00000000">
      <w:r>
        <w:br w:type="page"/>
      </w:r>
    </w:p>
    <w:p w14:paraId="02381FEB" w14:textId="77777777" w:rsidR="0023240D" w:rsidRDefault="00000000">
      <w:pPr>
        <w:pStyle w:val="Ttulo1"/>
      </w:pPr>
      <w:r>
        <w:lastRenderedPageBreak/>
        <w:t>3. Balance bibliográfico</w:t>
      </w:r>
    </w:p>
    <w:p w14:paraId="3E2D3EC8" w14:textId="77777777" w:rsidR="0023240D" w:rsidRPr="006F358B" w:rsidRDefault="00000000">
      <w:pPr>
        <w:ind w:firstLine="720"/>
        <w:jc w:val="both"/>
        <w:rPr/>
      </w:pPr>
      <w:r w:rsidRPr="006F358B">
        <w:t xml:space="preserve">Cuatro campos concurren en este estudio y concurren sin acuerdo previo entre ellos: la psicolingüística de la dislexia, la historia de la organización escolar, la investigación sobre lectura digital y la tradición fenomenológica y compleja. Del examen crítico y comparativo de esa producción sale el balance de qué se ha investigado, cómo se lo ha investigado y qué queda todavía sin investigar en la intersección entre dislexia, gramáticas escolares de lectura y aulas híbridas.</w:t>
      </w:r>
    </w:p>
    <w:p w14:paraId="68CE5247" w14:textId="77777777" w:rsidR="0023240D" w:rsidRPr="006F358B" w:rsidRDefault="00000000">
      <w:pPr>
        <w:pStyle w:val="Ttulo2"/>
        <w:rPr/>
      </w:pPr>
      <w:r w:rsidRPr="006F358B">
        <w:t>3.1. Delimitación del tema</w:t>
      </w:r>
    </w:p>
    <w:p w14:paraId="4E37538C" w14:textId="77777777" w:rsidR="0023240D" w:rsidRPr="006F358B" w:rsidRDefault="00000000">
      <w:pPr>
        <w:ind w:firstLine="720"/>
        <w:jc w:val="both"/>
        <w:rPr/>
      </w:pPr>
      <w:r w:rsidRPr="006F358B">
        <w:t xml:space="preserve">Se revisó la producción publicada entre 1994 y 2025 en los cuatro campos mencionados. La fecha de arranque obedece a una razón precisa, y es que en 1994 Tyack y Tobin formularon la gramática de la escolarización, categoría matriz de la que deriva la propuesta conceptual de este trabajo.</w:t>
      </w:r>
      <w:proofErr w:type="spellStart"/>
      <w:r w:rsidRPr="006F358B">
        <w:t/>
      </w:r>
      <w:proofErr w:type="spellEnd"/>
      <w:r w:rsidRPr="006F358B">
        <w:t xml:space="preserve"/>
      </w:r>
    </w:p>
    <w:p w14:paraId="3B8CEEF6" w14:textId="77777777" w:rsidR="0023240D" w:rsidRPr="006F358B" w:rsidRDefault="00000000">
      <w:pPr>
        <w:ind w:firstLine="720"/>
        <w:jc w:val="both"/>
        <w:rPr/>
      </w:pPr>
      <w:r w:rsidRPr="006F358B">
        <w:t xml:space="preserve">El criterio de admisión fue exigente y tuvo su costo. Solo entró producción arbitrada o de editorial académica reconocida, en español, inglés o francés, y únicamente si cada pieza tocaba al menos dos de los cuatro campos. Ese filtro dejó fuera literatura valiosa, aunque encerrada en su propia disciplina, y dejó fuera también los materiales de divulgación sin respaldo empírico y las guías clínicas dirigidas a familias. Las bases consultadas fueron Scopus, Web of Science, Scielo, Redalyc, Dialnet y ERIC.</w:t>
      </w:r>
    </w:p>
    <w:p w14:paraId="28B829B0" w14:textId="77777777" w:rsidR="0023240D" w:rsidRPr="006F358B" w:rsidRDefault="00000000">
      <w:pPr>
        <w:ind w:firstLine="720"/>
        <w:jc w:val="both"/>
        <w:rPr/>
      </w:pPr>
      <w:r w:rsidRPr="006F358B">
        <w:t xml:space="preserve">Tres territorios quedaron excluidos deliberadamente: la intervención logopédica, la evaluación psicométrica diferencial y la genética conductual de las dificultades lectoras. Son pertinentes para entender la dislexia, y por eso mismo la exclusión pide justificarse, aunque los tres operen en niveles distintos del que aquí interesa, que es el de la regla institucional y su efecto perceptivo.</w:t>
      </w:r>
    </w:p>
    <w:p w14:paraId="3C240201" w14:textId="77777777" w:rsidR="0023240D" w:rsidRPr="006F358B" w:rsidRDefault="00000000">
      <w:pPr>
        <w:pStyle w:val="Ttulo2"/>
        <w:rPr/>
      </w:pPr>
      <w:r w:rsidRPr="006F358B">
        <w:t>3.2. Principales enfoques teóricos</w:t>
      </w:r>
    </w:p>
    <w:p w14:paraId="4C6DBBA0" w14:textId="77777777" w:rsidR="0023240D" w:rsidRPr="006F358B" w:rsidRDefault="00000000">
      <w:pPr>
        <w:ind w:firstLine="720"/>
        <w:jc w:val="both"/>
        <w:rPr/>
      </w:pPr>
      <w:r w:rsidRPr="006F358B">
        <w:t xml:space="preserve">¿En qué difieren entre sí los enfoques que organizan la literatura? Menos en sus hallazgos, a decir verdad, que en aquello que cada uno da por sentado que la dislexia es.</w:t>
      </w:r>
    </w:p>
    <w:p w14:paraId="28C3CC1B" w14:textId="77777777" w:rsidR="0023240D" w:rsidRPr="006F358B" w:rsidRDefault="00000000">
      <w:pPr>
        <w:ind w:firstLine="720"/>
        <w:jc w:val="both"/>
        <w:rPr/>
      </w:pPr>
      <w:r w:rsidRPr="006F358B">
        <w:t xml:space="preserve">La tradición fonológica sitúa el núcleo del problema en lo fonológico. Ahí están la representación y el acceso a la estructura sonora del lenguaje. Ramus et al. (2003) pusieron a competir las hipótesis fonológica, auditiva, visual, cerebelosa y magnocelular en un estudio de casos múltiples con adultos disléxicos, y el resultado fue que el déficit fonológico estaba presente en prácticamente toda la muestra mientras los sensoriales aparecían solo en un subgrupo. La jerarquía explicativa que salió de ahí todavía organiza el campo. Goswami (2015) no la impugna: formuló tres desafíos a las teorías sensoriales y propuso que las dificultades fonológicas podrían derivarse de una alteración en el muestreo oscilatorio de la señal acústica, y así lo fonológico conserva su centralidad y deja al tiempo de ser la causa última.</w:t>
      </w:r>
    </w:p>
    <w:p w14:paraId="35507278" w14:textId="77777777" w:rsidR="0023240D" w:rsidRPr="006F358B" w:rsidRDefault="00000000">
      <w:pPr>
        <w:ind w:firstLine="720"/>
        <w:jc w:val="both"/>
        <w:rPr/>
      </w:pPr>
      <w:r w:rsidRPr="006F358B">
        <w:t xml:space="preserve">Snowling et al. (2020) cambiaron las reglas del debate al sostener que la dislexia es el extremo de un continuo determinado por la acumulación de factores de riesgo genéticos y ambientales. Del planteamiento se siguen dos consecuencias: la búsqueda de una causa única queda sin objeto, y el diagnóstico pasa a ser un juicio probabilístico y deja de ser la identificación de una entidad.</w:t>
      </w:r>
    </w:p>
    <w:p w14:paraId="6A443B3C" w14:textId="77777777" w:rsidR="0023240D" w:rsidRPr="006F358B" w:rsidRDefault="00000000">
      <w:pPr>
        <w:ind w:firstLine="720"/>
        <w:jc w:val="both"/>
        <w:rPr/>
      </w:pPr>
      <w:r w:rsidRPr="006F358B">
        <w:t xml:space="preserve">Más lejos van quienes cuestionan la existencia útil del objeto. Elliott y Grigorenko (2014) argumentan que no hay evidencia de que los estudiantes rotulados como disléxicos requieran intervenciones cualitativamente distintas de las que benefician a cualquier lector con dificultades, de donde concluyen que el rótulo cumple funciones administrativas más que pedagógicas. Desde otra tradición y con otro propósito, Singer (1999) había introducido años antes la noción de neurodiversidad para retirar la diferencia cognitiva del registro de la patología.</w:t>
      </w:r>
    </w:p>
    <w:p w14:paraId="56A15E3D" w14:textId="77777777" w:rsidR="0023240D" w:rsidRPr="006F358B" w:rsidRDefault="00000000">
      <w:pPr>
        <w:ind w:firstLine="720"/>
        <w:jc w:val="both"/>
        <w:rPr/>
      </w:pPr>
      <w:r w:rsidRPr="006F358B">
        <w:t xml:space="preserve">Una última posición reformula la pregunta desde su base con la hipótesis del reciclaje neuronal, según la cual la lectura reutiliza circuitos cerebrales destinados originalmente al reconocimiento visual de objetos y se convierte por tanto en tecnología cultural y no en capacidad natural (Dehaene, 2009). Maturana y Varela (1984) aportan el acoplamiento estructural y el determinismo estructural, con los que el aprendizaje puede pensarse como historia de interacciones recurrentes que modifica a los dos términos de la relación, y desde el debate iberoamericano se recuerda que el diálogo entre neurociencias y educación no puede reducirse al cerebro aislado, porque el entorno sociocultural, la salud y las condiciones de vida influyen sobre lo que ocurre en el aula tanto como la maduración neuronal (Barrios-Tao, 2016).</w:t>
      </w:r>
      <w:r w:rsidRPr="006F358B">
        <w:lastRenderedPageBreak/>
        <w:t/>
      </w:r>
    </w:p>
    <w:p w14:paraId="07A92427" w14:textId="77777777" w:rsidR="0023240D" w:rsidRDefault="00000000">
      <w:pPr>
        <w:ind w:firstLine="720"/>
        <w:jc w:val="both"/>
      </w:pPr>
      <w:r w:rsidRPr="006F358B">
        <w:t xml:space="preserve">Estos enfoques se excluyen entre sí, y ese es el punto, porque sostienen tesis incompatibles sobre qué clase de cosa es la dislexia. El desacuerdo se retoma más adelante, porque de él depende buena parte de la propuesta.</w:t>
      </w:r>
    </w:p>
    <w:p w14:paraId="7EDCA569" w14:textId="77777777" w:rsidR="0023240D" w:rsidRDefault="00000000">
      <w:pPr>
        <w:pStyle w:val="Ttulo2"/>
      </w:pPr>
      <w:r>
        <w:t>3.3. Autores y referentes clave</w:t>
      </w:r>
    </w:p>
    <w:p w14:paraId="53339014" w14:textId="77777777" w:rsidR="0023240D" w:rsidRDefault="00000000">
      <w:pPr>
        <w:ind w:firstLine="720"/>
        <w:jc w:val="both"/>
      </w:pPr>
      <w:r>
        <w:t>En la psicolingüística de la dislexia son referencia obligada Margaret Snowling, Charles Hulme y Kate Nation, cuya síntesis dimensional es hoy el punto de partida de cualquier discusión; Franck Ramus, por el estudio comparativo de teorías explicativas; Usha Goswami, por el modelo de muestreo temporal; y Julian Elliott junto con Elena Grigorenko, por haber abierto el debate sobre la validez misma del constructo. En la neurociencia cultural y educativa de la lectura, Stanislas Dehaene y Maryanne Wolf marcan las coordenadas internacionales, y Hernando Barrios-Tao ofrece la mediación colombiana entre neurociencias, educación y entorno sociocultural.</w:t>
      </w:r>
    </w:p>
    <w:p w14:paraId="22781895" w14:textId="77777777" w:rsidR="0023240D" w:rsidRDefault="00000000">
      <w:pPr>
        <w:ind w:firstLine="720"/>
        <w:jc w:val="both"/>
      </w:pPr>
      <w:r>
        <w:t>De la producción hispanohablante y latinoamericana reciente este trabajo utiliza de manera directa a María Soledad Carrillo Gallego, Jesús Alegría, Paulina Miranda y Noelia Sánchez, por la estimación de prevalencia en lengua española; a Verónica Miranda-Merizalde y Andrea Núñez Naranjo, en neurociencia aplicada a la inclusión; a Bryan Ramos Ventura, por la revisión latinoamericana del diseño universal para el aprendizaje; y a Arteaga Gualán con su equipo, por la revisión sistemática de estrategias pedagógicas para la dislexia.</w:t>
      </w:r>
    </w:p>
    <w:p w14:paraId="7453C6CB" w14:textId="77777777" w:rsidR="0023240D" w:rsidRDefault="00000000">
      <w:pPr>
        <w:ind w:firstLine="720"/>
        <w:jc w:val="both"/>
      </w:pPr>
      <w:r>
        <w:t>La genealogía de la historia y la sociología de la organización escolar es más corta y más nítida: David Tyack y William Tobin fundaron la categoría, Antonio Viñao Frago la historizó en el mundo iberoamericano y Flavia Terigi la volvió operativa para pensar trayectorias. Del lado de la lectura digital y la hibridación están Pablo Delgado, Cristina Vargas, Rakefet Ackerman y Ladislao Salmerón, autores del metaanálisis que ordenó el campo; Anne Mangen y Adriaan van der Weel, por el marco integrador sobre la lectura en la era digital; y Stefan Hrastinski, por la conceptualización del aprendizaje combinado.</w:t>
      </w:r>
    </w:p>
    <w:p w14:paraId="5618223A" w14:textId="77777777" w:rsidR="0023240D" w:rsidRDefault="00000000">
      <w:pPr>
        <w:ind w:firstLine="720"/>
        <w:jc w:val="both"/>
      </w:pPr>
      <w:r>
        <w:t xml:space="preserve">Del lado de la fenomenología, la cognición </w:t>
      </w:r>
      <w:proofErr w:type="spellStart"/>
      <w:r>
        <w:t>enactiva</w:t>
      </w:r>
      <w:proofErr w:type="spellEnd"/>
      <w:r>
        <w:t xml:space="preserve"> y el pensamiento complejo se sitúan Maurice Merleau-Ponty, Humberto Maturana y Francisco Varela, Edgar Morin, Basarab </w:t>
      </w:r>
      <w:proofErr w:type="spellStart"/>
      <w:r>
        <w:t>Nicolescu</w:t>
      </w:r>
      <w:proofErr w:type="spellEnd"/>
      <w:r>
        <w:t xml:space="preserve"> y Rolando García, con León Mora (2021) como antecedente reciente de la aplicación del pensamiento complejo a los modelos pedagógicos. En educación inclusiva y diseño universal, Anne Meyer, David Rose y David Gordon junto con el Center </w:t>
      </w:r>
      <w:proofErr w:type="spellStart"/>
      <w:r>
        <w:t>for</w:t>
      </w:r>
      <w:proofErr w:type="spellEnd"/>
      <w:r>
        <w:t xml:space="preserve"> </w:t>
      </w:r>
      <w:proofErr w:type="spellStart"/>
      <w:r>
        <w:t>Applied</w:t>
      </w:r>
      <w:proofErr w:type="spellEnd"/>
      <w:r>
        <w:t xml:space="preserve"> </w:t>
      </w:r>
      <w:proofErr w:type="spellStart"/>
      <w:r>
        <w:t>Special</w:t>
      </w:r>
      <w:proofErr w:type="spellEnd"/>
      <w:r>
        <w:t xml:space="preserve"> </w:t>
      </w:r>
      <w:proofErr w:type="spellStart"/>
      <w:r>
        <w:t>Technology</w:t>
      </w:r>
      <w:proofErr w:type="spellEnd"/>
      <w:r>
        <w:t xml:space="preserve">, Tony </w:t>
      </w:r>
      <w:proofErr w:type="spellStart"/>
      <w:r>
        <w:t>Booth</w:t>
      </w:r>
      <w:proofErr w:type="spellEnd"/>
      <w:r>
        <w:t xml:space="preserve"> y Mel Ainscow en la evaluación institucional, y Judy Singer en la formulación de la neurodiversidad.</w:t>
      </w:r>
    </w:p>
    <w:p w14:paraId="76E5E4D5" w14:textId="77777777" w:rsidR="0023240D" w:rsidRPr="006F358B" w:rsidRDefault="00000000">
      <w:pPr>
        <w:pStyle w:val="Ttulo2"/>
        <w:rPr/>
      </w:pPr>
      <w:r>
        <w:t>3</w:t>
      </w:r>
      <w:r w:rsidRPr="006F358B">
        <w:t>.4. Tendencias de investigación</w:t>
      </w:r>
    </w:p>
    <w:p w14:paraId="52E5E300" w14:textId="77777777" w:rsidR="0023240D" w:rsidRPr="006F358B" w:rsidRDefault="00000000">
      <w:pPr>
        <w:ind w:firstLine="720"/>
        <w:jc w:val="both"/>
        <w:rPr/>
      </w:pPr>
      <w:r w:rsidRPr="006F358B">
        <w:t xml:space="preserve">La producción de las últimas dos décadas se ordena en torno a unos pocos movimientos, de los que el más consolidado es el abandono progresivo de los modelos de déficit único en favor de explicaciones multifactoriales y dimensionales, movimiento que la síntesis de Snowling et al. (2020) selló y que le ha restado prestigio a las causas simples. En paralelo creció la investigación sobre soporte y comprensión, impulsada por el metaanálisis de Delgado et al. (2018), con un interés cada vez mayor por la temporalidad de la tarea como variable que modula el efecto, más que por el dispositivo en sí mismo.</w:t>
      </w:r>
    </w:p>
    <w:p w14:paraId="02666251" w14:textId="77777777" w:rsidR="0023240D" w:rsidRPr="006F358B" w:rsidRDefault="00000000">
      <w:pPr>
        <w:ind w:firstLine="720"/>
        <w:jc w:val="both"/>
        <w:rPr/>
      </w:pPr>
      <w:r w:rsidRPr="006F358B">
        <w:lastRenderedPageBreak/>
        <w:t xml:space="preserve">Entretanto, el diseño universal para el aprendizaje se adoptó como marco de política pública. Esa expansión latinoamericana viene acompañada de una tensión que merece atención, y es que la accesibilidad y la flexibilización amplían el repertorio de intervención mientras el aprendizaje sigue organizándose desde modelos de adaptación del estudiante al marco existente (Ramos Ventura, 2025).</w:t>
      </w:r>
    </w:p>
    <w:p w14:paraId="2CD673E6" w14:textId="77777777" w:rsidR="0023240D" w:rsidRPr="006F358B" w:rsidRDefault="00000000">
      <w:pPr>
        <w:ind w:firstLine="720"/>
        <w:jc w:val="both"/>
        <w:rPr/>
      </w:pPr>
      <w:r w:rsidRPr="006F358B">
        <w:t xml:space="preserve">Del lado latinoamericano aumentó también la producción sobre estrategias didácticas para la dislexia, con predominio de revisiones sistemáticas y estudios descriptivos de corta duración, según se desprende tanto de Arteaga Gualán et al. (2024) como de Miranda-Merizalde y Núñez Naranjo (2025). El pensamiento complejo, como muestra León Mora (2021), se incorporó a la investigación educativa iberoamericana con más fuerza en la fundamentación general que en el diseño metodológico concreto.</w:t>
      </w:r>
    </w:p>
    <w:p w14:paraId="55E75FE0" w14:textId="77777777" w:rsidR="0023240D" w:rsidRPr="006F358B" w:rsidRDefault="00000000">
      <w:pPr>
        <w:pStyle w:val="Ttulo2"/>
        <w:rPr/>
      </w:pPr>
      <w:r w:rsidRPr="006F358B">
        <w:t>3.5. Vacíos de conocimiento</w:t>
      </w:r>
    </w:p>
    <w:p w14:paraId="02C60F7C" w14:textId="77777777" w:rsidR="0023240D" w:rsidRDefault="00000000">
      <w:pPr>
        <w:ind w:firstLine="720"/>
        <w:jc w:val="both"/>
      </w:pPr>
      <w:r w:rsidRPr="006F358B">
        <w:t xml:space="preserve">Falta investigación que trate la dislexia como fenómeno coproducido por la organización escolar, pues la psicolingüística estudia al lector, la sociología de la educación estudia la institución, y la revisión no encontró trabajos que documenten empíricamente el circuito que une las condiciones escolares de reconocimiento con la constitución de la experiencia disléxica.</w:t>
      </w:r>
    </w:p>
    <w:p w14:paraId="034CC15F" w14:textId="77777777" w:rsidR="0023240D" w:rsidRDefault="00000000">
      <w:pPr>
        <w:ind w:firstLine="720"/>
        <w:jc w:val="both"/>
      </w:pPr>
      <w:r>
        <w:t>Falta investigación sobre dislexia situada en aulas híbridas. Los estudios sobre lectura digital trabajan con población general, los estudios sobre dislexia lo hacen sobre todo en escenarios presenciales o clínicos, y la intersección permanece casi vacía justo cuando la hibridación se ha vuelto la norma.</w:t>
      </w:r>
    </w:p>
    <w:p w14:paraId="32A30B45" w14:textId="77777777" w:rsidR="0023240D" w:rsidRDefault="00000000">
      <w:pPr>
        <w:ind w:firstLine="720"/>
        <w:jc w:val="both"/>
      </w:pPr>
      <w:r>
        <w:t>Falta atención a la educación media, porque la producción se concentra en primaria, donde se aprende a decodificar, y desatiende la etapa en que la lectura académica se intensifica y las trayectorias se juegan de manera irreversible.</w:t>
      </w:r>
    </w:p>
    <w:p w14:paraId="33F4118E" w14:textId="77777777" w:rsidR="0023240D" w:rsidRPr="006F358B" w:rsidRDefault="00000000">
      <w:pPr>
        <w:ind w:firstLine="720"/>
        <w:jc w:val="both"/>
        <w:rPr/>
      </w:pPr>
      <w:r w:rsidRPr="006F358B">
        <w:t xml:space="preserve">Falta, por último, investigación colombiana que examine si el Decreto 1421 de 2017 llega efectivamente al diseño de las consignas en entornos mediados por plataformas, o si se detiene antes, en el diligenciamiento del Plan Individual de Ajustes Razonables.</w:t>
      </w:r>
    </w:p>
    <w:p w14:paraId="35524F53" w14:textId="77777777" w:rsidR="0023240D" w:rsidRPr="006F358B" w:rsidRDefault="00000000">
      <w:pPr>
        <w:pStyle w:val="Ttulo2"/>
        <w:rPr/>
      </w:pPr>
      <w:r w:rsidRPr="006F358B">
        <w:t>3.6. Tensiones conceptuales</w:t>
      </w:r>
    </w:p>
    <w:p w14:paraId="31B9FBB8" w14:textId="77777777" w:rsidR="0023240D" w:rsidRPr="006F358B" w:rsidRDefault="00000000">
      <w:pPr>
        <w:ind w:firstLine="720"/>
        <w:jc w:val="both"/>
        <w:rPr/>
      </w:pPr>
      <w:r w:rsidRPr="006F358B">
        <w:t xml:space="preserve">Lejos de ser un consenso acumulado, el campo está atravesado por fricciones que este estudio asume y no suaviza.</w:t>
      </w:r>
    </w:p>
    <w:p w14:paraId="46FA9025" w14:textId="77777777" w:rsidR="0023240D" w:rsidRPr="006F358B" w:rsidRDefault="00000000">
      <w:pPr>
        <w:ind w:firstLine="720"/>
        <w:jc w:val="both"/>
        <w:rPr/>
      </w:pPr>
      <w:r w:rsidRPr="006F358B">
        <w:t xml:space="preserve">La fricción ontológica enfrenta a Snowling et al. (2020), para quienes la dislexia posee realidad empírica como punto de un continuo, con Elliott y Grigorenko (2014) y con Singer (1999), para quienes el rótulo carece de utilidad educativa diferencial o patologiza indebidamente una variación. La investigación no toma partido por adhesión y prefiere reformular el desacuerdo, porque si la dislexia es un punto de un continuo, el corte que la delimita es una decisión institucional y no un hecho natural, y esa decisión constituye el objeto de este estudio. La disputa deja entonces de ser un obstáculo para volverse punto de entrada, aunque la reformulación no zanje el desacuerdo de fondo.</w:t>
      </w:r>
    </w:p>
    <w:p w14:paraId="1578AE2A" w14:textId="77777777" w:rsidR="0023240D" w:rsidRPr="006F358B" w:rsidRDefault="00000000">
      <w:pPr>
        <w:ind w:firstLine="720"/>
        <w:jc w:val="both"/>
        <w:rPr/>
      </w:pPr>
      <w:r w:rsidRPr="006F358B">
        <w:t xml:space="preserve">En el plano epistemológico chocan la explicación neurocognitiva, que busca mecanismos en el nivel subpersonal, y la comprensión fenomenológica, que busca sentido en el nivel de la experiencia vivida. Para Merleau-Ponty (1945/1957) la percepción es una relación del cuerpo con el mundo antes que el registro de un estímulo, tesis difícil de conciliar con cualquier lectura estrictamente representacional del procesamiento fonológico. Maturana y Varela (1984) y Barrios-Tao (2016) ofrecen el modo de habitar la fricción sin resolverla por reducción, y la reformulación llega al plantearse que lo contradictorio en un nivel de realidad puede no serlo en otro (Nicolescu, 2009).</w:t>
      </w:r>
    </w:p>
    <w:p w14:paraId="51BE491D" w14:textId="77777777" w:rsidR="0023240D" w:rsidRDefault="00000000">
      <w:pPr>
        <w:ind w:firstLine="720"/>
        <w:jc w:val="both"/>
      </w:pPr>
      <w:r w:rsidRPr="006F358B">
        <w:t xml:space="preserve">En el plano pedagógico se oponen, además, el mandato de equidad, que exige criterios comunes para certificar, y el de inclusión, que exige respuesta diferenciada. Booth y Ainscow (2015) reconocen en esa oposición el</w:t>
      </w:r>
      <w:r>
        <w:t xml:space="preserve"> problema central de la evaluación institucional de la inclusión. La literatura </w:t>
      </w:r>
      <w:r>
        <w:lastRenderedPageBreak/>
        <w:t>sobre diseño universal (Meyer et al., 2014) propone resolverla flexibilizando el diseño; es una propuesta atractiva, y su viabilidad en contextos de alta presión certificadora sigue siendo materia de discusión.</w:t>
      </w:r>
    </w:p>
    <w:p w14:paraId="0C07BECC" w14:textId="77777777" w:rsidR="0023240D" w:rsidRPr="006F358B" w:rsidRDefault="00000000">
      <w:pPr>
        <w:ind w:firstLine="720"/>
        <w:jc w:val="both"/>
        <w:rPr/>
      </w:pPr>
      <w:r w:rsidRPr="006F358B">
        <w:t xml:space="preserve">Queda por último la fricción tecnológica, que confronta la promesa de personalización de los entornos digitales con la evidencia de estandarización que reúnen Delgado et al. (2018) y Mangen y van der Weel (2016). La plataforma se presenta como instrumento de individualización y funciona de hecho como instrumento de uniformización de la tarea. Esa contradicción está en el centro de la indagación empírica que aquí se propone.</w:t>
      </w:r>
    </w:p>
    <w:p w14:paraId="202F42BF" w14:textId="77777777" w:rsidR="0023240D" w:rsidRPr="006F358B" w:rsidRDefault="00000000">
      <w:pPr>
        <w:pStyle w:val="Ttulo2"/>
        <w:rPr/>
      </w:pPr>
      <w:r w:rsidRPr="006F358B">
        <w:t>3.7. Límites metodológicos del campo</w:t>
      </w:r>
    </w:p>
    <w:p w14:paraId="50205A6C" w14:textId="77777777" w:rsidR="0023240D" w:rsidRPr="006F358B" w:rsidRDefault="00000000">
      <w:pPr>
        <w:ind w:firstLine="720"/>
        <w:jc w:val="both"/>
        <w:rPr/>
      </w:pPr>
      <w:r w:rsidRPr="006F358B">
        <w:t xml:space="preserve">La literatura revisada tiene límites que acotan sus conclusiones, y este estudio los toma como advertencias para su propio diseño y no como reproches.</w:t>
      </w:r>
    </w:p>
    <w:p w14:paraId="0439D48E" w14:textId="77777777" w:rsidR="0023240D" w:rsidRPr="006F358B" w:rsidRDefault="00000000">
      <w:pPr>
        <w:ind w:firstLine="720"/>
        <w:jc w:val="both"/>
        <w:rPr/>
      </w:pPr>
      <w:r w:rsidRPr="006F358B">
        <w:t xml:space="preserve">La investigación psicolingüística trabaja sobre todo en laboratorio y gana en validez interna lo que pierde en transferibilidad a las condiciones ordinarias del aula, como se ve en Ramus et al. (2003), que estudiaron una muestra reducida de adultos universitarios, y eso vuelve arriesgada cualquier extrapolación a adolescentes escolarizados. A ello se añade que los criterios de identificación de la dislexia varían entre estudios, dificultad que los propios Snowling et al. (2020) reconocen y que impide comparar prevalencias y efectos con seguridad; Carrillo Gallego et al. (2011) advierten en la misma dirección que la cifra cambia según el punto de corte y el instrumento empleado.</w:t>
      </w:r>
    </w:p>
    <w:p w14:paraId="2DF7189E" w14:textId="77777777" w:rsidR="0023240D" w:rsidRPr="006F358B" w:rsidRDefault="00000000">
      <w:pPr>
        <w:ind w:firstLine="720"/>
        <w:jc w:val="both"/>
        <w:rPr/>
      </w:pPr>
      <w:r w:rsidRPr="006F358B">
        <w:t xml:space="preserve">El corpus arrastra además un sesgo lingüístico considerable, ya que la mayor parte de la evidencia proviene de estudios en inglés, cuya opacidad ortográfica difiere de la transparencia del español, con consecuencias directas sobre cómo se manifiesta conductualmente la dificultad.</w:t>
      </w:r>
    </w:p>
    <w:p w14:paraId="7B783FE9" w14:textId="77777777" w:rsidR="0023240D" w:rsidRPr="006F358B" w:rsidRDefault="00000000">
      <w:pPr>
        <w:ind w:firstLine="720"/>
        <w:jc w:val="both"/>
        <w:rPr/>
      </w:pPr>
      <w:r w:rsidRPr="006F358B">
        <w:t xml:space="preserve">Tampoco están exentos de problemas los metaanálisis sobre soporte de lectura. Delgado et al. (2018) admiten heterogeneidad entre los estudios primarios y dificultad para controlar el tipo de dispositivo, la extensión del texto y la familiaridad previa del lector. Arteaga Gualán et al. (2024) y Ramos Ventura (2025) reportan, por lo demás, el predominio de diseños transversales de corta duración en la producción latinoamericana, con escasa medición de la sostenibilidad de los efectos.</w:t>
      </w:r>
    </w:p>
    <w:p w14:paraId="4DEAF5DC" w14:textId="77777777" w:rsidR="0023240D" w:rsidRPr="006F358B" w:rsidRDefault="00000000">
      <w:pPr>
        <w:ind w:firstLine="720"/>
        <w:jc w:val="both"/>
        <w:rPr/>
      </w:pPr>
      <w:r w:rsidRPr="006F358B">
        <w:t xml:space="preserve">El pensamiento complejo, cuando entra en la investigación educativa iberoamericana, suele quedarse en la fundamentación sin derivar procedimientos concretos de recolección y análisis, límite que León Mora (2021) hace explícito y que este trabajo procura no repetir.</w:t>
      </w:r>
    </w:p>
    <w:p w14:paraId="49E6D17D" w14:textId="77777777" w:rsidR="0023240D" w:rsidRPr="006F358B" w:rsidRDefault="00000000">
      <w:pPr>
        <w:pStyle w:val="Ttulo2"/>
        <w:rPr/>
      </w:pPr>
      <w:r w:rsidRPr="006F358B">
        <w:t>3.8. Justificación del estudio propio</w:t>
      </w:r>
    </w:p>
    <w:p w14:paraId="36FF76B6" w14:textId="77777777" w:rsidR="0023240D" w:rsidRPr="006F358B" w:rsidRDefault="00000000">
      <w:pPr>
        <w:ind w:firstLine="720"/>
        <w:jc w:val="both"/>
        <w:rPr/>
      </w:pPr>
      <w:r w:rsidRPr="006F358B">
        <w:t xml:space="preserve">Vacíos, tensiones y límites convergen en el mismo punto, y allí se justifica esta tesina. Su objeto es la intersección que la literatura no cubre, esto es, la configuración recursiva entre las gramáticas escolares de lectura y la experiencia lectora disléxica en el aula híbrida de educación media colombiana.</w:t>
      </w:r>
    </w:p>
    <w:p w14:paraId="0179F6D8" w14:textId="77777777" w:rsidR="0023240D" w:rsidRDefault="00000000">
      <w:pPr>
        <w:ind w:firstLine="720"/>
        <w:jc w:val="both"/>
      </w:pPr>
      <w:r w:rsidRPr="006F358B">
        <w:t xml:space="preserve">La originalidad descansa en unas pocas decisiones, y la primera invierte la dirección analítica dominante, ya que en vez de preguntar qué le pasa al estudiante disléxico en la escuela pregunta qué hace la escuela para que una variación perceptiva y temporal se convierta en dislexia escolarmente relevante</w:t>
      </w:r>
      <w:r>
        <w:t>. De ahí se sigue el nivel donde se sitúa el análisis, el de la consigna, que es donde la norma se vuelve tarea concreta y que la literatura ha saltado al concentrarse en el sujeto o en la política general. El pensamiento complejo opera además dentro del diseño metodológico y no solo en el marco. Y el conocimiento producido tiene capacidad de intervenir sobre el problema, en forma de un modelo de análisis de las condiciones escolares de reconocimiento de la lectura y de los criterios pedagógicos que de él se derivan.</w:t>
      </w:r>
    </w:p>
    <w:p w14:paraId="3EFF5DF6" w14:textId="77777777" w:rsidR="0023240D" w:rsidRDefault="00000000">
      <w:r>
        <w:br w:type="page"/>
      </w:r>
    </w:p>
    <w:p w14:paraId="65C487A0" w14:textId="77777777" w:rsidR="0023240D" w:rsidRDefault="00000000">
      <w:pPr>
        <w:pStyle w:val="Ttulo1"/>
      </w:pPr>
      <w:r>
        <w:lastRenderedPageBreak/>
        <w:t>4. Pregunta de investigación</w:t>
      </w:r>
    </w:p>
    <w:p w14:paraId="3F93E196" w14:textId="77777777" w:rsidR="0023240D" w:rsidRDefault="00000000">
      <w:pPr>
        <w:pStyle w:val="Ttulo2"/>
      </w:pPr>
      <w:r>
        <w:t>4.1. Formulación</w:t>
      </w:r>
    </w:p>
    <w:p w14:paraId="274216E1" w14:textId="77777777" w:rsidR="0023240D" w:rsidRDefault="00000000">
      <w:pPr>
        <w:ind w:firstLine="720"/>
        <w:jc w:val="both"/>
      </w:pPr>
      <w:r>
        <w:t>¿Cómo se constituye, en las aulas híbridas de educación media, la relación recursiva entre las gramáticas escolares de lectura y la experiencia lectora de estudiantes diagnosticados con dislexia?</w:t>
      </w:r>
    </w:p>
    <w:p w14:paraId="2D7471FB" w14:textId="77777777" w:rsidR="0023240D" w:rsidRDefault="00000000">
      <w:pPr>
        <w:pStyle w:val="Ttulo2"/>
      </w:pPr>
      <w:r>
        <w:t>4.2. Preguntas orientadoras</w:t>
      </w:r>
    </w:p>
    <w:p w14:paraId="67458585" w14:textId="77777777" w:rsidR="0023240D" w:rsidRDefault="00000000">
      <w:pPr>
        <w:ind w:firstLine="720"/>
        <w:jc w:val="both"/>
      </w:pPr>
      <w:r>
        <w:t>La pregunta se despliega en interrogantes subordinadas que no dividen su foco. Ninguna de ellas presupone el resultado de las demás.</w:t>
      </w:r>
    </w:p>
    <w:p w14:paraId="71202943" w14:textId="77777777" w:rsidR="0023240D" w:rsidRDefault="00000000">
      <w:pPr>
        <w:pStyle w:val="Prrafodelista"/>
        <w:numPr>
          <w:ilvl w:val="0"/>
          <w:numId w:val="2"/>
        </w:numPr>
        <w:jc w:val="both"/>
      </w:pPr>
      <w:r>
        <w:t>¿Qué formas de organización perceptiva y temporal presuponen las consignas de lectura en los segmentos sincrónico y asincrónico del aula híbrida?</w:t>
      </w:r>
    </w:p>
    <w:p w14:paraId="79DBE965" w14:textId="77777777" w:rsidR="0023240D" w:rsidRDefault="00000000">
      <w:pPr>
        <w:pStyle w:val="Prrafodelista"/>
        <w:numPr>
          <w:ilvl w:val="0"/>
          <w:numId w:val="2"/>
        </w:numPr>
        <w:jc w:val="both"/>
      </w:pPr>
      <w:r>
        <w:t>¿Cómo viven y qué sentido le dan a la lectura escolar los estudiantes diagnosticados con dislexia en ese escenario?</w:t>
      </w:r>
    </w:p>
    <w:p w14:paraId="0495C3DA" w14:textId="77777777" w:rsidR="0023240D" w:rsidRDefault="00000000">
      <w:pPr>
        <w:pStyle w:val="Prrafodelista"/>
        <w:numPr>
          <w:ilvl w:val="0"/>
          <w:numId w:val="2"/>
        </w:numPr>
        <w:jc w:val="both"/>
      </w:pPr>
      <w:r>
        <w:t>¿Mediante qué operaciones concretas la institución convierte determinadas experiencias lectoras en déficit, desajuste o insuficiencia?</w:t>
      </w:r>
    </w:p>
    <w:p w14:paraId="008734ED" w14:textId="77777777" w:rsidR="0023240D" w:rsidRDefault="00000000">
      <w:pPr>
        <w:pStyle w:val="Prrafodelista"/>
        <w:numPr>
          <w:ilvl w:val="0"/>
          <w:numId w:val="2"/>
        </w:numPr>
        <w:jc w:val="both"/>
      </w:pPr>
      <w:r>
        <w:t>¿Qué relaciones se establecen entre las condiciones escolares de reconocimiento, las respuestas de ajuste y las trayectorias de los estudiantes, y en qué medida esas relaciones admiten ser descritas como retroalimentación?</w:t>
      </w:r>
    </w:p>
    <w:p w14:paraId="5E061A73" w14:textId="77777777" w:rsidR="0023240D" w:rsidRDefault="00000000">
      <w:r>
        <w:br w:type="page"/>
      </w:r>
    </w:p>
    <w:p w14:paraId="2B318A04" w14:textId="77777777" w:rsidR="0023240D" w:rsidRDefault="00000000">
      <w:pPr>
        <w:pStyle w:val="Ttulo1"/>
      </w:pPr>
      <w:r>
        <w:lastRenderedPageBreak/>
        <w:t>5. Justificación</w:t>
      </w:r>
    </w:p>
    <w:p w14:paraId="26889166" w14:textId="77777777" w:rsidR="0023240D" w:rsidRDefault="00000000">
      <w:pPr>
        <w:pStyle w:val="Ttulo2"/>
      </w:pPr>
      <w:r>
        <w:t>5.1. Dimensión teórica: aportes al conocimiento</w:t>
      </w:r>
    </w:p>
    <w:p w14:paraId="603EB6A4" w14:textId="77777777" w:rsidR="0023240D" w:rsidRDefault="00000000">
      <w:pPr>
        <w:ind w:firstLine="720"/>
        <w:jc w:val="both"/>
      </w:pPr>
      <w:r>
        <w:t>El campo dispone de una categoría para nombrar las reglas generales de la escuela y no tiene ninguna para nombrar las reglas específicas con que la escuela reconoce la lectura. Cubrir ese hueco es la contribución más inmediata de este estudio, y lo hace con la categoría de gramática escolar de lectura, construida al cruzar la tradición de Tyack y Tobin (1994) con la investigación sobre didáctica y percepción del acto lector.</w:t>
      </w:r>
    </w:p>
    <w:p w14:paraId="60F1A172" w14:textId="77777777" w:rsidR="0023240D" w:rsidRDefault="00000000">
      <w:pPr>
        <w:ind w:firstLine="720"/>
        <w:jc w:val="both"/>
      </w:pPr>
      <w:r>
        <w:t>Hay una segunda aportación, que atañe a la manera de construir el objeto: la dislexia deja de ser propiedad de un sujeto y pasa a ser relación entre una variabilidad perceptiva y una norma institucional. A esa reformulación obliga la fricción entre Snowling et al. (2020) y Elliott y Grigorenko (2014), que ninguna de las dos posiciones resuelve desde su propio terreno.</w:t>
      </w:r>
    </w:p>
    <w:p w14:paraId="30CB7386" w14:textId="77777777" w:rsidR="0023240D" w:rsidRPr="006F358B" w:rsidRDefault="00000000">
      <w:pPr>
        <w:ind w:firstLine="720"/>
        <w:jc w:val="both"/>
        <w:rPr/>
      </w:pPr>
      <w:r w:rsidRPr="006F358B">
        <w:t xml:space="preserve">En lo metodológico, el trabajo procura dar forma operativa al principio de recursividad organizacional, que la investigación educativa iberoamericana suele invocar sin traducirlo en procedimientos, según el límite que León Mora (2021) deja señalado.</w:t>
      </w:r>
    </w:p>
    <w:p w14:paraId="081B9EBF" w14:textId="77777777" w:rsidR="0023240D" w:rsidRPr="006F358B" w:rsidRDefault="00000000">
      <w:pPr>
        <w:pStyle w:val="Ttulo2"/>
        <w:rPr/>
      </w:pPr>
      <w:r w:rsidRPr="006F358B">
        <w:t>5.2. Dimensión práctica: utilidad en contextos reales</w:t>
      </w:r>
    </w:p>
    <w:p w14:paraId="26A5A84E" w14:textId="77777777" w:rsidR="0023240D" w:rsidRPr="006F358B" w:rsidRDefault="00000000">
      <w:pPr>
        <w:ind w:firstLine="720"/>
        <w:jc w:val="both"/>
        <w:rPr/>
      </w:pPr>
      <w:r w:rsidRPr="006F358B">
        <w:t xml:space="preserve">Para el docente de lenguaje de educación media, el estudio produce criterios verificables para diseñar consignas en plataforma: cuánto tiempo conceder y a partir de qué punto el cronómetro deja de medir comprensión; qué extensión y qué estructura debe tener el enunciado; cómo separar la valoración de lo comprendido de la valoración de lo escrito; qué formatos alternativos conviene tener listos desde el inicio. Al déficit de formación específica que señalan Arteaga Gualán et al. (2024), ese repertorio responde con precisión.</w:t>
      </w:r>
    </w:p>
    <w:p w14:paraId="3C36848A" w14:textId="77777777" w:rsidR="0023240D" w:rsidRPr="006F358B" w:rsidRDefault="00000000">
      <w:pPr>
        <w:ind w:firstLine="720"/>
        <w:jc w:val="both"/>
        <w:rPr/>
      </w:pPr>
      <w:r w:rsidRPr="006F358B">
        <w:t xml:space="preserve">El equipo de orientación escolar recibe una herramienta con la que leer la institución y no solamente al estudiante, con lo que el Plan Individual de Ajustes Razonables puede pasar de registro que se archiva a instrumento que rediseña la tarea.</w:t>
      </w:r>
    </w:p>
    <w:p w14:paraId="1287718F" w14:textId="77777777" w:rsidR="0023240D" w:rsidRPr="006F358B" w:rsidRDefault="00000000">
      <w:pPr>
        <w:ind w:firstLine="720"/>
        <w:jc w:val="both"/>
        <w:rPr/>
      </w:pPr>
      <w:r w:rsidRPr="006F358B">
        <w:t xml:space="preserve">Al establecimiento le queda una ruta para examinar sus propias condiciones de reconocimiento de la lectura en entornos híbridos, aplicable en los procesos ordinarios de mejoramiento institucional y sin necesidad de recursos adicionales.</w:t>
      </w:r>
    </w:p>
    <w:p w14:paraId="711C431A" w14:textId="77777777" w:rsidR="0023240D" w:rsidRPr="006F358B" w:rsidRDefault="00000000">
      <w:pPr>
        <w:pStyle w:val="Ttulo2"/>
        <w:rPr/>
      </w:pPr>
      <w:r w:rsidRPr="006F358B">
        <w:t>5.3. Dimensión social y educativa: impacto en comunidades e instituciones</w:t>
      </w:r>
    </w:p>
    <w:p w14:paraId="64473993" w14:textId="77777777" w:rsidR="0023240D" w:rsidRDefault="00000000">
      <w:pPr>
        <w:ind w:firstLine="720"/>
        <w:jc w:val="both"/>
      </w:pPr>
      <w:r w:rsidRPr="006F358B">
        <w:t xml:space="preserve">El desempeño lector del país se sitúa 67 puntos por debajo del promedio de la Organización para la Cooperación y el Desarrollo Económicos, y más de la mitad de los estudiantes evaluados no alcanza el nivel básico de competencia (Ministerio de Educación Nacional, 2023). En ese escenario, quien llega a la educación media con una dificultad específica del aprendizaje de la lectura acumula desventajas que la estrategia individual apenas alcanza a compensar, y el estudio contribuye a hacer visible el componente institucional de ese riesgo, que es el que las políticas de remediación no alcanzan, porque ni siquiera lo miran.</w:t>
      </w:r>
    </w:p>
    <w:p w14:paraId="1B78A36E" w14:textId="77777777" w:rsidR="0023240D" w:rsidRDefault="00000000">
      <w:pPr>
        <w:ind w:firstLine="720"/>
        <w:jc w:val="both"/>
      </w:pPr>
      <w:r>
        <w:t>En el plano normativo, aporta elementos para que los ajustes razonables previstos en el Decreto 1421 de 2017 y en la Ley 1618 de 2013 se inscriban en el diseño de la tarea y no únicamente en el expediente del estudiante. Con ello se alinea con el llamado del informe de seguimiento de la educación en el mundo (Organización de las Naciones Unidas para la Educación, la Ciencia y la Cultura, 2020) a examinar los mecanismos corrientes mediante los cuales los sistemas educativos excluyen sin proponérselo.</w:t>
      </w:r>
    </w:p>
    <w:p w14:paraId="7E22836E" w14:textId="77777777" w:rsidR="0023240D" w:rsidRDefault="00000000">
      <w:pPr>
        <w:pStyle w:val="Ttulo2"/>
      </w:pPr>
      <w:r>
        <w:t>5.4. Carácter situado del conocimiento producido</w:t>
      </w:r>
    </w:p>
    <w:p w14:paraId="0D191650" w14:textId="77777777" w:rsidR="0023240D" w:rsidRDefault="00000000">
      <w:pPr>
        <w:ind w:firstLine="720"/>
        <w:jc w:val="both"/>
      </w:pPr>
      <w:r>
        <w:t xml:space="preserve">Nada de lo anterior autoriza a prometer resultados universales. El modelo y los criterios que este estudio producirá se construirán en un contexto determinado, el de instituciones de educación media con modalidades híbridas, y su sentido dependerá de las condiciones materiales, culturales y organizativas de cada establecimiento. No habrá tipologías neurocognitivas cerradas </w:t>
      </w:r>
      <w:r>
        <w:lastRenderedPageBreak/>
        <w:t>ni explicaciones generales de la dislexia, porque el diseño no permite obtenerlas y porque pretenderlo contradiría el propio enfoque. La transferibilidad se ofrece como posibilidad razonada, y quien deba evaluarla es el actor del contexto que reciba los resultados, no el investigador que los produjo.</w:t>
      </w:r>
    </w:p>
    <w:p w14:paraId="1679BE93" w14:textId="77777777" w:rsidR="0023240D" w:rsidRDefault="00000000">
      <w:r>
        <w:br w:type="page"/>
      </w:r>
    </w:p>
    <w:p w14:paraId="5790DA21" w14:textId="77777777" w:rsidR="0023240D" w:rsidRDefault="00000000">
      <w:pPr>
        <w:pStyle w:val="Ttulo1"/>
      </w:pPr>
      <w:r>
        <w:lastRenderedPageBreak/>
        <w:t>6. Objetivos</w:t>
      </w:r>
    </w:p>
    <w:p w14:paraId="6B0CFDD3" w14:textId="77777777" w:rsidR="0023240D" w:rsidRDefault="00000000">
      <w:pPr>
        <w:pStyle w:val="Ttulo2"/>
      </w:pPr>
      <w:r>
        <w:t>6.1. Objetivo general</w:t>
      </w:r>
    </w:p>
    <w:p w14:paraId="6C727FAF" w14:textId="77777777" w:rsidR="0023240D" w:rsidRDefault="00000000">
      <w:pPr>
        <w:ind w:firstLine="720"/>
        <w:jc w:val="both"/>
      </w:pPr>
      <w:r>
        <w:t>Construir un modelo de análisis de las condiciones escolares de reconocimiento de la lectura en aulas híbridas de educación media, mediante la reconstrucción de la relación entre las gramáticas escolares y la experiencia lectora de estudiantes diagnosticados con dislexia.</w:t>
      </w:r>
    </w:p>
    <w:p w14:paraId="7F995C79" w14:textId="77777777" w:rsidR="0023240D" w:rsidRDefault="00000000">
      <w:pPr>
        <w:pStyle w:val="Ttulo2"/>
      </w:pPr>
      <w:r>
        <w:t>6.2. Objetivos específicos</w:t>
      </w:r>
    </w:p>
    <w:p w14:paraId="397D908F" w14:textId="77777777" w:rsidR="0023240D" w:rsidRDefault="00000000">
      <w:pPr>
        <w:pStyle w:val="Prrafodelista"/>
        <w:numPr>
          <w:ilvl w:val="0"/>
          <w:numId w:val="2"/>
        </w:numPr>
        <w:jc w:val="both"/>
      </w:pPr>
      <w:r>
        <w:t>Identificar las formas de interacción perceptiva y temporal que emergen en estudiantes diagnosticados con dislexia frente a las consignas de lectura de los segmentos sincrónico y asincrónico del aula híbrida.</w:t>
      </w:r>
    </w:p>
    <w:p w14:paraId="211F8881" w14:textId="77777777" w:rsidR="0023240D" w:rsidRDefault="00000000">
      <w:pPr>
        <w:pStyle w:val="Prrafodelista"/>
        <w:numPr>
          <w:ilvl w:val="0"/>
          <w:numId w:val="2"/>
        </w:numPr>
        <w:jc w:val="both"/>
      </w:pPr>
      <w:r>
        <w:t>Examinar las lógicas pedagógicas de secuencialidad, temporalidad y estabilización del significado que operan en esas consignas como criterios de inteligibilidad escolar de la lectura.</w:t>
      </w:r>
    </w:p>
    <w:p w14:paraId="51C48C70" w14:textId="77777777" w:rsidR="0023240D" w:rsidRDefault="00000000">
      <w:pPr>
        <w:pStyle w:val="Prrafodelista"/>
        <w:numPr>
          <w:ilvl w:val="0"/>
          <w:numId w:val="2"/>
        </w:numPr>
        <w:jc w:val="both"/>
      </w:pPr>
      <w:r>
        <w:t>Interpretar las operaciones institucionales mediante las cuales determinadas experiencias lectoras son traducidas como déficit, desajuste o insuficiencia dentro de las prácticas actuales de inclusión educativa.</w:t>
      </w:r>
    </w:p>
    <w:p w14:paraId="7C4C7AC7" w14:textId="77777777" w:rsidR="0023240D" w:rsidRDefault="00000000">
      <w:pPr>
        <w:pStyle w:val="Prrafodelista"/>
        <w:numPr>
          <w:ilvl w:val="0"/>
          <w:numId w:val="2"/>
        </w:numPr>
        <w:jc w:val="both"/>
      </w:pPr>
      <w:r>
        <w:t>Establecer si las relaciones entre la exigencia de homogeneización de la gramática escolar y la heterogeneidad de la experiencia perceptiva disléxica operan como circuitos de retroalimentación, y bajo qué condiciones lo hacen.</w:t>
      </w:r>
    </w:p>
    <w:p w14:paraId="1D0F192F" w14:textId="77777777" w:rsidR="0023240D" w:rsidRDefault="00000000">
      <w:pPr>
        <w:pStyle w:val="Prrafodelista"/>
        <w:numPr>
          <w:ilvl w:val="0"/>
          <w:numId w:val="2"/>
        </w:numPr>
        <w:jc w:val="both"/>
      </w:pPr>
      <w:r>
        <w:t>Formular el modelo de análisis y los criterios pedagógicos que de él se derivan, y validarlos mediante juicio de expertos y grupo focal de contraste con los docentes participantes.</w:t>
      </w:r>
    </w:p>
    <w:p w14:paraId="6745E156" w14:textId="77777777" w:rsidR="0023240D" w:rsidRDefault="00000000">
      <w:r>
        <w:br w:type="page"/>
      </w:r>
    </w:p>
    <w:p w14:paraId="7EE28218" w14:textId="77777777" w:rsidR="0023240D" w:rsidRDefault="00000000">
      <w:pPr>
        <w:pStyle w:val="Ttulo1"/>
      </w:pPr>
      <w:r>
        <w:lastRenderedPageBreak/>
        <w:t>7. Marco teórico-conceptual</w:t>
      </w:r>
    </w:p>
    <w:p w14:paraId="52A5DB76" w14:textId="77777777" w:rsidR="0023240D" w:rsidRPr="006F358B" w:rsidRDefault="00000000">
      <w:pPr>
        <w:ind w:firstLine="720"/>
        <w:jc w:val="both"/>
        <w:rPr/>
      </w:pPr>
      <w:r w:rsidRPr="006F358B">
        <w:t xml:space="preserve">Las tradiciones en que este estudio se apoya resultan insuficientes por separado. Ponerlas a trabajar juntas, señalando dónde se apoyan y dónde chocan, conduce a una definición del objeto que ninguna de ellas habría producido en solitario. Los conceptos que se introducen funcionan como herramientas de investigación, revisables si el campo los vuelve inadecuados, y no como definiciones cerradas que obliguen al fenómeno a coincidir con ellas.</w:t>
      </w:r>
    </w:p>
    <w:p w14:paraId="3FE12ABD" w14:textId="77777777" w:rsidR="0023240D" w:rsidRPr="006F358B" w:rsidRDefault="00000000">
      <w:pPr>
        <w:pStyle w:val="Ttulo2"/>
        <w:rPr/>
      </w:pPr>
      <w:r w:rsidRPr="006F358B">
        <w:t>7.1. El pensamiento complejo como matriz epistemológica</w:t>
      </w:r>
    </w:p>
    <w:p w14:paraId="3C316B94" w14:textId="77777777" w:rsidR="0023240D" w:rsidRPr="006F358B" w:rsidRDefault="00000000">
      <w:pPr>
        <w:ind w:firstLine="720"/>
        <w:jc w:val="both"/>
        <w:rPr/>
      </w:pPr>
      <w:r w:rsidRPr="006F358B">
        <w:t xml:space="preserve">Morin (1994) define la complejidad como el tejido de eventos, acciones, interacciones, retroacciones y determinaciones que constituye el mundo fenoménico, y de ahí desprende varios operadores, de los que el dialógico mantiene la dualidad dentro de la unidad y asocia términos complementarios y antagonistas sin obligarlos a fundirse. El de recursividad organizacional rompe la causalidad lineal al establecer que los productos son también productores de aquello que los produce. Interesa sobre todo el hologramático. La parte está en el todo y el todo en la parte, y es ese operador el que autoriza el estudio intensivo de unos pocos casos: si la organización se repite en cada fragmento, un aula bien observada dice más que el promedio de cincuenta.</w:t>
      </w:r>
    </w:p>
    <w:p w14:paraId="4EF8DB37" w14:textId="77777777" w:rsidR="0023240D" w:rsidRDefault="00000000">
      <w:pPr>
        <w:ind w:firstLine="720"/>
        <w:jc w:val="both"/>
      </w:pPr>
      <w:r w:rsidRPr="006F358B">
        <w:t xml:space="preserve">Una enseñanza pertinente debe ocuparse del contexto, de lo global y de lo multidimensional, y guardarse de la ceguera que produce la fragmentación disciplinaria (Morin, 1999). La salida técnica la ofrece Nicolescu (2009) con su planteamiento sobre los niveles de realidad, según el cual lo contradictorio en un nivel puede dejar de serlo en otro.</w:t>
      </w:r>
      <w:proofErr w:type="spellStart"/>
      <w:r w:rsidRPr="006F358B">
        <w:t/>
      </w:r>
      <w:proofErr w:type="spellEnd"/>
      <w:r w:rsidRPr="006F358B">
        <w:t xml:space="preserve"/>
      </w:r>
      <w:r>
        <w:t xml:space="preserve"> Eso permite alojar en el mismo trabajo la explicación neurocognitiva y la comprensión fenomenológica sin obligar a ninguna a rendirse. García (2006) baja todo eso al terreno empírico mediante la noción de sistema complejo, totalidad organizada cuyos elementos no son separables y cuyo estudio obliga a decidir de antemano límites, niveles y escalas. León Mora (2021) aporta la advertencia que este trabajo procura atender, pues declararse complejo no impide conservar estructuras de interacción tan estables como las que se pretende cuestionar.</w:t>
      </w:r>
    </w:p>
    <w:p w14:paraId="3BFEADA3" w14:textId="77777777" w:rsidR="0023240D" w:rsidRDefault="00000000">
      <w:pPr>
        <w:pStyle w:val="Ttulo2"/>
      </w:pPr>
      <w:r>
        <w:t>7.2. Inteligibilidad pedagógica y condiciones de reconocimiento de la lectura</w:t>
      </w:r>
    </w:p>
    <w:p w14:paraId="34582C31" w14:textId="77777777" w:rsidR="0023240D" w:rsidRDefault="00000000">
      <w:pPr>
        <w:ind w:firstLine="720"/>
        <w:jc w:val="both"/>
      </w:pPr>
      <w:r>
        <w:t>El eje conceptual del estudio es la inteligibilidad pedagógica: el conjunto de condiciones perceptivas, temporales y normativas desde las cuales la escuela reconoce ciertas formas de lectura como legítimas y descarta otras. Vista así, la dislexia deja de agotarse en su inscripción clínica y pasa a comprometer las estructuras mediante las cuales la institución regula la percepción del lenguaje escrito y jerarquiza unas maneras de aprender sobre otras.</w:t>
      </w:r>
    </w:p>
    <w:p w14:paraId="35A435CF" w14:textId="77777777" w:rsidR="0023240D" w:rsidRDefault="00000000">
      <w:pPr>
        <w:ind w:firstLine="720"/>
        <w:jc w:val="both"/>
      </w:pPr>
      <w:r>
        <w:t>Operando dentro de esas condiciones hay una figura que nunca aparece en ningún documento y que sin embargo gobierna la evaluación: el lector ideal. Es él quien fija los ritmos de atención esperados, las temporalidades de trabajo y el modo correcto de relacionarse con el texto. Cuando una experiencia lectora no coincide con esas coordenadas, aparecen las categorías de déficit, trastorno o desajuste, y aparecen no necesariamente porque falte capacidad, sino porque la organización escolar ya había decidido de antemano qué cuenta como lectura. Singer (1999) ofrece con la neurodiversidad una manera de nombrar esa diferencia sin convertirla automáticamente en patología.</w:t>
      </w:r>
    </w:p>
    <w:p w14:paraId="77B11026" w14:textId="77777777" w:rsidR="0023240D" w:rsidRDefault="00000000">
      <w:pPr>
        <w:pStyle w:val="Ttulo2"/>
      </w:pPr>
      <w:r>
        <w:t>7.3. Gramáticas escolares de lectura</w:t>
      </w:r>
    </w:p>
    <w:p w14:paraId="5EC58CB8" w14:textId="77777777" w:rsidR="0023240D" w:rsidRPr="006F358B" w:rsidRDefault="00000000">
      <w:pPr>
        <w:ind w:firstLine="720"/>
        <w:jc w:val="both"/>
        <w:rPr/>
      </w:pPr>
      <w:r>
        <w:t xml:space="preserve">Tres aportes se cruzan en la categoría central de este trabajo. Tyack y Tobin (1994) acuñaron la gramática de la escolarización para designar las estructuras y reglas organizativas que regulan la enseñanza y que persisten porque son el marco no examinado desde el cual se piensa cualquier reforma. </w:t>
      </w:r>
      <w:r w:rsidRPr="006F358B">
        <w:t xml:space="preserve">Viñao (2002) mostró que esas regularidades tienen historia propia y que las culturas escolares reinterpretan las innovaciones según sus lógicas de continuidad. Terigi (2010) nombró después, con las cronologías de aprendizaje, el supuesto de una secuencia temporal única, que convierte en problema individual toda trayectoria que se salga de ella.</w:t>
      </w:r>
      <w:r w:rsidRPr="006F358B">
        <w:lastRenderedPageBreak/>
        <w:t/>
      </w:r>
    </w:p>
    <w:p w14:paraId="5BB4660E" w14:textId="77777777" w:rsidR="0023240D" w:rsidRPr="006F358B" w:rsidRDefault="00000000">
      <w:pPr>
        <w:ind w:firstLine="720"/>
        <w:jc w:val="both"/>
        <w:rPr/>
      </w:pPr>
      <w:r w:rsidRPr="006F358B">
        <w:t xml:space="preserve">De allí se deriva la categoría propia de este trabajo. Una gramática escolar de lectura es el conjunto de reglas tácitas, criterios de desempeño, formatos de tarea y dispositivos de evaluación con los que una institución define, sin decirlo, qué cuenta como leer bien, en cuánto tiempo debe hacerse y con qué evidencias debe demostrarse. La escuela moderna sostiene el aprendizaje lector sobre trayectorias lineales de progreso, secuencialidad, velocidad y estabilización del significado, y esas estructuras sobreviven incluso cuando el discurso pedagógico se llena de complejidad y formación integral (León Mora, 2021). La categoría se sitúa en un nivel intermedio, más abajo que la política educativa y más arriba que la decisión de cada profesor, y ese es el nivel en que este estudio busca.</w:t>
      </w:r>
    </w:p>
    <w:p w14:paraId="32BC008D" w14:textId="77777777" w:rsidR="0023240D" w:rsidRPr="006F358B" w:rsidRDefault="00000000">
      <w:pPr>
        <w:pStyle w:val="Ttulo2"/>
        <w:rPr/>
      </w:pPr>
      <w:r w:rsidRPr="006F358B">
        <w:t xml:space="preserve">7.4. Cuerpo, percepción y cognición </w:t>
      </w:r>
      <w:proofErr w:type="spellStart"/>
      <w:r w:rsidRPr="006F358B">
        <w:t>enactiva</w:t>
      </w:r>
      <w:proofErr w:type="spellEnd"/>
    </w:p>
    <w:p w14:paraId="716DF66A" w14:textId="77777777" w:rsidR="0023240D" w:rsidRPr="006F358B" w:rsidRDefault="00000000">
      <w:pPr>
        <w:ind w:firstLine="720"/>
        <w:jc w:val="both"/>
        <w:rPr/>
      </w:pPr>
      <w:r w:rsidRPr="006F358B">
        <w:t xml:space="preserve">Leer es antes una experiencia del cuerpo que un procesamiento de información, y percibir consiste en sostener una relación corporal con el mundo más que en recibir un dato, de modo que el cuerpo orienta y produce sentido en vez de limitarse a recibirlo (Merleau-Ponty, 1945/1957). Maturana y Varela (1984) desarrollan el acoplamiento estructural y el determinismo estructural, y con ellos el aprendizaje puede pensarse como historia de interacciones recurrentes que transforma tanto al organismo como al entorno. Desde ahí, alfabetizarse resulta ser mucho más que adquirir una técnica: supone reorganizar formas de atención, de secuencialidad y de procesamiento perceptivo, y hacerlo dentro de un espacio institucional que las regula.</w:t>
      </w:r>
    </w:p>
    <w:p w14:paraId="22932E81" w14:textId="77777777" w:rsidR="0023240D" w:rsidRPr="006F358B" w:rsidRDefault="00000000">
      <w:pPr>
        <w:ind w:firstLine="720"/>
        <w:jc w:val="both"/>
        <w:rPr/>
      </w:pPr>
      <w:r w:rsidRPr="006F358B">
        <w:t xml:space="preserve">Barrios-Tao (2016) sitúa esta orientación en el debate iberoamericano al recordar que las relaciones entre neurociencias y educación no pueden reducirse al cerebro aislado, pues “factores como salud, ambiente vital, ejercicio físico y aspectos como plasticidad, madurez cerebral y neuronas espejo son relevantes para considerar el influjo del entorno sociocultural en la educación” (p. 398). La pieza complementaria la aporta Dehaene (2009) con el reciclaje neuronal: la lectura reutiliza circuitos previos y constituye por tanto una invención cultural. Leer es un artefacto histórico. De donde se sigue que toda dificultad lectora resulta siempre relativa a ese artefacto y no a un orden natural. El argumento se extiende al soporte digital cuando se plantea que la lectura fragmentada de pantalla interfiere en la construcción del circuito de lectura profunda (Wolf, 2018).</w:t>
      </w:r>
      <w:proofErr w:type="spellStart"/>
      <w:r w:rsidRPr="006F358B">
        <w:t/>
      </w:r>
      <w:proofErr w:type="spellEnd"/>
      <w:r w:rsidRPr="006F358B">
        <w:t xml:space="preserve"/>
      </w:r>
    </w:p>
    <w:p w14:paraId="036BD738" w14:textId="77777777" w:rsidR="0023240D" w:rsidRPr="006F358B" w:rsidRDefault="00000000">
      <w:pPr>
        <w:pStyle w:val="Ttulo2"/>
        <w:rPr/>
      </w:pPr>
      <w:r w:rsidRPr="006F358B">
        <w:t>7.5. El aula híbrida como ecología de la consigna</w:t>
      </w:r>
    </w:p>
    <w:p w14:paraId="5B2C3657" w14:textId="77777777" w:rsidR="0023240D" w:rsidRPr="006F358B" w:rsidRDefault="00000000">
      <w:pPr>
        <w:ind w:firstLine="720"/>
        <w:jc w:val="both"/>
        <w:rPr/>
      </w:pPr>
      <w:proofErr w:type="spellStart"/>
      <w:r w:rsidRPr="006F358B">
        <w:t xml:space="preserve">El aprendizaje combinado carece de definición unívoca y conviene entenderlo como una familia de arreglos que integran enseñanza presencial y en línea en proporciones variables (Hrastinski, 2019). Este estudio adopta una definición más restringida, y más útil para su objeto. El aula híbrida es aquí una ecología de la consigna, un arreglo material y temporal en el que la tarea de lectura se reparte en dos tramos, uno sincrónico, gobernado por la copresencia y la respuesta inmediata, y otro asincrónico, gobernado por la plataforma y la autorregulación del estudiante.</w:t>
      </w:r>
      <w:proofErr w:type="spellEnd"/>
      <w:r w:rsidRPr="006F358B">
        <w:t xml:space="preserve"/>
      </w:r>
      <w:proofErr w:type="spellStart"/>
      <w:r w:rsidRPr="006F358B">
        <w:t/>
      </w:r>
      <w:proofErr w:type="spellEnd"/>
      <w:r w:rsidRPr="006F358B">
        <w:t xml:space="preserve"/>
      </w:r>
    </w:p>
    <w:p w14:paraId="4A2D8DE2" w14:textId="77777777" w:rsidR="0023240D" w:rsidRPr="006F358B" w:rsidRDefault="00000000">
      <w:pPr>
        <w:ind w:firstLine="720"/>
        <w:jc w:val="both"/>
        <w:rPr/>
      </w:pPr>
      <w:proofErr w:type="spellStart"/>
      <w:r w:rsidRPr="006F358B">
        <w:t xml:space="preserve">Mangen y van der Weel (2016) proponen un marco que considera conjuntamente las dimensiones cognitiva, ergonómica, emocional y material de la lectura, y a su juicio el soporte no transporta el contenido: forma parte del acto lector. Delgado et al. (2018) le dan respaldo cuantitativo a esa tesis en el terreno de la comprensión de textos informativos y señalan la limitación temporal como condición que modula el efecto. De ambos se desprende el supuesto operativo con el que este trabajo mira las plataformas, a saber, que la interfaz codifica una gramática de lectura y la aplica por igual a todos los estudiantes del curso, a falta de una decisión explícita al respecto.</w:t>
      </w:r>
      <w:proofErr w:type="spellEnd"/>
      <w:r w:rsidRPr="006F358B">
        <w:t xml:space="preserve"/>
      </w:r>
      <w:proofErr w:type="spellStart"/>
      <w:r w:rsidRPr="006F358B">
        <w:t/>
      </w:r>
      <w:proofErr w:type="spellEnd"/>
      <w:r w:rsidRPr="006F358B">
        <w:t xml:space="preserve"/>
      </w:r>
      <w:proofErr w:type="spellStart"/>
      <w:r w:rsidRPr="006F358B">
        <w:t/>
      </w:r>
      <w:proofErr w:type="spellEnd"/>
      <w:r w:rsidRPr="006F358B">
        <w:t xml:space="preserve"/>
      </w:r>
    </w:p>
    <w:p w14:paraId="50A8EE9E" w14:textId="77777777" w:rsidR="0023240D" w:rsidRPr="006F358B" w:rsidRDefault="00000000">
      <w:pPr>
        <w:pStyle w:val="Ttulo2"/>
        <w:rPr/>
      </w:pPr>
      <w:r w:rsidRPr="006F358B">
        <w:t>7.6. Educación inclusiva, diseño universal y marco normativo colombiano</w:t>
      </w:r>
    </w:p>
    <w:p w14:paraId="7BD7033A" w14:textId="77777777" w:rsidR="0023240D" w:rsidRPr="006F358B" w:rsidRDefault="00000000">
      <w:pPr>
        <w:ind w:firstLine="720"/>
        <w:jc w:val="both"/>
        <w:rPr/>
      </w:pPr>
      <w:r w:rsidRPr="006F358B">
        <w:lastRenderedPageBreak/>
        <w:t xml:space="preserve">Meyer et al. (2014) formulan el diseño universal para el aprendizaje como marco que multiplica las formas de representación, de acción y expresión, y de implicación, con el propósito de reducir barreras del entorno en lugar de compensar déficits del sujeto. El Center for Applied Special Technology (2018) sistematiza esas pautas para su uso curricular, y Ramos Ventura (2025) rastrea su difusión latinoamericana junto con su límite práctico, dado que el aprendizaje sigue organizándose desde modelos de adaptación del estudiante. Booth y Ainscow (2015) aportan, en otra dirección, un dispositivo de autoevaluación institucional que corre el foco desde el estudiante hacia las culturas, las políticas y las prácticas del establecimiento.</w:t>
      </w:r>
      <w:proofErr w:type="spellStart"/>
      <w:r w:rsidRPr="006F358B">
        <w:t/>
      </w:r>
      <w:proofErr w:type="spellEnd"/>
      <w:r w:rsidRPr="006F358B">
        <w:t xml:space="preserve"/>
      </w:r>
      <w:proofErr w:type="spellStart"/>
      <w:r w:rsidRPr="006F358B">
        <w:t/>
      </w:r>
      <w:proofErr w:type="spellEnd"/>
      <w:r w:rsidRPr="006F358B">
        <w:t xml:space="preserve"/>
      </w:r>
      <w:proofErr w:type="spellStart"/>
      <w:r w:rsidRPr="006F358B">
        <w:t/>
      </w:r>
      <w:proofErr w:type="spellEnd"/>
      <w:r w:rsidRPr="006F358B">
        <w:t xml:space="preserve"/>
      </w:r>
      <w:proofErr w:type="spellStart"/>
      <w:r w:rsidRPr="006F358B">
        <w:t/>
      </w:r>
      <w:proofErr w:type="spellEnd"/>
      <w:r w:rsidRPr="006F358B">
        <w:t xml:space="preserve"/>
      </w:r>
      <w:proofErr w:type="spellStart"/>
      <w:r w:rsidRPr="006F358B">
        <w:t/>
      </w:r>
      <w:proofErr w:type="spellEnd"/>
      <w:r w:rsidRPr="006F358B">
        <w:t xml:space="preserve"/>
      </w:r>
    </w:p>
    <w:p w14:paraId="02A3D47D" w14:textId="77777777" w:rsidR="0023240D" w:rsidRPr="006F358B" w:rsidRDefault="00000000">
      <w:pPr>
        <w:ind w:firstLine="720"/>
        <w:jc w:val="both"/>
        <w:rPr/>
      </w:pPr>
      <w:r w:rsidRPr="006F358B">
        <w:t xml:space="preserve">En Colombia el marco lo componen la Ley 115 de 1994, que define la educación como servicio público con función social; la Ley 1618 de 2013, que garantiza el ejercicio pleno de los derechos de las personas con discapacidad; y el Decreto 1421 de 2017, que reglamenta la atención educativa a esa población, define los ajustes razonables y hace obligatorio el Plan Individual de Ajustes Razonables. El cumplimiento formal de esa normativa queda fuera de esta auditoría. Interesa la distancia entre el papel firmado y la consigna que el estudiante abre el martes en la plataforma.</w:t>
      </w:r>
    </w:p>
    <w:p w14:paraId="621B822B" w14:textId="77777777" w:rsidR="0023240D" w:rsidRPr="006F358B" w:rsidRDefault="00000000">
      <w:pPr>
        <w:pStyle w:val="Ttulo2"/>
        <w:rPr/>
      </w:pPr>
      <w:r w:rsidRPr="006F358B">
        <w:t>7.7. Articulación teórica y relación con el objeto de estudio</w:t>
      </w:r>
    </w:p>
    <w:p w14:paraId="545DA5C1" w14:textId="77777777" w:rsidR="0023240D" w:rsidRPr="006F358B" w:rsidRDefault="00000000">
      <w:pPr>
        <w:ind w:firstLine="720"/>
        <w:jc w:val="both"/>
        <w:rPr/>
      </w:pPr>
      <w:r w:rsidRPr="006F358B">
        <w:t xml:space="preserve">Las tradiciones convocadas convergen sin homogeneizarse por ello. La psicolingüística aporta el carácter dimensional de la variabilidad lectora; la sociología de la organización escolar, el carácter institucional y no natural de la norma; la fenomenología y la cognición enactiva, la corporalidad de la percepción; la investigación sobre lectura digital, la materialidad del soporte. Lo que ninguna de ellas tiene por sí misma lo pone el pensamiento complejo, que es el operador para pensar la relación entre esos planos como circuito y no como cadena.</w:t>
      </w:r>
    </w:p>
    <w:p w14:paraId="27ACD0CE" w14:textId="77777777" w:rsidR="0023240D" w:rsidRPr="006F358B" w:rsidRDefault="00000000">
      <w:pPr>
        <w:ind w:firstLine="720"/>
        <w:jc w:val="both"/>
        <w:rPr/>
      </w:pPr>
      <w:r w:rsidRPr="006F358B">
        <w:t xml:space="preserve">De ahí resulta la definición de la que parte el trabajo. Si la variabilidad lectora es dimensional, si la norma escolar es una construcción histórica, si la percepción es corporal y situada, y si el soporte digital codifica y uniformiza esa norma, entonces la experiencia disléxica en el aula híbrida resultaría de la interacción entre esos planos, y comprenderla exigiría mantener los tres en su sitio.</w:t>
      </w:r>
    </w:p>
    <w:p w14:paraId="2BD333B2" w14:textId="77777777" w:rsidR="0023240D" w:rsidRPr="006F358B" w:rsidRDefault="00000000">
      <w:pPr>
        <w:rPr/>
      </w:pPr>
      <w:r w:rsidRPr="006F358B">
        <w:rPr/>
        <w:br w:type="page"/>
      </w:r>
    </w:p>
    <w:p w14:paraId="60730ABB" w14:textId="77777777" w:rsidR="0023240D" w:rsidRPr="006F358B" w:rsidRDefault="00000000">
      <w:pPr>
        <w:pStyle w:val="Ttulo1"/>
        <w:rPr/>
      </w:pPr>
      <w:r w:rsidRPr="006F358B">
        <w:lastRenderedPageBreak/>
        <w:t>8. Hipótesis de trabajo y categorías iniciales</w:t>
      </w:r>
    </w:p>
    <w:p w14:paraId="386F8452" w14:textId="77777777" w:rsidR="0023240D" w:rsidRPr="006F358B" w:rsidRDefault="00000000">
      <w:pPr>
        <w:pStyle w:val="Ttulo2"/>
        <w:rPr/>
      </w:pPr>
      <w:r w:rsidRPr="006F358B">
        <w:t>8.1. Hipótesis de trabajo</w:t>
      </w:r>
    </w:p>
    <w:p w14:paraId="29341635" w14:textId="77777777" w:rsidR="0023240D" w:rsidRPr="006F358B" w:rsidRDefault="00000000">
      <w:pPr>
        <w:ind w:firstLine="720"/>
        <w:jc w:val="both"/>
        <w:rPr/>
      </w:pPr>
      <w:r w:rsidRPr="006F358B">
        <w:t xml:space="preserve">El estudio formula una proposición provisional, y no una relación entre variables medibles, que orienta la entrada al campo y que el campo puede desmentir, corregir o volver irrelevante.</w:t>
      </w:r>
    </w:p>
    <w:p w14:paraId="4E44AF9E" w14:textId="77777777" w:rsidR="0023240D" w:rsidRPr="006F358B" w:rsidRDefault="00000000">
      <w:pPr>
        <w:ind w:firstLine="720"/>
        <w:jc w:val="both"/>
        <w:rPr/>
      </w:pPr>
      <w:r w:rsidRPr="006F358B">
        <w:t xml:space="preserve">Las consignas escolares de lectura del aula híbrida organizarían condiciones de inteligibilidad desde las cuales ciertas formas de relación con el texto llegan a reconocerse como lectura, mientras otras modalidades de relación perceptiva con el texto y con las temporalidades escolares tienden a traducirse como déficit, desajuste o insuficiencia. Cabría además que esa traducción, al ser gestionada mediante ajustes y apoyos, reafirmara las condiciones que la hicieron posible.</w:t>
      </w:r>
    </w:p>
    <w:p w14:paraId="3C121B5D" w14:textId="77777777" w:rsidR="0023240D" w:rsidRPr="006F358B" w:rsidRDefault="00000000">
      <w:pPr>
        <w:ind w:firstLine="720"/>
        <w:jc w:val="both"/>
        <w:rPr/>
      </w:pPr>
      <w:r w:rsidRPr="006F358B">
        <w:t xml:space="preserve">La proposición admite ser falsada en dos puntos, porque puede ocurrir que las condiciones de reconocimiento se dispersen en prácticas sin regularidad y no lleguen a formar un conjunto reconocible, y puede ocurrir que la gestión del ajuste, lejos de reafirmar la norma, la erosione. Cualquiera de las dos situaciones obligaría a reformular el problema y no a descartar el dato. Conviene subrayar, en todo caso, que la experiencia lectora de los estudiantes diagnosticados con dislexia es aquí la posición desde la que se observa, no el objeto que se examina.</w:t>
      </w:r>
    </w:p>
    <w:p w14:paraId="1DB085E5" w14:textId="77777777" w:rsidR="0023240D" w:rsidRPr="006F358B" w:rsidRDefault="00000000">
      <w:pPr>
        <w:pStyle w:val="Ttulo2"/>
        <w:rPr/>
      </w:pPr>
      <w:r w:rsidRPr="006F358B">
        <w:t>8.2. Supuestos derivados</w:t>
      </w:r>
    </w:p>
    <w:p w14:paraId="180D6422" w14:textId="77777777" w:rsidR="0023240D" w:rsidRPr="006F358B" w:rsidRDefault="00000000">
      <w:pPr>
        <w:pStyle w:val="Prrafodelista"/>
        <w:numPr>
          <w:ilvl w:val="0"/>
          <w:numId w:val="2"/>
        </w:numPr>
        <w:jc w:val="both"/>
        <w:rPr/>
      </w:pPr>
      <w:r w:rsidRPr="006F358B">
        <w:t xml:space="preserve">Las instituciones estudiadas operan con una gramática escolar de lectura que permanece sin escribir y cuyos criterios de secuencialidad, velocidad y estabilización del significado funcionan como umbrales de normalidad aplicados sin distinción.</w:t>
      </w:r>
    </w:p>
    <w:p w14:paraId="54C719D5" w14:textId="77777777" w:rsidR="0023240D" w:rsidRPr="006F358B" w:rsidRDefault="00000000">
      <w:pPr>
        <w:pStyle w:val="Prrafodelista"/>
        <w:numPr>
          <w:ilvl w:val="0"/>
          <w:numId w:val="2"/>
        </w:numPr>
        <w:jc w:val="both"/>
        <w:rPr/>
      </w:pPr>
      <w:r w:rsidRPr="006F358B">
        <w:t xml:space="preserve">Esa gramática la codifica el diseño técnico de las plataformas, que la aplica sin variación, y el ajuste razonable queda relegado por ello al margen de negociación de cada docente, siempre fuera del núcleo de la tarea.</w:t>
      </w:r>
    </w:p>
    <w:p w14:paraId="7536E408" w14:textId="77777777" w:rsidR="0023240D" w:rsidRPr="006F358B" w:rsidRDefault="00000000">
      <w:pPr>
        <w:pStyle w:val="Prrafodelista"/>
        <w:numPr>
          <w:ilvl w:val="0"/>
          <w:numId w:val="2"/>
        </w:numPr>
        <w:jc w:val="both"/>
        <w:rPr/>
      </w:pPr>
      <w:r w:rsidRPr="006F358B">
        <w:t xml:space="preserve">Frente a ella, la experiencia lectora de estos estudiantes es multidimensional y no se agota en la decodificación, pues comprende dimensiones temporales, corporales, emocionales e identitarias que ningún instrumento de evaluación escolar registra.</w:t>
      </w:r>
    </w:p>
    <w:p w14:paraId="55D6F713" w14:textId="77777777" w:rsidR="0023240D" w:rsidRPr="006F358B" w:rsidRDefault="00000000">
      <w:pPr>
        <w:pStyle w:val="Prrafodelista"/>
        <w:numPr>
          <w:ilvl w:val="0"/>
          <w:numId w:val="2"/>
        </w:numPr>
        <w:jc w:val="both"/>
        <w:rPr/>
      </w:pPr>
      <w:r w:rsidRPr="006F358B">
        <w:t xml:space="preserve">Existen prácticas docentes que reconfiguran la consigna e interrumpen localmente el circuito, y que permanecen invisibles para la política institucional porque hasta ahora no se han sistematizado, y en ellas está la base empírica del modelo que este estudio se propone construir.</w:t>
      </w:r>
    </w:p>
    <w:p w14:paraId="32D16A98" w14:textId="77777777" w:rsidR="0023240D" w:rsidRPr="006F358B" w:rsidRDefault="00000000">
      <w:pPr>
        <w:pStyle w:val="Ttulo2"/>
        <w:rPr/>
      </w:pPr>
      <w:r w:rsidRPr="006F358B">
        <w:t>8.3. Categorías iniciales de análisis</w:t>
      </w:r>
    </w:p>
    <w:p w14:paraId="26F32921" w14:textId="77777777" w:rsidR="0023240D" w:rsidRPr="006F358B" w:rsidRDefault="00000000">
      <w:pPr>
        <w:rPr/>
      </w:pPr>
      <w:r w:rsidRPr="006F358B">
        <w:rPr>
          <w:b/>
          <w:bCs/>
        </w:rPr>
        <w:t>Tabla 1</w:t>
      </w:r>
    </w:p>
    <w:p w14:paraId="597D9DA5" w14:textId="77777777" w:rsidR="0023240D" w:rsidRPr="006F358B" w:rsidRDefault="00000000">
      <w:pPr>
        <w:rPr/>
      </w:pPr>
      <w:r w:rsidRPr="006F358B">
        <w:rPr>
          <w:i/>
          <w:iCs/>
        </w:rPr>
        <w:t>Categorías iniciales de análisis y sus referentes teóricos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3240D" w:rsidRPr="006F358B" w14:paraId="05BF9951" w14:textId="77777777">
        <w:trPr>
          <w:tblHeader/>
        </w:trPr>
        <w:tc>
          <w:tcPr>
            <w:tcW w:w="3120" w:type="dxa"/>
            <w:tcBorders>
              <w:top w:val="single" w:sz="6" w:space="0" w:color="000000"/>
              <w:left w:val="none" w:sz="0" w:space="0" w:color="FFFFFF"/>
              <w:bottom w:val="single" w:sz="6" w:space="0" w:color="000000"/>
              <w:right w:val="none" w:sz="0" w:space="0" w:color="FFFFFF"/>
            </w:tcBorders>
            <w:tcMar>
              <w:top w:w="40" w:type="dxa"/>
              <w:left w:w="90" w:type="dxa"/>
              <w:bottom w:w="40" w:type="dxa"/>
              <w:right w:w="90" w:type="dxa"/>
            </w:tcMar>
          </w:tcPr>
          <w:p w14:paraId="4315A7CC" w14:textId="77777777" w:rsidR="0023240D" w:rsidRPr="006F358B" w:rsidRDefault="00000000">
            <w:pPr>
              <w:rPr/>
            </w:pPr>
            <w:r w:rsidRPr="006F358B">
              <w:rPr>
                <w:i/>
                <w:iCs/>
                <w:sz w:val="20"/>
                <w:szCs w:val="20"/>
              </w:rPr>
              <w:t>Categoría inicial</w:t>
            </w:r>
          </w:p>
        </w:tc>
        <w:tc>
          <w:tcPr>
            <w:tcW w:w="3120" w:type="dxa"/>
            <w:tcBorders>
              <w:top w:val="single" w:sz="6" w:space="0" w:color="000000"/>
              <w:left w:val="none" w:sz="0" w:space="0" w:color="FFFFFF"/>
              <w:bottom w:val="single" w:sz="6" w:space="0" w:color="000000"/>
              <w:right w:val="none" w:sz="0" w:space="0" w:color="FFFFFF"/>
            </w:tcBorders>
            <w:tcMar>
              <w:top w:w="40" w:type="dxa"/>
              <w:left w:w="90" w:type="dxa"/>
              <w:bottom w:w="40" w:type="dxa"/>
              <w:right w:w="90" w:type="dxa"/>
            </w:tcMar>
          </w:tcPr>
          <w:p w14:paraId="30D30352" w14:textId="77777777" w:rsidR="0023240D" w:rsidRPr="006F358B" w:rsidRDefault="00000000">
            <w:pPr>
              <w:rPr/>
            </w:pPr>
            <w:r w:rsidRPr="006F358B">
              <w:rPr>
                <w:i/>
                <w:iCs/>
                <w:sz w:val="20"/>
                <w:szCs w:val="20"/>
              </w:rPr>
              <w:t>Subcategorías</w:t>
            </w:r>
          </w:p>
        </w:tc>
        <w:tc>
          <w:tcPr>
            <w:tcW w:w="3120" w:type="dxa"/>
            <w:tcBorders>
              <w:top w:val="single" w:sz="6" w:space="0" w:color="000000"/>
              <w:left w:val="none" w:sz="0" w:space="0" w:color="FFFFFF"/>
              <w:bottom w:val="single" w:sz="6" w:space="0" w:color="000000"/>
              <w:right w:val="none" w:sz="0" w:space="0" w:color="FFFFFF"/>
            </w:tcBorders>
            <w:tcMar>
              <w:top w:w="40" w:type="dxa"/>
              <w:left w:w="90" w:type="dxa"/>
              <w:bottom w:w="40" w:type="dxa"/>
              <w:right w:w="90" w:type="dxa"/>
            </w:tcMar>
          </w:tcPr>
          <w:p w14:paraId="2A331BD6" w14:textId="77777777" w:rsidR="0023240D" w:rsidRPr="006F358B" w:rsidRDefault="00000000">
            <w:pPr>
              <w:rPr/>
            </w:pPr>
            <w:r w:rsidRPr="006F358B">
              <w:rPr>
                <w:i/>
                <w:iCs/>
                <w:sz w:val="20"/>
                <w:szCs w:val="20"/>
              </w:rPr>
              <w:t>Referentes teóricos</w:t>
            </w:r>
          </w:p>
        </w:tc>
      </w:tr>
      <w:tr w:rsidR="0023240D" w:rsidRPr="006F358B" w14:paraId="0C180D83" w14:textId="77777777">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22697139" w14:textId="77777777" w:rsidR="0023240D" w:rsidRPr="006F358B" w:rsidRDefault="00000000">
            <w:pPr>
              <w:rPr/>
            </w:pPr>
            <w:r w:rsidRPr="006F358B">
              <w:rPr>
                <w:sz w:val="20"/>
                <w:szCs w:val="20"/>
              </w:rPr>
              <w:t>Gramática escolar de lectura</w:t>
            </w:r>
          </w:p>
        </w:tc>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2296568" w14:textId="77777777" w:rsidR="0023240D" w:rsidRPr="006F358B" w:rsidRDefault="00000000">
            <w:pPr>
              <w:rPr/>
            </w:pPr>
            <w:r w:rsidRPr="006F358B">
              <w:rPr>
                <w:sz w:val="20"/>
                <w:szCs w:val="20"/>
              </w:rPr>
              <w:t>Criterios de reconocimiento; formatos de consigna; dispositivos de evaluación; cronología esperada</w:t>
            </w:r>
          </w:p>
        </w:tc>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9242E7B" w14:textId="77777777" w:rsidR="0023240D" w:rsidRPr="006F358B" w:rsidRDefault="00000000">
            <w:pPr>
              <w:rPr/>
            </w:pPr>
            <w:proofErr w:type="spellStart"/>
            <w:r w:rsidRPr="006F358B">
              <w:rPr>
                <w:sz w:val="20"/>
                <w:szCs w:val="20"/>
              </w:rPr>
              <w:t>Tyack</w:t>
            </w:r>
            <w:proofErr w:type="spellEnd"/>
            <w:r w:rsidRPr="006F358B">
              <w:rPr>
                <w:sz w:val="20"/>
                <w:szCs w:val="20"/>
              </w:rPr>
              <w:t xml:space="preserve"> y Tobin (1994); </w:t>
            </w:r>
            <w:proofErr w:type="spellStart"/>
            <w:r w:rsidRPr="006F358B">
              <w:rPr>
                <w:sz w:val="20"/>
                <w:szCs w:val="20"/>
              </w:rPr>
              <w:t>Viñao</w:t>
            </w:r>
            <w:proofErr w:type="spellEnd"/>
            <w:r w:rsidRPr="006F358B">
              <w:rPr>
                <w:sz w:val="20"/>
                <w:szCs w:val="20"/>
              </w:rPr>
              <w:t xml:space="preserve"> (2002); Terigi (2010); León Mora (2021)</w:t>
            </w:r>
          </w:p>
        </w:tc>
      </w:tr>
      <w:tr w:rsidR="0023240D" w:rsidRPr="006F358B" w14:paraId="78BB45E4" w14:textId="77777777">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11CB127D" w14:textId="77777777" w:rsidR="0023240D" w:rsidRPr="006F358B" w:rsidRDefault="00000000">
            <w:pPr>
              <w:rPr/>
            </w:pPr>
            <w:r w:rsidRPr="006F358B">
              <w:rPr>
                <w:sz w:val="20"/>
                <w:szCs w:val="20"/>
              </w:rPr>
              <w:t>Experiencia lectora disléxica</w:t>
            </w:r>
          </w:p>
        </w:tc>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36910C38" w14:textId="77777777" w:rsidR="0023240D" w:rsidRPr="006F358B" w:rsidRDefault="00000000">
            <w:pPr>
              <w:rPr/>
            </w:pPr>
            <w:r w:rsidRPr="006F358B">
              <w:rPr>
                <w:sz w:val="20"/>
                <w:szCs w:val="20"/>
              </w:rPr>
              <w:t>Organización perceptiva; temporalidad y ritmo; dimensión emocional; dimensión identitaria</w:t>
            </w:r>
          </w:p>
        </w:tc>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758E8CC5" w14:textId="77777777" w:rsidR="0023240D" w:rsidRPr="006F358B" w:rsidRDefault="00000000">
            <w:pPr>
              <w:rPr/>
            </w:pPr>
            <w:proofErr w:type="spellStart"/>
            <w:r w:rsidRPr="006F358B">
              <w:rPr>
                <w:sz w:val="20"/>
                <w:szCs w:val="20"/>
              </w:rPr>
              <w:t>Snowling</w:t>
            </w:r>
            <w:proofErr w:type="spellEnd"/>
            <w:r w:rsidRPr="006F358B">
              <w:rPr>
                <w:sz w:val="20"/>
                <w:szCs w:val="20"/>
              </w:rPr>
              <w:t xml:space="preserve"> et al. (2020); Merleau-Ponty (1945/1957); Maturana y Varela (1984); Singer (1999)</w:t>
            </w:r>
          </w:p>
        </w:tc>
      </w:tr>
      <w:tr w:rsidR="0023240D" w:rsidRPr="006F358B" w14:paraId="789F285B" w14:textId="77777777">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375446C" w14:textId="77777777" w:rsidR="0023240D" w:rsidRPr="006F358B" w:rsidRDefault="00000000">
            <w:pPr>
              <w:rPr/>
            </w:pPr>
            <w:r w:rsidRPr="006F358B">
              <w:rPr>
                <w:sz w:val="20"/>
                <w:szCs w:val="20"/>
              </w:rPr>
              <w:t>Ecología del aula híbrida</w:t>
            </w:r>
          </w:p>
        </w:tc>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04CEC22C" w14:textId="77777777" w:rsidR="0023240D" w:rsidRPr="006F358B" w:rsidRDefault="00000000">
            <w:pPr>
              <w:rPr/>
            </w:pPr>
            <w:r w:rsidRPr="006F358B">
              <w:rPr>
                <w:sz w:val="20"/>
                <w:szCs w:val="20"/>
              </w:rPr>
              <w:t>Arquitectura de la plataforma; distribución sincrónica y asincrónica; temporalidad de la tarea; soporte de lectura</w:t>
            </w:r>
          </w:p>
        </w:tc>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0AFBCAC9" w14:textId="77777777" w:rsidR="0023240D" w:rsidRPr="006F358B" w:rsidRDefault="00000000">
            <w:pPr>
              <w:rPr/>
            </w:pPr>
            <w:proofErr w:type="spellStart"/>
            <w:r w:rsidRPr="006F358B">
              <w:rPr>
                <w:sz w:val="20"/>
                <w:szCs w:val="20"/>
              </w:rPr>
              <w:t>Hrastinski</w:t>
            </w:r>
            <w:proofErr w:type="spellEnd"/>
            <w:r w:rsidRPr="006F358B">
              <w:rPr>
                <w:sz w:val="20"/>
                <w:szCs w:val="20"/>
              </w:rPr>
              <w:t xml:space="preserve"> (2019); </w:t>
            </w:r>
            <w:proofErr w:type="spellStart"/>
            <w:r w:rsidRPr="006F358B">
              <w:rPr>
                <w:sz w:val="20"/>
                <w:szCs w:val="20"/>
              </w:rPr>
              <w:t>Mangen</w:t>
            </w:r>
            <w:proofErr w:type="spellEnd"/>
            <w:r w:rsidRPr="006F358B">
              <w:rPr>
                <w:sz w:val="20"/>
                <w:szCs w:val="20"/>
              </w:rPr>
              <w:t xml:space="preserve"> y van </w:t>
            </w:r>
            <w:proofErr w:type="spellStart"/>
            <w:r w:rsidRPr="006F358B">
              <w:rPr>
                <w:sz w:val="20"/>
                <w:szCs w:val="20"/>
              </w:rPr>
              <w:t>der</w:t>
            </w:r>
            <w:proofErr w:type="spellEnd"/>
            <w:r w:rsidRPr="006F358B">
              <w:rPr>
                <w:sz w:val="20"/>
                <w:szCs w:val="20"/>
              </w:rPr>
              <w:t xml:space="preserve"> </w:t>
            </w:r>
            <w:proofErr w:type="spellStart"/>
            <w:r w:rsidRPr="006F358B">
              <w:rPr>
                <w:sz w:val="20"/>
                <w:szCs w:val="20"/>
              </w:rPr>
              <w:t>Weel</w:t>
            </w:r>
            <w:proofErr w:type="spellEnd"/>
            <w:r w:rsidRPr="006F358B">
              <w:rPr>
                <w:sz w:val="20"/>
                <w:szCs w:val="20"/>
              </w:rPr>
              <w:t xml:space="preserve"> (2016); Delgado et al. (2018)</w:t>
            </w:r>
          </w:p>
        </w:tc>
      </w:tr>
      <w:tr w:rsidR="0023240D" w:rsidRPr="006F358B" w14:paraId="2E04F9C1" w14:textId="77777777">
        <w:tc>
          <w:tcPr>
            <w:tcW w:w="3120" w:type="dxa"/>
            <w:tcBorders>
              <w:top w:val="none" w:sz="0" w:space="0" w:color="FFFFFF"/>
              <w:left w:val="none" w:sz="0" w:space="0" w:color="FFFFFF"/>
              <w:bottom w:val="single" w:sz="6" w:space="0" w:color="000000"/>
              <w:right w:val="none" w:sz="0" w:space="0" w:color="FFFFFF"/>
            </w:tcBorders>
            <w:tcMar>
              <w:top w:w="40" w:type="dxa"/>
              <w:left w:w="90" w:type="dxa"/>
              <w:bottom w:w="40" w:type="dxa"/>
              <w:right w:w="90" w:type="dxa"/>
            </w:tcMar>
          </w:tcPr>
          <w:p w14:paraId="0CDC12C3" w14:textId="77777777" w:rsidR="0023240D" w:rsidRPr="006F358B" w:rsidRDefault="00000000">
            <w:pPr>
              <w:rPr/>
            </w:pPr>
            <w:r w:rsidRPr="006F358B">
              <w:rPr>
                <w:sz w:val="20"/>
                <w:szCs w:val="20"/>
              </w:rPr>
              <w:lastRenderedPageBreak/>
              <w:t>Traducción institucional de la diferencia</w:t>
            </w:r>
          </w:p>
        </w:tc>
        <w:tc>
          <w:tcPr>
            <w:tcW w:w="3120" w:type="dxa"/>
            <w:tcBorders>
              <w:top w:val="none" w:sz="0" w:space="0" w:color="FFFFFF"/>
              <w:left w:val="none" w:sz="0" w:space="0" w:color="FFFFFF"/>
              <w:bottom w:val="single" w:sz="6" w:space="0" w:color="000000"/>
              <w:right w:val="none" w:sz="0" w:space="0" w:color="FFFFFF"/>
            </w:tcBorders>
            <w:tcMar>
              <w:top w:w="40" w:type="dxa"/>
              <w:left w:w="90" w:type="dxa"/>
              <w:bottom w:w="40" w:type="dxa"/>
              <w:right w:w="90" w:type="dxa"/>
            </w:tcMar>
          </w:tcPr>
          <w:p w14:paraId="71C8854C" w14:textId="77777777" w:rsidR="0023240D" w:rsidRPr="006F358B" w:rsidRDefault="00000000">
            <w:pPr>
              <w:rPr/>
            </w:pPr>
            <w:r w:rsidRPr="006F358B">
              <w:rPr>
                <w:sz w:val="20"/>
                <w:szCs w:val="20"/>
              </w:rPr>
              <w:t>Ajustes razonables; Plan Individual de Ajustes Razonables; prácticas docentes de reconfiguración; registros de seguimiento</w:t>
            </w:r>
          </w:p>
        </w:tc>
        <w:tc>
          <w:tcPr>
            <w:tcW w:w="3120" w:type="dxa"/>
            <w:tcBorders>
              <w:top w:val="none" w:sz="0" w:space="0" w:color="FFFFFF"/>
              <w:left w:val="none" w:sz="0" w:space="0" w:color="FFFFFF"/>
              <w:bottom w:val="single" w:sz="6" w:space="0" w:color="000000"/>
              <w:right w:val="none" w:sz="0" w:space="0" w:color="FFFFFF"/>
            </w:tcBorders>
            <w:tcMar>
              <w:top w:w="40" w:type="dxa"/>
              <w:left w:w="90" w:type="dxa"/>
              <w:bottom w:w="40" w:type="dxa"/>
              <w:right w:w="90" w:type="dxa"/>
            </w:tcMar>
          </w:tcPr>
          <w:p w14:paraId="34AEB93C" w14:textId="77777777" w:rsidR="0023240D" w:rsidRPr="006F358B" w:rsidRDefault="00000000">
            <w:pPr>
              <w:rPr/>
            </w:pPr>
            <w:r w:rsidRPr="006F358B">
              <w:rPr>
                <w:sz w:val="20"/>
                <w:szCs w:val="20"/>
              </w:rPr>
              <w:t xml:space="preserve">Decreto 1421 de 2017; Meyer et al. (2014); </w:t>
            </w:r>
            <w:proofErr w:type="spellStart"/>
            <w:r w:rsidRPr="006F358B">
              <w:rPr>
                <w:sz w:val="20"/>
                <w:szCs w:val="20"/>
              </w:rPr>
              <w:t>Booth</w:t>
            </w:r>
            <w:proofErr w:type="spellEnd"/>
            <w:r w:rsidRPr="006F358B">
              <w:rPr>
                <w:sz w:val="20"/>
                <w:szCs w:val="20"/>
              </w:rPr>
              <w:t xml:space="preserve"> y Ainscow (2015); Ramos Ventura (2025)</w:t>
            </w:r>
          </w:p>
        </w:tc>
      </w:tr>
    </w:tbl>
    <w:p w14:paraId="0FEE3B7B" w14:textId="77777777" w:rsidR="0023240D" w:rsidRPr="006F358B" w:rsidRDefault="0023240D">
      <w:pPr>
        <w:rPr/>
      </w:pPr>
    </w:p>
    <w:p w14:paraId="416C9368" w14:textId="77777777" w:rsidR="0023240D" w:rsidRPr="006F358B" w:rsidRDefault="00000000">
      <w:pPr>
        <w:rPr/>
      </w:pPr>
      <w:r w:rsidRPr="006F358B">
        <w:rPr/>
        <w:br w:type="page"/>
      </w:r>
    </w:p>
    <w:p w14:paraId="7D5FDFAF" w14:textId="77777777" w:rsidR="0023240D" w:rsidRPr="006F358B" w:rsidRDefault="00000000">
      <w:pPr>
        <w:pStyle w:val="Ttulo1"/>
        <w:rPr/>
      </w:pPr>
      <w:r w:rsidRPr="006F358B">
        <w:lastRenderedPageBreak/>
        <w:t>9. Diseño metodológico y técnicas de investigación</w:t>
      </w:r>
    </w:p>
    <w:p w14:paraId="621533C9" w14:textId="77777777" w:rsidR="0023240D" w:rsidRPr="006F358B" w:rsidRDefault="00000000">
      <w:pPr>
        <w:pStyle w:val="Ttulo2"/>
        <w:rPr/>
      </w:pPr>
      <w:r w:rsidRPr="006F358B">
        <w:t>9.1. Enfoque metodológico</w:t>
      </w:r>
    </w:p>
    <w:p w14:paraId="62707F8F" w14:textId="77777777" w:rsidR="0023240D" w:rsidRPr="006F358B" w:rsidRDefault="00000000">
      <w:pPr>
        <w:ind w:firstLine="720"/>
        <w:jc w:val="both"/>
        <w:rPr/>
      </w:pPr>
      <w:r w:rsidRPr="006F358B">
        <w:t xml:space="preserve">El estudio es cualitativo, de orientación etnográfica y filosófica, e inscrito en el paradigma de la complejidad. La elección se sigue de la naturaleza del objeto, no de una preferencia de escuela ni de la disponibilidad de un procedimiento: una configuración recursiva entre norma institucional y experiencia perceptiva difícilmente puede capturarse midiendo variables independientes, porque su rasgo definitorio consiste en la inseparabilidad de los términos. Lo que interesa es reconstruir, desde la experiencia lectora de estudiantes diagnosticados con dislexia, las condiciones desde las que ciertas formas de leer resultan organizadas, interpretadas y reguladas. No se medirán desempeños ni se verificarán indicadores clínicos, entre otras razones porque el objeto no está hecho de eso.</w:t>
      </w:r>
    </w:p>
    <w:p w14:paraId="10DA6D1D" w14:textId="77777777" w:rsidR="0023240D" w:rsidRPr="006F358B" w:rsidRDefault="00000000">
      <w:pPr>
        <w:ind w:firstLine="720"/>
        <w:jc w:val="both"/>
        <w:rPr/>
      </w:pPr>
      <w:r w:rsidRPr="006F358B">
        <w:t xml:space="preserve">Siguiendo a García (2006), el sistema de análisis se define por decisiones que conviene dejar explícitas. Sus límites son los del aula de lenguaje, en modalidad híbrida y en educación media. Opera en el diseño institucional de la consigna, en la práctica docente y en la experiencia estudiantil, y trata esos tres niveles como igualmente relevantes. Su escala temporal es la de un ciclo académico completo, y lo es por una razón sencilla (una relación de retroalimentación solo se hace observable si se la sigue durante más de un giro).</w:t>
      </w:r>
    </w:p>
    <w:p w14:paraId="2698B50C" w14:textId="77777777" w:rsidR="0023240D" w:rsidRPr="006F358B" w:rsidRDefault="00000000">
      <w:pPr>
        <w:pStyle w:val="Ttulo2"/>
        <w:rPr/>
      </w:pPr>
      <w:r w:rsidRPr="006F358B">
        <w:t>9.2. Tipo de estudio</w:t>
      </w:r>
    </w:p>
    <w:p w14:paraId="4B665A16" w14:textId="77777777" w:rsidR="0023240D" w:rsidRPr="006F358B" w:rsidRDefault="00000000">
      <w:pPr>
        <w:ind w:firstLine="720"/>
        <w:jc w:val="both"/>
        <w:rPr/>
      </w:pPr>
      <w:r w:rsidRPr="006F358B">
        <w:t xml:space="preserve">El diseño es un estudio de casos múltiples con orientación fenomenológica y hermenéutica, en el que el componente de caso conserva la densidad contextual que exige comprender una gramática institucional y encuentra su justificación en el principio hologramático. Lo fenomenológico orienta la reconstrucción de la experiencia vivida. Lo hermenéutico gobierna la lectura de documentos y consignas, tratados aquí como textos que dicen más de lo que enuncian.</w:t>
      </w:r>
    </w:p>
    <w:p w14:paraId="309AD7D5" w14:textId="77777777" w:rsidR="0023240D" w:rsidRPr="006F358B" w:rsidRDefault="00000000">
      <w:pPr>
        <w:ind w:firstLine="720"/>
        <w:jc w:val="both"/>
        <w:rPr/>
      </w:pPr>
      <w:r w:rsidRPr="006F358B">
        <w:t xml:space="preserve">La organización metodológica permanece deliberadamente abierta, porque las dinámicas del aula desbordan cualquier secuencia previsible y la comprensión inicial del problema puede alterarse durante el proceso. Queda excluida de entrada, eso sí, cualquier pretensión de generalización universal sobre la dislexia o de tipología neurocognitiva cerrada.</w:t>
      </w:r>
    </w:p>
    <w:p w14:paraId="3F56D80D" w14:textId="77777777" w:rsidR="0023240D" w:rsidRPr="006F358B" w:rsidRDefault="00000000">
      <w:pPr>
        <w:pStyle w:val="Ttulo2"/>
        <w:rPr/>
      </w:pPr>
      <w:r w:rsidRPr="006F358B">
        <w:t>9.3. Contexto, población y muestra</w:t>
      </w:r>
    </w:p>
    <w:p w14:paraId="01AB441E" w14:textId="77777777" w:rsidR="0023240D" w:rsidRPr="006F358B" w:rsidRDefault="00000000">
      <w:pPr>
        <w:ind w:firstLine="720"/>
        <w:jc w:val="both"/>
        <w:rPr/>
      </w:pPr>
      <w:r w:rsidRPr="006F358B">
        <w:t xml:space="preserve">El trabajo de campo se desarrolla en instituciones educativas de Bogotá, D. C., Colombia, que atienden décimo y undécimo grado y operan con modalidades híbridas en el área de lenguaje. La muestra es intencional y de criterio, sin pretensión probabilística.</w:t>
      </w:r>
    </w:p>
    <w:p w14:paraId="2260DAC3" w14:textId="77777777" w:rsidR="0023240D" w:rsidRPr="006F358B" w:rsidRDefault="00000000">
      <w:pPr>
        <w:rPr/>
      </w:pPr>
      <w:r w:rsidRPr="006F358B">
        <w:rPr>
          <w:b/>
          <w:bCs/>
        </w:rPr>
        <w:t>Tabla 2</w:t>
      </w:r>
    </w:p>
    <w:p w14:paraId="78B53697" w14:textId="77777777" w:rsidR="0023240D" w:rsidRPr="006F358B" w:rsidRDefault="00000000">
      <w:pPr>
        <w:rPr/>
      </w:pPr>
      <w:r w:rsidRPr="006F358B">
        <w:rPr>
          <w:i/>
          <w:iCs/>
        </w:rPr>
        <w:t>Composición de la muestra y criterios de inclusión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3240D" w:rsidRPr="006F358B" w14:paraId="5C5FD185" w14:textId="77777777">
        <w:trPr>
          <w:tblHeader/>
        </w:trPr>
        <w:tc>
          <w:tcPr>
            <w:tcW w:w="3120" w:type="dxa"/>
            <w:tcBorders>
              <w:top w:val="single" w:sz="6" w:space="0" w:color="000000"/>
              <w:left w:val="none" w:sz="0" w:space="0" w:color="FFFFFF"/>
              <w:bottom w:val="single" w:sz="6" w:space="0" w:color="000000"/>
              <w:right w:val="none" w:sz="0" w:space="0" w:color="FFFFFF"/>
            </w:tcBorders>
            <w:tcMar>
              <w:top w:w="40" w:type="dxa"/>
              <w:left w:w="90" w:type="dxa"/>
              <w:bottom w:w="40" w:type="dxa"/>
              <w:right w:w="90" w:type="dxa"/>
            </w:tcMar>
          </w:tcPr>
          <w:p w14:paraId="5AFC4833" w14:textId="77777777" w:rsidR="0023240D" w:rsidRPr="006F358B" w:rsidRDefault="00000000">
            <w:pPr>
              <w:rPr/>
            </w:pPr>
            <w:r w:rsidRPr="006F358B">
              <w:rPr>
                <w:i/>
                <w:iCs/>
                <w:sz w:val="20"/>
                <w:szCs w:val="20"/>
              </w:rPr>
              <w:t>Tipo de participante</w:t>
            </w:r>
          </w:p>
        </w:tc>
        <w:tc>
          <w:tcPr>
            <w:tcW w:w="3120" w:type="dxa"/>
            <w:tcBorders>
              <w:top w:val="single" w:sz="6" w:space="0" w:color="000000"/>
              <w:left w:val="none" w:sz="0" w:space="0" w:color="FFFFFF"/>
              <w:bottom w:val="single" w:sz="6" w:space="0" w:color="000000"/>
              <w:right w:val="none" w:sz="0" w:space="0" w:color="FFFFFF"/>
            </w:tcBorders>
            <w:tcMar>
              <w:top w:w="40" w:type="dxa"/>
              <w:left w:w="90" w:type="dxa"/>
              <w:bottom w:w="40" w:type="dxa"/>
              <w:right w:w="90" w:type="dxa"/>
            </w:tcMar>
          </w:tcPr>
          <w:p w14:paraId="1B6AA46C" w14:textId="77777777" w:rsidR="0023240D" w:rsidRPr="006F358B" w:rsidRDefault="00000000">
            <w:pPr>
              <w:rPr/>
            </w:pPr>
            <w:r w:rsidRPr="006F358B">
              <w:rPr>
                <w:i/>
                <w:iCs/>
                <w:sz w:val="20"/>
                <w:szCs w:val="20"/>
              </w:rPr>
              <w:t>Cantidad prevista</w:t>
            </w:r>
          </w:p>
        </w:tc>
        <w:tc>
          <w:tcPr>
            <w:tcW w:w="3120" w:type="dxa"/>
            <w:tcBorders>
              <w:top w:val="single" w:sz="6" w:space="0" w:color="000000"/>
              <w:left w:val="none" w:sz="0" w:space="0" w:color="FFFFFF"/>
              <w:bottom w:val="single" w:sz="6" w:space="0" w:color="000000"/>
              <w:right w:val="none" w:sz="0" w:space="0" w:color="FFFFFF"/>
            </w:tcBorders>
            <w:tcMar>
              <w:top w:w="40" w:type="dxa"/>
              <w:left w:w="90" w:type="dxa"/>
              <w:bottom w:w="40" w:type="dxa"/>
              <w:right w:w="90" w:type="dxa"/>
            </w:tcMar>
          </w:tcPr>
          <w:p w14:paraId="6532792E" w14:textId="77777777" w:rsidR="0023240D" w:rsidRPr="006F358B" w:rsidRDefault="00000000">
            <w:pPr>
              <w:rPr/>
            </w:pPr>
            <w:r w:rsidRPr="006F358B">
              <w:rPr>
                <w:i/>
                <w:iCs/>
                <w:sz w:val="20"/>
                <w:szCs w:val="20"/>
              </w:rPr>
              <w:t>Criterios de inclusión</w:t>
            </w:r>
          </w:p>
        </w:tc>
      </w:tr>
      <w:tr w:rsidR="0023240D" w:rsidRPr="006F358B" w14:paraId="57242369" w14:textId="77777777">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62F5C62A" w14:textId="77777777" w:rsidR="0023240D" w:rsidRPr="006F358B" w:rsidRDefault="00000000">
            <w:pPr>
              <w:rPr/>
            </w:pPr>
            <w:r w:rsidRPr="006F358B">
              <w:rPr>
                <w:sz w:val="20"/>
                <w:szCs w:val="20"/>
              </w:rPr>
              <w:t>Estudiantes de educación media con diagnóstico formal de dislexia</w:t>
            </w:r>
          </w:p>
        </w:tc>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09C013DA" w14:textId="77777777" w:rsidR="0023240D" w:rsidRPr="006F358B" w:rsidRDefault="00000000">
            <w:pPr>
              <w:rPr/>
            </w:pPr>
            <w:r w:rsidRPr="006F358B">
              <w:rPr>
                <w:sz w:val="20"/>
                <w:szCs w:val="20"/>
              </w:rPr>
              <w:t>3, seguidos de manera intensiva y situada</w:t>
            </w:r>
          </w:p>
        </w:tc>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28C63676" w14:textId="77777777" w:rsidR="0023240D" w:rsidRPr="006F358B" w:rsidRDefault="00000000">
            <w:pPr>
              <w:rPr/>
            </w:pPr>
            <w:r w:rsidRPr="006F358B">
              <w:rPr>
                <w:sz w:val="20"/>
                <w:szCs w:val="20"/>
              </w:rPr>
              <w:t>Diagnóstico o valoración profesional documentada; matrícula activa en décimo u undécimo; participación en modalidad híbrida; asentimiento del estudiante y consentimiento del acudiente</w:t>
            </w:r>
          </w:p>
        </w:tc>
      </w:tr>
      <w:tr w:rsidR="0023240D" w:rsidRPr="006F358B" w14:paraId="55E5B73B" w14:textId="77777777">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206F451E" w14:textId="77777777" w:rsidR="0023240D" w:rsidRPr="006F358B" w:rsidRDefault="00000000">
            <w:pPr>
              <w:rPr/>
            </w:pPr>
            <w:r w:rsidRPr="006F358B">
              <w:rPr>
                <w:sz w:val="20"/>
                <w:szCs w:val="20"/>
              </w:rPr>
              <w:t>Docentes de lenguaje y áreas con alta demanda lectora</w:t>
            </w:r>
          </w:p>
        </w:tc>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67BB5ECC" w14:textId="77777777" w:rsidR="0023240D" w:rsidRPr="006F358B" w:rsidRDefault="00000000">
            <w:pPr>
              <w:rPr/>
            </w:pPr>
            <w:r w:rsidRPr="006F358B">
              <w:rPr>
                <w:sz w:val="20"/>
                <w:szCs w:val="20"/>
              </w:rPr>
              <w:t>6</w:t>
            </w:r>
          </w:p>
        </w:tc>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1A309C37" w14:textId="77777777" w:rsidR="0023240D" w:rsidRPr="006F358B" w:rsidRDefault="00000000">
            <w:pPr>
              <w:rPr/>
            </w:pPr>
            <w:r w:rsidRPr="006F358B">
              <w:rPr>
                <w:sz w:val="20"/>
                <w:szCs w:val="20"/>
              </w:rPr>
              <w:t>Ejercicio en los grados seleccionados; al menos un año de experiencia en modalidad híbrida; consentimiento informado</w:t>
            </w:r>
          </w:p>
        </w:tc>
      </w:tr>
      <w:tr w:rsidR="0023240D" w:rsidRPr="006F358B" w14:paraId="6C655526" w14:textId="77777777">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68B336AF" w14:textId="77777777" w:rsidR="0023240D" w:rsidRPr="006F358B" w:rsidRDefault="00000000">
            <w:pPr>
              <w:rPr/>
            </w:pPr>
            <w:r w:rsidRPr="006F358B">
              <w:rPr>
                <w:sz w:val="20"/>
                <w:szCs w:val="20"/>
              </w:rPr>
              <w:t>Integrantes de equipos de orientación escolar y coordinación académica</w:t>
            </w:r>
          </w:p>
        </w:tc>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3E45D920" w14:textId="77777777" w:rsidR="0023240D" w:rsidRPr="006F358B" w:rsidRDefault="00000000">
            <w:pPr>
              <w:rPr/>
            </w:pPr>
            <w:r w:rsidRPr="006F358B">
              <w:rPr>
                <w:sz w:val="20"/>
                <w:szCs w:val="20"/>
              </w:rPr>
              <w:t>4</w:t>
            </w:r>
          </w:p>
        </w:tc>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18A77CA4" w14:textId="77777777" w:rsidR="0023240D" w:rsidRPr="006F358B" w:rsidRDefault="00000000">
            <w:pPr>
              <w:rPr/>
            </w:pPr>
            <w:r w:rsidRPr="006F358B">
              <w:rPr>
                <w:sz w:val="20"/>
                <w:szCs w:val="20"/>
              </w:rPr>
              <w:t>Responsabilidad directa en la formulación o seguimiento del Plan Individual de Ajustes Razonables</w:t>
            </w:r>
          </w:p>
        </w:tc>
      </w:tr>
      <w:tr w:rsidR="0023240D" w:rsidRPr="006F358B" w14:paraId="325C213E" w14:textId="77777777">
        <w:tc>
          <w:tcPr>
            <w:tcW w:w="3120" w:type="dxa"/>
            <w:tcBorders>
              <w:top w:val="none" w:sz="0" w:space="0" w:color="FFFFFF"/>
              <w:left w:val="none" w:sz="0" w:space="0" w:color="FFFFFF"/>
              <w:bottom w:val="single" w:sz="6" w:space="0" w:color="000000"/>
              <w:right w:val="none" w:sz="0" w:space="0" w:color="FFFFFF"/>
            </w:tcBorders>
            <w:tcMar>
              <w:top w:w="40" w:type="dxa"/>
              <w:left w:w="90" w:type="dxa"/>
              <w:bottom w:w="40" w:type="dxa"/>
              <w:right w:w="90" w:type="dxa"/>
            </w:tcMar>
          </w:tcPr>
          <w:p w14:paraId="06808E24" w14:textId="77777777" w:rsidR="0023240D" w:rsidRPr="006F358B" w:rsidRDefault="00000000">
            <w:pPr>
              <w:rPr/>
            </w:pPr>
            <w:r w:rsidRPr="006F358B">
              <w:rPr>
                <w:sz w:val="20"/>
                <w:szCs w:val="20"/>
              </w:rPr>
              <w:t>Consignas e instrumentos de evaluación</w:t>
            </w:r>
          </w:p>
        </w:tc>
        <w:tc>
          <w:tcPr>
            <w:tcW w:w="3120" w:type="dxa"/>
            <w:tcBorders>
              <w:top w:val="none" w:sz="0" w:space="0" w:color="FFFFFF"/>
              <w:left w:val="none" w:sz="0" w:space="0" w:color="FFFFFF"/>
              <w:bottom w:val="single" w:sz="6" w:space="0" w:color="000000"/>
              <w:right w:val="none" w:sz="0" w:space="0" w:color="FFFFFF"/>
            </w:tcBorders>
            <w:tcMar>
              <w:top w:w="40" w:type="dxa"/>
              <w:left w:w="90" w:type="dxa"/>
              <w:bottom w:w="40" w:type="dxa"/>
              <w:right w:w="90" w:type="dxa"/>
            </w:tcMar>
          </w:tcPr>
          <w:p w14:paraId="0CD9ADF5" w14:textId="77777777" w:rsidR="0023240D" w:rsidRPr="006F358B" w:rsidRDefault="00000000">
            <w:pPr>
              <w:rPr/>
            </w:pPr>
            <w:r w:rsidRPr="006F358B">
              <w:rPr>
                <w:sz w:val="20"/>
                <w:szCs w:val="20"/>
              </w:rPr>
              <w:t>Corpus estimado de 60 unidades</w:t>
            </w:r>
          </w:p>
        </w:tc>
        <w:tc>
          <w:tcPr>
            <w:tcW w:w="3120" w:type="dxa"/>
            <w:tcBorders>
              <w:top w:val="none" w:sz="0" w:space="0" w:color="FFFFFF"/>
              <w:left w:val="none" w:sz="0" w:space="0" w:color="FFFFFF"/>
              <w:bottom w:val="single" w:sz="6" w:space="0" w:color="000000"/>
              <w:right w:val="none" w:sz="0" w:space="0" w:color="FFFFFF"/>
            </w:tcBorders>
            <w:tcMar>
              <w:top w:w="40" w:type="dxa"/>
              <w:left w:w="90" w:type="dxa"/>
              <w:bottom w:w="40" w:type="dxa"/>
              <w:right w:w="90" w:type="dxa"/>
            </w:tcMar>
          </w:tcPr>
          <w:p w14:paraId="15F3504C" w14:textId="77777777" w:rsidR="0023240D" w:rsidRPr="006F358B" w:rsidRDefault="00000000">
            <w:pPr>
              <w:rPr/>
            </w:pPr>
            <w:r w:rsidRPr="006F358B">
              <w:rPr>
                <w:sz w:val="20"/>
                <w:szCs w:val="20"/>
              </w:rPr>
              <w:t xml:space="preserve">Consignas de lectura de plataforma; instrumentos de evaluación; Planes </w:t>
            </w:r>
            <w:r w:rsidRPr="006F358B">
              <w:rPr>
                <w:sz w:val="20"/>
                <w:szCs w:val="20"/>
              </w:rPr>
              <w:lastRenderedPageBreak/>
              <w:t>Individuales de Ajustes Razonables anonimizados; sistema institucional de evaluación</w:t>
            </w:r>
          </w:p>
        </w:tc>
      </w:tr>
    </w:tbl>
    <w:p w14:paraId="137412C1" w14:textId="77777777" w:rsidR="0023240D" w:rsidRPr="006F358B" w:rsidRDefault="0023240D">
      <w:pPr>
        <w:rPr/>
      </w:pPr>
    </w:p>
    <w:p w14:paraId="670037AC" w14:textId="77777777" w:rsidR="0023240D" w:rsidRPr="006F358B" w:rsidRDefault="00000000">
      <w:pPr>
        <w:ind w:firstLine="720"/>
        <w:jc w:val="both"/>
        <w:rPr/>
      </w:pPr>
      <w:r w:rsidRPr="006F358B">
        <w:t xml:space="preserve">Estas cifras marcan un mínimo, nunca un tope. El cierre lo determinará la saturación teórica de las categorías, que bien puede exigir ampliar el corpus o incorporar participantes no previstos.</w:t>
      </w:r>
    </w:p>
    <w:p w14:paraId="0E64BF38" w14:textId="77777777" w:rsidR="0023240D" w:rsidRPr="006F358B" w:rsidRDefault="00000000">
      <w:pPr>
        <w:pStyle w:val="Ttulo2"/>
        <w:rPr/>
      </w:pPr>
      <w:r w:rsidRPr="006F358B">
        <w:t>9.4. Técnicas e instrumentos</w:t>
      </w:r>
    </w:p>
    <w:p w14:paraId="4A0872E0" w14:textId="77777777" w:rsidR="0023240D" w:rsidRPr="006F358B" w:rsidRDefault="00000000">
      <w:pPr>
        <w:ind w:firstLine="720"/>
        <w:jc w:val="both"/>
        <w:rPr/>
      </w:pPr>
      <w:r w:rsidRPr="006F358B">
        <w:t xml:space="preserve">Cada una de estas técnicas resulta corta por sí sola frente a un objeto repartido entre la norma escrita, la práctica docente y la vivencia del estudiante. Cada una recoge algo que las otras no alcanzan, y el conjunto está armado para cubrir los tres niveles del sistema.</w:t>
      </w:r>
    </w:p>
    <w:p w14:paraId="412BE9AB" w14:textId="77777777" w:rsidR="0023240D" w:rsidRPr="006F358B" w:rsidRDefault="00000000">
      <w:pPr>
        <w:ind w:firstLine="720"/>
        <w:jc w:val="both"/>
        <w:rPr/>
      </w:pPr>
      <w:r w:rsidRPr="006F358B">
        <w:t xml:space="preserve">La observación participante registra lo que los documentos callan. Interacciones perceptivas y corporales, formas de atención, ritmos, tiempos de respuesta, pausas, relecturas, silencios, interrupciones, modos de encarar la consigna. Se concentra en el punto en que la temporalidad escolar y el ritmo singular del estudiante entran en conflicto, y para ello se prevén dieciocho sesiones repartidas entre los dos tramos del aula.</w:t>
      </w:r>
    </w:p>
    <w:p w14:paraId="4CB02D59" w14:textId="77777777" w:rsidR="0023240D" w:rsidRPr="006F358B" w:rsidRDefault="00000000">
      <w:pPr>
        <w:ind w:firstLine="720"/>
        <w:jc w:val="both"/>
        <w:rPr/>
      </w:pPr>
      <w:r w:rsidRPr="006F358B">
        <w:t xml:space="preserve">Donde lo observado adquiere espesor es en el diario de campo. Allí quedan las relaciones entre regulación pedagógica, interpretación institucional del error y experiencias perceptivas que no encajan de inmediato en lo esperado, y allí quedan también las variaciones que el propio problema, y las categorías desde las que se lo mira, vayan sufriendo durante el trabajo.</w:t>
      </w:r>
    </w:p>
    <w:p w14:paraId="1DC87C36" w14:textId="77777777" w:rsidR="0023240D" w:rsidRPr="006F358B" w:rsidRDefault="00000000">
      <w:pPr>
        <w:ind w:firstLine="720"/>
        <w:jc w:val="both"/>
        <w:rPr/>
      </w:pPr>
      <w:r w:rsidRPr="006F358B">
        <w:t xml:space="preserve">Las rejillas de análisis cumplen una función que la codificación tiende a estropear, que es mantener unidas, mientras se analiza, la temporalidad lectora, la interacción con la consigna, los ritmos de respuesta, las formas de atención y la regulación institucional, todas ellas ligadas a los procesos que acaban tratando una experiencia como error, déficit, lentitud o desajuste. Su diseño admite relaciones que el campo vuelva relevantes y que no estaban previstas.</w:t>
      </w:r>
    </w:p>
    <w:p w14:paraId="2F51E508" w14:textId="77777777" w:rsidR="0023240D" w:rsidRPr="006F358B" w:rsidRDefault="00000000">
      <w:pPr>
        <w:ind w:firstLine="720"/>
        <w:jc w:val="both"/>
        <w:rPr/>
      </w:pPr>
      <w:r w:rsidRPr="006F358B">
        <w:t xml:space="preserve">Del lado documental, el análisis interpretativo de consignas rastrea los supuestos pedagógicos que organizan temporalidades, ritmos de atención y maneras de transitar el texto, apoyado en una matriz de ocho descriptores: extensión del enunciado, densidad léxica, presencia de temporizador, número de intentos permitidos, formato de respuesta exigido, criterio de calificación declarado, disponibilidad de formatos alternativos y grado de diferenciación entre estudiantes.</w:t>
      </w:r>
    </w:p>
    <w:p w14:paraId="73CC2D55" w14:textId="77777777" w:rsidR="0023240D" w:rsidRPr="006F358B" w:rsidRDefault="00000000">
      <w:pPr>
        <w:ind w:firstLine="720"/>
        <w:jc w:val="both"/>
        <w:rPr/>
      </w:pPr>
      <w:r w:rsidRPr="006F358B">
        <w:t xml:space="preserve">La entrevista fenomenológica en profundidad, prevista en dos rondas, cierra el conjunto. La primera reconstruye la experiencia lectora en su desarrollo temporal y corporal a partir de episodios concretos, no de opiniones generales, y la segunda le devuelve al estudiante una interpretación provisional y recoge su reacción, de modo que profundiza y valida en un mismo movimiento.</w:t>
      </w:r>
    </w:p>
    <w:p w14:paraId="7AF41661" w14:textId="77777777" w:rsidR="0023240D" w:rsidRPr="006F358B" w:rsidRDefault="00000000">
      <w:pPr>
        <w:pStyle w:val="Ttulo2"/>
        <w:rPr/>
      </w:pPr>
      <w:r w:rsidRPr="006F358B">
        <w:t>9.5. Matriz de coherencia</w:t>
      </w:r>
    </w:p>
    <w:p w14:paraId="010B74DD" w14:textId="77777777" w:rsidR="0023240D" w:rsidRPr="006F358B" w:rsidRDefault="00000000">
      <w:pPr>
        <w:rPr/>
      </w:pPr>
      <w:r w:rsidRPr="006F358B">
        <w:rPr>
          <w:b/>
          <w:bCs/>
        </w:rPr>
        <w:t>Tabla 3</w:t>
      </w:r>
    </w:p>
    <w:p w14:paraId="2F8EEBDF" w14:textId="77777777" w:rsidR="0023240D" w:rsidRPr="006F358B" w:rsidRDefault="00000000">
      <w:pPr>
        <w:rPr/>
      </w:pPr>
      <w:r w:rsidRPr="006F358B">
        <w:rPr>
          <w:i/>
          <w:iCs/>
        </w:rPr>
        <w:t>Matriz de coherencia entre objetivos, categorías, técnicas y productos analíticos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23240D" w:rsidRPr="006F358B" w14:paraId="0D88D6DA" w14:textId="77777777">
        <w:trPr>
          <w:tblHeader/>
        </w:trPr>
        <w:tc>
          <w:tcPr>
            <w:tcW w:w="1872" w:type="dxa"/>
            <w:tcBorders>
              <w:top w:val="single" w:sz="6" w:space="0" w:color="000000"/>
              <w:left w:val="none" w:sz="0" w:space="0" w:color="FFFFFF"/>
              <w:bottom w:val="single" w:sz="6" w:space="0" w:color="000000"/>
              <w:right w:val="none" w:sz="0" w:space="0" w:color="FFFFFF"/>
            </w:tcBorders>
            <w:tcMar>
              <w:top w:w="40" w:type="dxa"/>
              <w:left w:w="90" w:type="dxa"/>
              <w:bottom w:w="40" w:type="dxa"/>
              <w:right w:w="90" w:type="dxa"/>
            </w:tcMar>
          </w:tcPr>
          <w:p w14:paraId="18FB9C96" w14:textId="77777777" w:rsidR="0023240D" w:rsidRPr="006F358B" w:rsidRDefault="00000000">
            <w:pPr>
              <w:rPr/>
            </w:pPr>
            <w:r w:rsidRPr="006F358B">
              <w:rPr>
                <w:i/>
                <w:iCs/>
                <w:sz w:val="20"/>
                <w:szCs w:val="20"/>
              </w:rPr>
              <w:t>Objetivo específico</w:t>
            </w:r>
          </w:p>
        </w:tc>
        <w:tc>
          <w:tcPr>
            <w:tcW w:w="1872" w:type="dxa"/>
            <w:tcBorders>
              <w:top w:val="single" w:sz="6" w:space="0" w:color="000000"/>
              <w:left w:val="none" w:sz="0" w:space="0" w:color="FFFFFF"/>
              <w:bottom w:val="single" w:sz="6" w:space="0" w:color="000000"/>
              <w:right w:val="none" w:sz="0" w:space="0" w:color="FFFFFF"/>
            </w:tcBorders>
            <w:tcMar>
              <w:top w:w="40" w:type="dxa"/>
              <w:left w:w="90" w:type="dxa"/>
              <w:bottom w:w="40" w:type="dxa"/>
              <w:right w:w="90" w:type="dxa"/>
            </w:tcMar>
          </w:tcPr>
          <w:p w14:paraId="07B2EBEB" w14:textId="77777777" w:rsidR="0023240D" w:rsidRPr="006F358B" w:rsidRDefault="00000000">
            <w:pPr>
              <w:rPr/>
            </w:pPr>
            <w:r w:rsidRPr="006F358B">
              <w:rPr>
                <w:i/>
                <w:iCs/>
                <w:sz w:val="20"/>
                <w:szCs w:val="20"/>
              </w:rPr>
              <w:t>Categoría</w:t>
            </w:r>
          </w:p>
        </w:tc>
        <w:tc>
          <w:tcPr>
            <w:tcW w:w="1872" w:type="dxa"/>
            <w:tcBorders>
              <w:top w:val="single" w:sz="6" w:space="0" w:color="000000"/>
              <w:left w:val="none" w:sz="0" w:space="0" w:color="FFFFFF"/>
              <w:bottom w:val="single" w:sz="6" w:space="0" w:color="000000"/>
              <w:right w:val="none" w:sz="0" w:space="0" w:color="FFFFFF"/>
            </w:tcBorders>
            <w:tcMar>
              <w:top w:w="40" w:type="dxa"/>
              <w:left w:w="90" w:type="dxa"/>
              <w:bottom w:w="40" w:type="dxa"/>
              <w:right w:w="90" w:type="dxa"/>
            </w:tcMar>
          </w:tcPr>
          <w:p w14:paraId="761141CA" w14:textId="77777777" w:rsidR="0023240D" w:rsidRPr="006F358B" w:rsidRDefault="00000000">
            <w:pPr>
              <w:rPr/>
            </w:pPr>
            <w:r w:rsidRPr="006F358B">
              <w:rPr>
                <w:i/>
                <w:iCs/>
                <w:sz w:val="20"/>
                <w:szCs w:val="20"/>
              </w:rPr>
              <w:t>Técnica e instrumento</w:t>
            </w:r>
          </w:p>
        </w:tc>
        <w:tc>
          <w:tcPr>
            <w:tcW w:w="1872" w:type="dxa"/>
            <w:tcBorders>
              <w:top w:val="single" w:sz="6" w:space="0" w:color="000000"/>
              <w:left w:val="none" w:sz="0" w:space="0" w:color="FFFFFF"/>
              <w:bottom w:val="single" w:sz="6" w:space="0" w:color="000000"/>
              <w:right w:val="none" w:sz="0" w:space="0" w:color="FFFFFF"/>
            </w:tcBorders>
            <w:tcMar>
              <w:top w:w="40" w:type="dxa"/>
              <w:left w:w="90" w:type="dxa"/>
              <w:bottom w:w="40" w:type="dxa"/>
              <w:right w:w="90" w:type="dxa"/>
            </w:tcMar>
          </w:tcPr>
          <w:p w14:paraId="0F15D969" w14:textId="77777777" w:rsidR="0023240D" w:rsidRPr="006F358B" w:rsidRDefault="00000000">
            <w:pPr>
              <w:rPr/>
            </w:pPr>
            <w:r w:rsidRPr="006F358B">
              <w:rPr>
                <w:i/>
                <w:iCs/>
                <w:sz w:val="20"/>
                <w:szCs w:val="20"/>
              </w:rPr>
              <w:t>Fuente</w:t>
            </w:r>
          </w:p>
        </w:tc>
        <w:tc>
          <w:tcPr>
            <w:tcW w:w="1872" w:type="dxa"/>
            <w:tcBorders>
              <w:top w:val="single" w:sz="6" w:space="0" w:color="000000"/>
              <w:left w:val="none" w:sz="0" w:space="0" w:color="FFFFFF"/>
              <w:bottom w:val="single" w:sz="6" w:space="0" w:color="000000"/>
              <w:right w:val="none" w:sz="0" w:space="0" w:color="FFFFFF"/>
            </w:tcBorders>
            <w:tcMar>
              <w:top w:w="40" w:type="dxa"/>
              <w:left w:w="90" w:type="dxa"/>
              <w:bottom w:w="40" w:type="dxa"/>
              <w:right w:w="90" w:type="dxa"/>
            </w:tcMar>
          </w:tcPr>
          <w:p w14:paraId="5442461E" w14:textId="77777777" w:rsidR="0023240D" w:rsidRPr="006F358B" w:rsidRDefault="00000000">
            <w:pPr>
              <w:rPr/>
            </w:pPr>
            <w:r w:rsidRPr="006F358B">
              <w:rPr>
                <w:i/>
                <w:iCs/>
                <w:sz w:val="20"/>
                <w:szCs w:val="20"/>
              </w:rPr>
              <w:t>Producto analítico</w:t>
            </w:r>
          </w:p>
        </w:tc>
      </w:tr>
      <w:tr w:rsidR="0023240D" w:rsidRPr="006F358B" w14:paraId="5A4661E9" w14:textId="77777777">
        <w:tc>
          <w:tcPr>
            <w:tcW w:w="1872"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55A71687" w14:textId="77777777" w:rsidR="0023240D" w:rsidRPr="006F358B" w:rsidRDefault="00000000">
            <w:pPr>
              <w:rPr/>
            </w:pPr>
            <w:r w:rsidRPr="006F358B">
              <w:rPr>
                <w:sz w:val="20"/>
                <w:szCs w:val="20"/>
              </w:rPr>
              <w:t>1. Identificar formas de interacción perceptiva y temporal</w:t>
            </w:r>
          </w:p>
        </w:tc>
        <w:tc>
          <w:tcPr>
            <w:tcW w:w="1872"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06180EC4" w14:textId="77777777" w:rsidR="0023240D" w:rsidRPr="006F358B" w:rsidRDefault="00000000">
            <w:pPr>
              <w:rPr/>
            </w:pPr>
            <w:r w:rsidRPr="006F358B">
              <w:rPr>
                <w:sz w:val="20"/>
                <w:szCs w:val="20"/>
              </w:rPr>
              <w:t>Experiencia lectora disléxica</w:t>
            </w:r>
          </w:p>
        </w:tc>
        <w:tc>
          <w:tcPr>
            <w:tcW w:w="1872"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63FB20E2" w14:textId="77777777" w:rsidR="0023240D" w:rsidRPr="006F358B" w:rsidRDefault="00000000">
            <w:pPr>
              <w:rPr/>
            </w:pPr>
            <w:r w:rsidRPr="006F358B">
              <w:rPr>
                <w:sz w:val="20"/>
                <w:szCs w:val="20"/>
              </w:rPr>
              <w:t>Observación participante; entrevista fenomenológica</w:t>
            </w:r>
          </w:p>
        </w:tc>
        <w:tc>
          <w:tcPr>
            <w:tcW w:w="1872"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34297A55" w14:textId="77777777" w:rsidR="0023240D" w:rsidRPr="006F358B" w:rsidRDefault="00000000">
            <w:pPr>
              <w:rPr/>
            </w:pPr>
            <w:r w:rsidRPr="006F358B">
              <w:rPr>
                <w:sz w:val="20"/>
                <w:szCs w:val="20"/>
              </w:rPr>
              <w:t>Estudiantes, sesiones</w:t>
            </w:r>
          </w:p>
        </w:tc>
        <w:tc>
          <w:tcPr>
            <w:tcW w:w="1872"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3646EEDD" w14:textId="77777777" w:rsidR="0023240D" w:rsidRPr="006F358B" w:rsidRDefault="00000000">
            <w:pPr>
              <w:rPr/>
            </w:pPr>
            <w:r w:rsidRPr="006F358B">
              <w:rPr>
                <w:sz w:val="20"/>
                <w:szCs w:val="20"/>
              </w:rPr>
              <w:t>Descripción de las estructuras de la experiencia lectora</w:t>
            </w:r>
          </w:p>
        </w:tc>
      </w:tr>
      <w:tr w:rsidR="0023240D" w:rsidRPr="006F358B" w14:paraId="0E977033" w14:textId="77777777">
        <w:tc>
          <w:tcPr>
            <w:tcW w:w="1872"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59270860" w14:textId="77777777" w:rsidR="0023240D" w:rsidRPr="006F358B" w:rsidRDefault="00000000">
            <w:pPr>
              <w:rPr/>
            </w:pPr>
            <w:r w:rsidRPr="006F358B">
              <w:rPr>
                <w:sz w:val="20"/>
                <w:szCs w:val="20"/>
              </w:rPr>
              <w:t>2. Examinar las lógicas pedagógicas de la consigna</w:t>
            </w:r>
          </w:p>
        </w:tc>
        <w:tc>
          <w:tcPr>
            <w:tcW w:w="1872"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97937D2" w14:textId="77777777" w:rsidR="0023240D" w:rsidRPr="006F358B" w:rsidRDefault="00000000">
            <w:pPr>
              <w:rPr/>
            </w:pPr>
            <w:r w:rsidRPr="006F358B">
              <w:rPr>
                <w:sz w:val="20"/>
                <w:szCs w:val="20"/>
              </w:rPr>
              <w:t>Gramática escolar de lectura</w:t>
            </w:r>
          </w:p>
        </w:tc>
        <w:tc>
          <w:tcPr>
            <w:tcW w:w="1872"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A5F512D" w14:textId="77777777" w:rsidR="0023240D" w:rsidRPr="006F358B" w:rsidRDefault="00000000">
            <w:pPr>
              <w:rPr/>
            </w:pPr>
            <w:r w:rsidRPr="006F358B">
              <w:rPr>
                <w:sz w:val="20"/>
                <w:szCs w:val="20"/>
              </w:rPr>
              <w:t xml:space="preserve">Análisis interpretativo con </w:t>
            </w:r>
            <w:r w:rsidRPr="006F358B">
              <w:rPr>
                <w:sz w:val="20"/>
                <w:szCs w:val="20"/>
              </w:rPr>
              <w:lastRenderedPageBreak/>
              <w:t>matriz de ocho descriptores</w:t>
            </w:r>
          </w:p>
        </w:tc>
        <w:tc>
          <w:tcPr>
            <w:tcW w:w="1872"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5B9F5AD" w14:textId="77777777" w:rsidR="0023240D" w:rsidRPr="006F358B" w:rsidRDefault="00000000">
            <w:pPr>
              <w:rPr/>
            </w:pPr>
            <w:r w:rsidRPr="006F358B">
              <w:rPr>
                <w:sz w:val="20"/>
                <w:szCs w:val="20"/>
              </w:rPr>
              <w:lastRenderedPageBreak/>
              <w:t>Consignas, instrumentos de evaluación</w:t>
            </w:r>
          </w:p>
        </w:tc>
        <w:tc>
          <w:tcPr>
            <w:tcW w:w="1872"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0A12CEE2" w14:textId="77777777" w:rsidR="0023240D" w:rsidRPr="006F358B" w:rsidRDefault="00000000">
            <w:pPr>
              <w:rPr/>
            </w:pPr>
            <w:r w:rsidRPr="006F358B">
              <w:rPr>
                <w:sz w:val="20"/>
                <w:szCs w:val="20"/>
              </w:rPr>
              <w:t>Cartografía de la gramática de lectura por institución</w:t>
            </w:r>
          </w:p>
        </w:tc>
      </w:tr>
      <w:tr w:rsidR="0023240D" w:rsidRPr="006F358B" w14:paraId="26FAB777" w14:textId="77777777">
        <w:tc>
          <w:tcPr>
            <w:tcW w:w="1872"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62B7FB90" w14:textId="77777777" w:rsidR="0023240D" w:rsidRPr="006F358B" w:rsidRDefault="00000000">
            <w:pPr>
              <w:rPr/>
            </w:pPr>
            <w:r w:rsidRPr="006F358B">
              <w:rPr>
                <w:sz w:val="20"/>
                <w:szCs w:val="20"/>
              </w:rPr>
              <w:t>3. Interpretar las operaciones de traducción institucional</w:t>
            </w:r>
          </w:p>
        </w:tc>
        <w:tc>
          <w:tcPr>
            <w:tcW w:w="1872"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73AB581" w14:textId="77777777" w:rsidR="0023240D" w:rsidRPr="006F358B" w:rsidRDefault="00000000">
            <w:pPr>
              <w:rPr/>
            </w:pPr>
            <w:r w:rsidRPr="006F358B">
              <w:rPr>
                <w:sz w:val="20"/>
                <w:szCs w:val="20"/>
              </w:rPr>
              <w:t>Traducción institucional de la diferencia</w:t>
            </w:r>
          </w:p>
        </w:tc>
        <w:tc>
          <w:tcPr>
            <w:tcW w:w="1872"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3251E8CF" w14:textId="77777777" w:rsidR="0023240D" w:rsidRPr="006F358B" w:rsidRDefault="00000000">
            <w:pPr>
              <w:rPr/>
            </w:pPr>
            <w:r w:rsidRPr="006F358B">
              <w:rPr>
                <w:sz w:val="20"/>
                <w:szCs w:val="20"/>
              </w:rPr>
              <w:t>Análisis documental; entrevista semiestructurada</w:t>
            </w:r>
          </w:p>
        </w:tc>
        <w:tc>
          <w:tcPr>
            <w:tcW w:w="1872"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0B5D29F7" w14:textId="77777777" w:rsidR="0023240D" w:rsidRPr="006F358B" w:rsidRDefault="00000000">
            <w:pPr>
              <w:rPr/>
            </w:pPr>
            <w:r w:rsidRPr="006F358B">
              <w:rPr>
                <w:sz w:val="20"/>
                <w:szCs w:val="20"/>
              </w:rPr>
              <w:t>Planes Individuales de Ajustes Razonables, orientadores</w:t>
            </w:r>
          </w:p>
        </w:tc>
        <w:tc>
          <w:tcPr>
            <w:tcW w:w="1872"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101F9744" w14:textId="77777777" w:rsidR="0023240D" w:rsidRPr="006F358B" w:rsidRDefault="00000000">
            <w:pPr>
              <w:rPr/>
            </w:pPr>
            <w:r w:rsidRPr="006F358B">
              <w:rPr>
                <w:sz w:val="20"/>
                <w:szCs w:val="20"/>
              </w:rPr>
              <w:t>Mapa de las operaciones de traducción del déficit</w:t>
            </w:r>
          </w:p>
        </w:tc>
      </w:tr>
      <w:tr w:rsidR="0023240D" w:rsidRPr="006F358B" w14:paraId="31CA644F" w14:textId="77777777">
        <w:tc>
          <w:tcPr>
            <w:tcW w:w="1872"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7B5D06B3" w14:textId="77777777" w:rsidR="0023240D" w:rsidRPr="006F358B" w:rsidRDefault="00000000">
            <w:pPr>
              <w:rPr/>
            </w:pPr>
            <w:r w:rsidRPr="006F358B">
              <w:rPr>
                <w:sz w:val="20"/>
                <w:szCs w:val="20"/>
              </w:rPr>
              <w:t>4. Develar circuitos y tensiones dialógicas</w:t>
            </w:r>
          </w:p>
        </w:tc>
        <w:tc>
          <w:tcPr>
            <w:tcW w:w="1872"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3AD70341" w14:textId="77777777" w:rsidR="0023240D" w:rsidRPr="006F358B" w:rsidRDefault="00000000">
            <w:pPr>
              <w:rPr/>
            </w:pPr>
            <w:r w:rsidRPr="006F358B">
              <w:rPr>
                <w:sz w:val="20"/>
                <w:szCs w:val="20"/>
              </w:rPr>
              <w:t>Interacción entre categorías</w:t>
            </w:r>
          </w:p>
        </w:tc>
        <w:tc>
          <w:tcPr>
            <w:tcW w:w="1872"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65A4A2C3" w14:textId="77777777" w:rsidR="0023240D" w:rsidRPr="006F358B" w:rsidRDefault="00000000">
            <w:pPr>
              <w:rPr/>
            </w:pPr>
            <w:r w:rsidRPr="006F358B">
              <w:rPr>
                <w:sz w:val="20"/>
                <w:szCs w:val="20"/>
              </w:rPr>
              <w:t>Rejillas de análisis; diagramación de circuitos; triangulación</w:t>
            </w:r>
          </w:p>
        </w:tc>
        <w:tc>
          <w:tcPr>
            <w:tcW w:w="1872"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7804FDFC" w14:textId="77777777" w:rsidR="0023240D" w:rsidRPr="006F358B" w:rsidRDefault="00000000">
            <w:pPr>
              <w:rPr/>
            </w:pPr>
            <w:r w:rsidRPr="006F358B">
              <w:rPr>
                <w:sz w:val="20"/>
                <w:szCs w:val="20"/>
              </w:rPr>
              <w:t>Todas las fuentes</w:t>
            </w:r>
          </w:p>
        </w:tc>
        <w:tc>
          <w:tcPr>
            <w:tcW w:w="1872"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7290A301" w14:textId="77777777" w:rsidR="0023240D" w:rsidRPr="006F358B" w:rsidRDefault="00000000">
            <w:pPr>
              <w:rPr/>
            </w:pPr>
            <w:r w:rsidRPr="006F358B">
              <w:rPr>
                <w:sz w:val="20"/>
                <w:szCs w:val="20"/>
              </w:rPr>
              <w:t>Modelo de circuitos recursivos y tensiones</w:t>
            </w:r>
          </w:p>
        </w:tc>
      </w:tr>
      <w:tr w:rsidR="0023240D" w:rsidRPr="006F358B" w14:paraId="2AA2CC37" w14:textId="77777777">
        <w:tc>
          <w:tcPr>
            <w:tcW w:w="1872" w:type="dxa"/>
            <w:tcBorders>
              <w:top w:val="none" w:sz="0" w:space="0" w:color="FFFFFF"/>
              <w:left w:val="none" w:sz="0" w:space="0" w:color="FFFFFF"/>
              <w:bottom w:val="single" w:sz="6" w:space="0" w:color="000000"/>
              <w:right w:val="none" w:sz="0" w:space="0" w:color="FFFFFF"/>
            </w:tcBorders>
            <w:tcMar>
              <w:top w:w="40" w:type="dxa"/>
              <w:left w:w="90" w:type="dxa"/>
              <w:bottom w:w="40" w:type="dxa"/>
              <w:right w:w="90" w:type="dxa"/>
            </w:tcMar>
          </w:tcPr>
          <w:p w14:paraId="3C7709C9" w14:textId="77777777" w:rsidR="0023240D" w:rsidRPr="006F358B" w:rsidRDefault="00000000">
            <w:pPr>
              <w:rPr/>
            </w:pPr>
            <w:r w:rsidRPr="006F358B">
              <w:rPr>
                <w:sz w:val="20"/>
                <w:szCs w:val="20"/>
              </w:rPr>
              <w:t>5. Formular y validar el modelo</w:t>
            </w:r>
          </w:p>
        </w:tc>
        <w:tc>
          <w:tcPr>
            <w:tcW w:w="1872" w:type="dxa"/>
            <w:tcBorders>
              <w:top w:val="none" w:sz="0" w:space="0" w:color="FFFFFF"/>
              <w:left w:val="none" w:sz="0" w:space="0" w:color="FFFFFF"/>
              <w:bottom w:val="single" w:sz="6" w:space="0" w:color="000000"/>
              <w:right w:val="none" w:sz="0" w:space="0" w:color="FFFFFF"/>
            </w:tcBorders>
            <w:tcMar>
              <w:top w:w="40" w:type="dxa"/>
              <w:left w:w="90" w:type="dxa"/>
              <w:bottom w:w="40" w:type="dxa"/>
              <w:right w:w="90" w:type="dxa"/>
            </w:tcMar>
          </w:tcPr>
          <w:p w14:paraId="3DBF2AC1" w14:textId="77777777" w:rsidR="0023240D" w:rsidRPr="006F358B" w:rsidRDefault="00000000">
            <w:pPr>
              <w:rPr/>
            </w:pPr>
            <w:r w:rsidRPr="006F358B">
              <w:rPr>
                <w:sz w:val="20"/>
                <w:szCs w:val="20"/>
              </w:rPr>
              <w:t>Categorías emergentes</w:t>
            </w:r>
          </w:p>
        </w:tc>
        <w:tc>
          <w:tcPr>
            <w:tcW w:w="1872" w:type="dxa"/>
            <w:tcBorders>
              <w:top w:val="none" w:sz="0" w:space="0" w:color="FFFFFF"/>
              <w:left w:val="none" w:sz="0" w:space="0" w:color="FFFFFF"/>
              <w:bottom w:val="single" w:sz="6" w:space="0" w:color="000000"/>
              <w:right w:val="none" w:sz="0" w:space="0" w:color="FFFFFF"/>
            </w:tcBorders>
            <w:tcMar>
              <w:top w:w="40" w:type="dxa"/>
              <w:left w:w="90" w:type="dxa"/>
              <w:bottom w:w="40" w:type="dxa"/>
              <w:right w:w="90" w:type="dxa"/>
            </w:tcMar>
          </w:tcPr>
          <w:p w14:paraId="69D7F392" w14:textId="77777777" w:rsidR="0023240D" w:rsidRPr="006F358B" w:rsidRDefault="00000000">
            <w:pPr>
              <w:rPr/>
            </w:pPr>
            <w:r w:rsidRPr="006F358B">
              <w:rPr>
                <w:sz w:val="20"/>
                <w:szCs w:val="20"/>
              </w:rPr>
              <w:t>Juicio de expertos; grupo focal de contraste</w:t>
            </w:r>
          </w:p>
        </w:tc>
        <w:tc>
          <w:tcPr>
            <w:tcW w:w="1872" w:type="dxa"/>
            <w:tcBorders>
              <w:top w:val="none" w:sz="0" w:space="0" w:color="FFFFFF"/>
              <w:left w:val="none" w:sz="0" w:space="0" w:color="FFFFFF"/>
              <w:bottom w:val="single" w:sz="6" w:space="0" w:color="000000"/>
              <w:right w:val="none" w:sz="0" w:space="0" w:color="FFFFFF"/>
            </w:tcBorders>
            <w:tcMar>
              <w:top w:w="40" w:type="dxa"/>
              <w:left w:w="90" w:type="dxa"/>
              <w:bottom w:w="40" w:type="dxa"/>
              <w:right w:w="90" w:type="dxa"/>
            </w:tcMar>
          </w:tcPr>
          <w:p w14:paraId="1CA8107E" w14:textId="77777777" w:rsidR="0023240D" w:rsidRPr="006F358B" w:rsidRDefault="00000000">
            <w:pPr>
              <w:rPr/>
            </w:pPr>
            <w:r w:rsidRPr="006F358B">
              <w:rPr>
                <w:sz w:val="20"/>
                <w:szCs w:val="20"/>
              </w:rPr>
              <w:t>Expertos y docentes participantes</w:t>
            </w:r>
          </w:p>
        </w:tc>
        <w:tc>
          <w:tcPr>
            <w:tcW w:w="1872" w:type="dxa"/>
            <w:tcBorders>
              <w:top w:val="none" w:sz="0" w:space="0" w:color="FFFFFF"/>
              <w:left w:val="none" w:sz="0" w:space="0" w:color="FFFFFF"/>
              <w:bottom w:val="single" w:sz="6" w:space="0" w:color="000000"/>
              <w:right w:val="none" w:sz="0" w:space="0" w:color="FFFFFF"/>
            </w:tcBorders>
            <w:tcMar>
              <w:top w:w="40" w:type="dxa"/>
              <w:left w:w="90" w:type="dxa"/>
              <w:bottom w:w="40" w:type="dxa"/>
              <w:right w:w="90" w:type="dxa"/>
            </w:tcMar>
          </w:tcPr>
          <w:p w14:paraId="768D6D30" w14:textId="77777777" w:rsidR="0023240D" w:rsidRPr="006F358B" w:rsidRDefault="00000000">
            <w:pPr>
              <w:rPr/>
            </w:pPr>
            <w:r w:rsidRPr="006F358B">
              <w:rPr>
                <w:sz w:val="20"/>
                <w:szCs w:val="20"/>
              </w:rPr>
              <w:t>Modelo de análisis y criterios validados</w:t>
            </w:r>
          </w:p>
        </w:tc>
      </w:tr>
    </w:tbl>
    <w:p w14:paraId="42812489" w14:textId="77777777" w:rsidR="0023240D" w:rsidRPr="006F358B" w:rsidRDefault="0023240D">
      <w:pPr>
        <w:rPr/>
      </w:pPr>
    </w:p>
    <w:p w14:paraId="6F636B57" w14:textId="77777777" w:rsidR="0023240D" w:rsidRPr="006F358B" w:rsidRDefault="00000000">
      <w:pPr>
        <w:pStyle w:val="Ttulo2"/>
        <w:rPr/>
      </w:pPr>
      <w:r w:rsidRPr="006F358B">
        <w:t>9.6. Plan de análisis de la información</w:t>
      </w:r>
    </w:p>
    <w:p w14:paraId="5419E50F" w14:textId="77777777" w:rsidR="0023240D" w:rsidRPr="006F358B" w:rsidRDefault="00000000">
      <w:pPr>
        <w:ind w:firstLine="720"/>
        <w:jc w:val="both"/>
        <w:rPr/>
      </w:pPr>
      <w:r w:rsidRPr="006F358B">
        <w:t xml:space="preserve">Recolección y análisis corren en parte al mismo tiempo, así que los momentos del análisis se solapan entre sí. Todo empieza con una codificación abierta del corpus completo, apoyada en ATLAS.ti, que parte de las cuatro categorías iniciales y deja lugar a las que emerjan. Sobre ella descansa un análisis relacional: las categorías forman redes, aparecen los circuitos de retroalimentación, y ahí el principio de recursividad deja de ser un enunciado y adquiere la forma de un diagrama que después se contrasta con los participantes. La triangulación opera en tres planos: entre fuentes, entre técnicas y entre teorías. El tercero es el decisivo. Leer un mismo fragmento desde la clave psicolingüística, la institucional y la fenomenológica es lo que pone a prueba el principio dialógico, y el modelo llega al final, por abstracción de las prácticas de reconfiguración halladas y de los puntos en que el circuito se interrumpe.</w:t>
      </w:r>
    </w:p>
    <w:p w14:paraId="0075656B" w14:textId="77777777" w:rsidR="0023240D" w:rsidRPr="006F358B" w:rsidRDefault="00000000">
      <w:pPr>
        <w:pStyle w:val="Ttulo2"/>
        <w:rPr/>
      </w:pPr>
      <w:r w:rsidRPr="006F358B">
        <w:t>9.7. Vigilancia epistemológica y estatuto de la evidencia</w:t>
      </w:r>
    </w:p>
    <w:p w14:paraId="32C05BBD" w14:textId="77777777" w:rsidR="0023240D" w:rsidRPr="006F358B" w:rsidRDefault="00000000">
      <w:pPr>
        <w:ind w:firstLine="720"/>
        <w:jc w:val="both"/>
        <w:rPr/>
      </w:pPr>
      <w:r w:rsidRPr="006F358B">
        <w:t xml:space="preserve">Las decisiones que anteceden derivan del problema y no de un modelo metodológico adoptado de antemano. Su validez depende de que sigan sirviéndole, y si dejan de hacerlo se cambian, porque el rigor no consiste aquí en sostener un procedimiento a toda costa, sino en impedir que el procedimiento decida por adelantado qué podrá ser encontrado.</w:t>
      </w:r>
    </w:p>
    <w:p w14:paraId="188C3F66" w14:textId="77777777" w:rsidR="0023240D" w:rsidRPr="006F358B" w:rsidRDefault="00000000">
      <w:pPr>
        <w:ind w:firstLine="720"/>
        <w:jc w:val="both"/>
        <w:rPr/>
      </w:pPr>
      <w:r w:rsidRPr="006F358B">
        <w:t xml:space="preserve">Lo que se registre será tratado como registro y no como copia transparente de la situación. Un fragmento de observación, una respuesta en entrevista o el enunciado de una consigna son registros que se vuelven evidencia solo cuando se los pone en relación con una pregunta y bajo condiciones que puedan enunciarse, la interpretación constituye un tercer momento y la afirmación que el estudio finalmente sostenga, un cuarto. Confundir esos planos es el modo más rápido de convertir una lectura en un hecho. Cada afirmación de peso quedará por eso acompañada de aquello que la respalda, de la evidencia en que se apoya, de las condiciones bajo las cuales vale y de los límites que la acotan.</w:t>
      </w:r>
    </w:p>
    <w:p w14:paraId="5768F3F3" w14:textId="77777777" w:rsidR="0023240D" w:rsidRPr="006F358B" w:rsidRDefault="00000000">
      <w:pPr>
        <w:ind w:firstLine="720"/>
        <w:jc w:val="both"/>
        <w:rPr/>
      </w:pPr>
      <w:r w:rsidRPr="006F358B">
        <w:t xml:space="preserve">Cuando la evidencia no coincida con lo esperado, no se la descartará como error de campo, porque puede indicar que la categoría es inadecuada, que el instrumento captura otra cosa, que la relación supuesta no existe o que el problema estaba mal formulado. Cuál de esas alternativas corresponde es algo que deberá argumentarse en cada caso, y no resolverse por comodidad.</w:t>
      </w:r>
    </w:p>
    <w:p w14:paraId="706382D6" w14:textId="77777777" w:rsidR="0023240D" w:rsidRPr="006F358B" w:rsidRDefault="00000000">
      <w:pPr>
        <w:ind w:firstLine="720"/>
        <w:jc w:val="both"/>
        <w:rPr/>
      </w:pPr>
      <w:r w:rsidRPr="006F358B">
        <w:t xml:space="preserve">Los resultados tienen que poder volver sobre lo que los hizo posibles, de suerte que si el trabajo empírico obliga a revisar el marco teórico, la delimitación del problema o las propias decisiones metodológicas, esa revisión forma parte del resultado y se documenta como tal. Semejante apertura no autoriza el relativismo: toda interpretación deberá estar argumentada, sustentada y expuesta al contraste, y ninguna analogía funcionará como demostración.</w:t>
      </w:r>
      <w:r w:rsidRPr="006F358B">
        <w:lastRenderedPageBreak/>
        <w:t/>
      </w:r>
    </w:p>
    <w:p w14:paraId="349F2DE6" w14:textId="77777777" w:rsidR="0023240D" w:rsidRPr="006F358B" w:rsidRDefault="00000000">
      <w:pPr>
        <w:ind w:firstLine="720"/>
        <w:jc w:val="both"/>
        <w:rPr/>
      </w:pPr>
      <w:r w:rsidRPr="006F358B">
        <w:t xml:space="preserve">Queda excluido, por último, presentar como hallazgo aquello que ya estaba contenido en las premisas con que se construyó el objeto. Si el estudio encuentra circuitos de retroalimentación porque el marco los presupuso, no habrá encontrado nada. ¿Qué probaría entonces que la investigación produjo conocimiento? Que algo del campo se resista a las categorías con que se lo miró.</w:t>
      </w:r>
    </w:p>
    <w:p w14:paraId="59B0A898" w14:textId="77777777" w:rsidR="0023240D" w:rsidRPr="006F358B" w:rsidRDefault="00000000">
      <w:pPr>
        <w:pStyle w:val="Ttulo2"/>
        <w:rPr/>
      </w:pPr>
      <w:r w:rsidRPr="006F358B">
        <w:t>9.8. Criterios de rigor</w:t>
      </w:r>
    </w:p>
    <w:p w14:paraId="6940B977" w14:textId="77777777" w:rsidR="0023240D" w:rsidRPr="006F358B" w:rsidRDefault="00000000">
      <w:pPr>
        <w:ind w:firstLine="720"/>
        <w:jc w:val="both"/>
        <w:rPr/>
      </w:pPr>
      <w:r w:rsidRPr="006F358B">
        <w:t xml:space="preserve">Los cuatro criterios convencionales se traducen aquí en compromisos verificables. La credibilidad descansa en la permanencia prolongada en el campo durante un ciclo completo, en la triangulación y en la validación comunicativa con los participantes. La transferibilidad no se afirma: se ofrece mediante una descripción densa del contexto, y es el lector quien juzga qué resulta aplicable a su escenario. La dependencia queda cubierta por la auditoría del director de tesis sobre una bitácora que registra cada decisión metodológica y su motivo, y la confirmabilidad por la conservación del corpus primario junto con la explicitación de la posición del investigador. A esos cuatro el enfoque obliga a añadir un quinto: la reflexividad, entendida con Morin (1999) como inclusión del observador en lo observado. El diario reflexivo se analiza entonces como fuente. No se archiva como anexo.</w:t>
      </w:r>
    </w:p>
    <w:p w14:paraId="7317F9CC" w14:textId="77777777" w:rsidR="0023240D" w:rsidRPr="006F358B" w:rsidRDefault="00000000">
      <w:pPr>
        <w:pStyle w:val="Ttulo2"/>
        <w:rPr/>
      </w:pPr>
      <w:r w:rsidRPr="006F358B">
        <w:t>9.9. Flexibilidad y adaptación del diseño</w:t>
      </w:r>
    </w:p>
    <w:p w14:paraId="79D6F2B4" w14:textId="77777777" w:rsidR="0023240D" w:rsidRPr="006F358B" w:rsidRDefault="00000000">
      <w:pPr>
        <w:ind w:firstLine="720"/>
        <w:jc w:val="both"/>
        <w:rPr/>
      </w:pPr>
      <w:r w:rsidRPr="006F358B">
        <w:t xml:space="preserve">Una metodología que se declara flexible sin prever cómo cambiar termina siendo rígida en la práctica, de ahí que el diseño fije tres puntos de revisión formal, uno al término de cada fase de campo, para evaluar la pertinencia de las categorías, la suficiencia de las técnicas y la conveniencia de incorporar fuentes nuevas. Cada modificación queda documentada con su justificación, de modo que la adaptación no cueste trazabilidad.</w:t>
      </w:r>
    </w:p>
    <w:p w14:paraId="4629DD4D" w14:textId="77777777" w:rsidR="0023240D" w:rsidRPr="006F358B" w:rsidRDefault="00000000">
      <w:pPr>
        <w:pStyle w:val="Ttulo2"/>
        <w:rPr/>
      </w:pPr>
      <w:r w:rsidRPr="006F358B">
        <w:t>9.10. Consideraciones éticas</w:t>
      </w:r>
    </w:p>
    <w:p w14:paraId="4F1B9AD4" w14:textId="77777777" w:rsidR="0023240D" w:rsidRPr="006F358B" w:rsidRDefault="00000000">
      <w:pPr>
        <w:ind w:firstLine="720"/>
        <w:jc w:val="both"/>
        <w:rPr/>
      </w:pPr>
      <w:r w:rsidRPr="006F358B">
        <w:t xml:space="preserve">El estudio se somete a aprobación del comité de ética institucional, obtiene consentimiento informado de acudientes, docentes y orientadores, y asentimiento de los estudiantes menores de edad. La confidencialidad queda cubierta mediante codificación de identidades y anonimización documental. El retiro puede solicitarse en cualquier momento y sin consecuencia alguna.</w:t>
      </w:r>
    </w:p>
    <w:p w14:paraId="710F9845" w14:textId="77777777" w:rsidR="0023240D" w:rsidRDefault="00000000">
      <w:pPr>
        <w:ind w:firstLine="720"/>
        <w:jc w:val="both"/>
      </w:pPr>
      <w:r w:rsidRPr="006F358B">
        <w:t xml:space="preserve">Investigar sobre estudiantes ya rotulados obliga, sin embargo, a resguardos que van más allá del trámite. Las entrevistas evitan cualquier formulación que refuerce la identidad deficitaria del estudiante y se centran en describir situaciones, no en evaluar capacidades, y los hallazgos institucionales se devuelven a los colegios con ánimo de mejoramiento y no de auditoría, para no exponer a los docentes que abrieron sus aulas. El estudio, en fin, no practica valoración diagnóstica ni interviene en los procesos de evaluación en curso, y cualquier situación que requiera atención profesional se remite a los canales institucionales.</w:t>
      </w:r>
    </w:p>
    <w:p w14:paraId="7E51866C" w14:textId="77777777" w:rsidR="0023240D" w:rsidRDefault="00000000">
      <w:r>
        <w:br w:type="page"/>
      </w:r>
    </w:p>
    <w:p w14:paraId="189EEB14" w14:textId="77777777" w:rsidR="0023240D" w:rsidRDefault="00000000">
      <w:pPr>
        <w:pStyle w:val="Ttulo1"/>
      </w:pPr>
      <w:r>
        <w:lastRenderedPageBreak/>
        <w:t>10. Propuesta y desarrollo</w:t>
      </w:r>
    </w:p>
    <w:p w14:paraId="23AD0BE6" w14:textId="77777777" w:rsidR="0023240D" w:rsidRDefault="00000000">
      <w:pPr>
        <w:pStyle w:val="Ttulo2"/>
      </w:pPr>
      <w:r>
        <w:t>10.1. Naturaleza de la propuesta</w:t>
      </w:r>
    </w:p>
    <w:p w14:paraId="40AE41C8" w14:textId="77777777" w:rsidR="0023240D" w:rsidRDefault="00000000">
      <w:pPr>
        <w:ind w:firstLine="720"/>
        <w:jc w:val="both"/>
      </w:pPr>
      <w:r>
        <w:t>La investigación no busca una estrategia para corregir formas particulares de lectura. Busca un modelo de análisis con el cual reconstruir las condiciones pedagógicas, perceptivas e institucionales bajo las cuales ciertas formas de leer llegan a reconocerse como lectura. La diferencia importa: la experiencia lectora de los estudiantes diagnosticados con dislexia no es aquello sobre lo que el modelo interviene, sino el lugar desde donde esas condiciones se vuelven visibles.</w:t>
      </w:r>
    </w:p>
    <w:p w14:paraId="781E7D94" w14:textId="77777777" w:rsidR="0023240D" w:rsidRDefault="00000000">
      <w:pPr>
        <w:ind w:firstLine="720"/>
        <w:jc w:val="both"/>
      </w:pPr>
      <w:r>
        <w:t>Dicho esto, el trabajo no se detiene en comprender. Del modelo se derivan criterios pedagógicos para el diseño de la consigna, un instrumento de autoevaluación institucional y una ruta de validación, con lo cual el conocimiento producido puede usarse. Nada de eso es una receta cerrada. Su forma definitiva solo aparecerá después del campo, y lo que aquí se expone es la arquitectura y el camino previsto para construirla.</w:t>
      </w:r>
    </w:p>
    <w:p w14:paraId="44C4947F" w14:textId="77777777" w:rsidR="0023240D" w:rsidRDefault="00000000">
      <w:pPr>
        <w:pStyle w:val="Ttulo2"/>
      </w:pPr>
      <w:r>
        <w:t>10.2. Arquitectura del modelo de análisis</w:t>
      </w:r>
    </w:p>
    <w:p w14:paraId="44819E2F" w14:textId="77777777" w:rsidR="0023240D" w:rsidRDefault="00000000">
      <w:pPr>
        <w:ind w:firstLine="720"/>
        <w:jc w:val="both"/>
      </w:pPr>
      <w:r>
        <w:t>El modelo representa el circuito que une gramática escolar, ecología del aula híbrida y experiencia lectora, y lo hace mediante anillos y puntos de articulación.</w:t>
      </w:r>
    </w:p>
    <w:p w14:paraId="3B9E46F1" w14:textId="77777777" w:rsidR="0023240D" w:rsidRDefault="00000000">
      <w:pPr>
        <w:ind w:firstLine="720"/>
        <w:jc w:val="both"/>
      </w:pPr>
      <w:r>
        <w:t>El anillo institucional reúne el sistema institucional de evaluación, los criterios de desempeño del área de lenguaje y la configuración por defecto de la plataforma. Dentro de él, el anillo de la consigna comprende el enunciado concreto con su temporalidad, su soporte, su formato de respuesta y su criterio de calificación; por ser el nivel más maleable del sistema, es allí donde se sitúa el aporte del estudio. Queda el anillo de la experiencia, que abarca la vivencia perceptiva, temporal, emocional e identitaria del estudiante junto con las estrategias que despliega para sostenerse.</w:t>
      </w:r>
    </w:p>
    <w:p w14:paraId="42146B89" w14:textId="77777777" w:rsidR="0023240D" w:rsidRDefault="00000000">
      <w:pPr>
        <w:ind w:firstLine="720"/>
        <w:jc w:val="both"/>
      </w:pPr>
      <w:r>
        <w:t>Los puntos de articulación son los lugares donde un anillo se convierte en otro: cuando la norma se traduce en consigna, cuando la consigna se aplica técnicamente en la plataforma, cuando el desempeño se registra y cuando ese registro vuelve sobre la norma para confirmarla. La tesis operativa del modelo es que el circuito no puede interrumpirse actuando sobre el anillo institucional de manera directa, y sí en los puntos de articulación, sobre todo en los dos primeros, donde una decisión pequeña tiene efectos desproporcionados.</w:t>
      </w:r>
    </w:p>
    <w:p w14:paraId="246E3466" w14:textId="77777777" w:rsidR="0023240D" w:rsidRDefault="00000000">
      <w:pPr>
        <w:pStyle w:val="Ttulo2"/>
      </w:pPr>
      <w:r>
        <w:t>10.3. Criterios pedagógicos derivados</w:t>
      </w:r>
    </w:p>
    <w:p w14:paraId="32DCE76D" w14:textId="77777777" w:rsidR="0023240D" w:rsidRDefault="00000000">
      <w:pPr>
        <w:ind w:firstLine="720"/>
        <w:jc w:val="both"/>
      </w:pPr>
      <w:r>
        <w:t>Los criterios que se desprenden del modelo se organizan en ejes cuya formulación definitiva dependerá de los hallazgos, aunque su orientación ya pueda anticiparse.</w:t>
      </w:r>
    </w:p>
    <w:p w14:paraId="5FA7072E" w14:textId="77777777" w:rsidR="0023240D" w:rsidRDefault="00000000">
      <w:pPr>
        <w:ind w:firstLine="720"/>
        <w:jc w:val="both"/>
      </w:pPr>
      <w:r>
        <w:t>El eje de temporalidad se ocupa de separar el tiempo de respuesta de la evidencia de comprensión y de establecer cuándo un temporizador mide otra cosa distinta de lo que dice medir, cuestión que la evidencia de Delgado et al. (2018) vuelve urgente. La arquitectura del enunciado atiende extensión, segmentación, redundancia funcional, jerarquía visual y disponibilidad de versión audible, con apoyo en Mangen y van der Weel (2016). Un tercer eje busca que una sola calificación deje de medir simultáneamente comprensión, escritura y ortografía. El diseño anticipado de la variabilidad traslada las múltiples formas de representación y expresión al momento en que la tarea se crea, en lugar de agregarlas después como ajuste, en la línea de Meyer et al. (2014) y del Center for Applied Special Technology (2018). Y la articulación con el Plan Individual de Ajustes Razonables busca que el instrumento del Decreto 1421 de 2017 opere sobre el diseño de la consigna y no solamente sobre el acompañamiento individual.</w:t>
      </w:r>
    </w:p>
    <w:p w14:paraId="25CB4D99" w14:textId="77777777" w:rsidR="0023240D" w:rsidRDefault="00000000">
      <w:pPr>
        <w:pStyle w:val="Ttulo2"/>
      </w:pPr>
      <w:r>
        <w:t>10.4. Instrumento de autoevaluación institucional</w:t>
      </w:r>
    </w:p>
    <w:p w14:paraId="036CB0EA" w14:textId="77777777" w:rsidR="0023240D" w:rsidRDefault="00000000">
      <w:pPr>
        <w:ind w:firstLine="720"/>
        <w:jc w:val="both"/>
      </w:pPr>
      <w:r>
        <w:t xml:space="preserve">El tercer componente le da al colegio con qué examinar por su cuenta sus condiciones de reconocimiento de la lectura. Se estructura sobre los ocho descriptores de la matriz de análisis de </w:t>
      </w:r>
      <w:r>
        <w:lastRenderedPageBreak/>
        <w:t>la consigna, con niveles de desarrollo y orientaciones de mejora asociadas a cada nivel, de modo que el resultado no sea un diagnóstico sino un punto de partida. Su antecedente conceptual está en el dispositivo de Booth y Ainscow (2015), del que se aparta por concentrarse en la consigna lectora y en la mediación tecnológica antes que en la cultura institucional en general.</w:t>
      </w:r>
    </w:p>
    <w:p w14:paraId="7BCBBBAC" w14:textId="77777777" w:rsidR="0023240D" w:rsidRDefault="00000000">
      <w:pPr>
        <w:pStyle w:val="Ttulo2"/>
      </w:pPr>
      <w:r>
        <w:t>10.5. Ruta de construcción y validación</w:t>
      </w:r>
    </w:p>
    <w:p w14:paraId="51EBBE4D" w14:textId="77777777" w:rsidR="0023240D" w:rsidRDefault="00000000">
      <w:pPr>
        <w:ind w:firstLine="720"/>
        <w:jc w:val="both"/>
      </w:pPr>
      <w:r>
        <w:t>La construcción avanza por fases, y el orden importa. Primero se abstraen los principios a partir de las prácticas docentes de reconfiguración y de los puntos donde el circuito se rompe; solo entonces cada criterio se redacta con una estructura común de enunciado, fundamento empírico y teórico, condiciones de aplicación y forma de verificarlo. La validación somete el conjunto a un mínimo de cinco expertos, que evalúan pertinencia, claridad, suficiencia y viabilidad, y a un grupo focal de contraste con los docentes que participaron en el campo, cuyo juicio pesa distinto porque conocen el aula de la que salieron los criterios. Con sus observaciones se produce la versión final.</w:t>
      </w:r>
    </w:p>
    <w:p w14:paraId="5BF083E3" w14:textId="77777777" w:rsidR="0023240D" w:rsidRDefault="00000000">
      <w:pPr>
        <w:pStyle w:val="Ttulo1"/>
      </w:pPr>
      <w:r>
        <w:t>11. Alcances esperados</w:t>
      </w:r>
    </w:p>
    <w:p w14:paraId="3500753B" w14:textId="77777777" w:rsidR="0023240D" w:rsidRDefault="00000000">
      <w:pPr>
        <w:pStyle w:val="Ttulo2"/>
      </w:pPr>
      <w:r>
        <w:t>11.1. Aportes al conocimiento</w:t>
      </w:r>
    </w:p>
    <w:p w14:paraId="6D9E2322" w14:textId="77777777" w:rsidR="0023240D" w:rsidRDefault="00000000">
      <w:pPr>
        <w:ind w:firstLine="720"/>
        <w:jc w:val="both"/>
      </w:pPr>
      <w:r>
        <w:t>Algunos resultados pueden anticiparse sin exagerar. En el plano conceptual, la gramática escolar de lectura quedaría fundamentada empíricamente como herramienta de análisis institucional. La contribución comprensiva sería la descripción documentada de los circuitos recursivos que unen las condiciones escolares de reconocimiento con la constitución de la experiencia disléxica. Metodológicamente, quedaría un procedimiento con el cual investigar desde el pensamiento complejo sin quedarse en la declaración, que combina la matriz de análisis de la consigna, la diagramación de circuitos y la triangulación teórica. Y lo propositivo son el modelo, los criterios pedagógicos y el instrumento de autoevaluación.</w:t>
      </w:r>
    </w:p>
    <w:p w14:paraId="66B6D339" w14:textId="77777777" w:rsidR="0023240D" w:rsidRDefault="00000000">
      <w:pPr>
        <w:pStyle w:val="Ttulo2"/>
      </w:pPr>
      <w:r>
        <w:t>11.2. Transformaciones posibles en el contexto</w:t>
      </w:r>
    </w:p>
    <w:p w14:paraId="0ED225ED" w14:textId="77777777" w:rsidR="0023240D" w:rsidRDefault="00000000">
      <w:pPr>
        <w:ind w:firstLine="720"/>
        <w:jc w:val="both"/>
      </w:pPr>
      <w:r>
        <w:t>El estudio puede hacer posible, sin prometerlo, que las instituciones respondan de otro modo a la dificultad lectora: menos remediación del sujeto y más rediseño de la consigna. Aspira a darle al docente un lenguaje con el cual interrogar criterios que hoy ocupan la posición de referencia y al equipo de orientación un instrumento que amplíe el alcance del Plan Individual de Ajustes Razonables. Hasta dónde llegue esa interrogación es algo que dependerá de relaciones que solo aparecerán en el contexto donde la investigación efectivamente ocurra.</w:t>
      </w:r>
    </w:p>
    <w:p w14:paraId="2F059E03" w14:textId="77777777" w:rsidR="0023240D" w:rsidRDefault="00000000">
      <w:pPr>
        <w:pStyle w:val="Ttulo2"/>
      </w:pPr>
      <w:r>
        <w:t>11.3. Límites del estudio</w:t>
      </w:r>
    </w:p>
    <w:p w14:paraId="058B9350" w14:textId="77777777" w:rsidR="0023240D" w:rsidRDefault="00000000">
      <w:pPr>
        <w:ind w:firstLine="720"/>
        <w:jc w:val="both"/>
      </w:pPr>
      <w:r>
        <w:t>El alcance geográfico se restringe a instituciones de una ciudad, de modo que la transferibilidad tendrá que ser evaluada por los actores de cada contexto receptor y no puede darse por supuesta. El estudio no medirá la eficacia de los criterios sobre el desempeño lector, tarea que corresponde a una investigación posterior con otro diseño. La identificación de los estudiantes participantes depende de los reportes institucionales disponibles y no de una valoración propia, lo que introduce heterogeneidad en el criterio de inclusión, límite que la literatura reconoce como característico del campo (</w:t>
      </w:r>
      <w:proofErr w:type="spellStart"/>
      <w:r>
        <w:t>Snowling</w:t>
      </w:r>
      <w:proofErr w:type="spellEnd"/>
      <w:r>
        <w:t xml:space="preserve"> et al., 2020). Y la presencia del investigador en el aula modifica aquello que observa, circunstancia que el enfoque asume mediante la reflexividad en lugar de fingir que puede neutralizarla.</w:t>
      </w:r>
    </w:p>
    <w:p w14:paraId="569F1CB5" w14:textId="77777777" w:rsidR="0023240D" w:rsidRDefault="00000000">
      <w:r>
        <w:br w:type="page"/>
      </w:r>
    </w:p>
    <w:p w14:paraId="311D31E2" w14:textId="77777777" w:rsidR="0023240D" w:rsidRDefault="00000000">
      <w:pPr>
        <w:pStyle w:val="Ttulo1"/>
      </w:pPr>
      <w:r>
        <w:lastRenderedPageBreak/>
        <w:t>12. Conclusiones provisionales</w:t>
      </w:r>
    </w:p>
    <w:p w14:paraId="480F74AE" w14:textId="77777777" w:rsidR="0023240D" w:rsidRPr="006F358B" w:rsidRDefault="00000000">
      <w:pPr>
        <w:ind w:firstLine="720"/>
        <w:jc w:val="both"/>
        <w:rPr/>
      </w:pPr>
      <w:r>
        <w:t xml:space="preserve">El protocolo no </w:t>
      </w:r>
      <w:r w:rsidRPr="006F358B">
        <w:t xml:space="preserve">anticipa hallazgos. Fija las condiciones que hacen posible una investigación y señala, de paso, aquello que todavía no puede resolver.</w:t>
      </w:r>
    </w:p>
    <w:p w14:paraId="13FC1F4A" w14:textId="77777777" w:rsidR="0023240D" w:rsidRPr="006F358B" w:rsidRDefault="00000000">
      <w:pPr>
        <w:ind w:firstLine="720"/>
        <w:jc w:val="both"/>
        <w:rPr/>
      </w:pPr>
      <w:r w:rsidRPr="006F358B">
        <w:t xml:space="preserve">El problema quedó delimitado sin quedar clausurado, pues está situado en un territorio, en una etapa escolar y en una modalidad de enseñanza, se sostiene con evidencia empírica, teórica y normativa, y se formula como pregunta por una relación cuya forma todavía no se conoce. La delimitación permite investigar sin decidir por adelantado qué habrá de encontrarse, que es a esta altura del trabajo todo lo que puede pedírsele.</w:t>
      </w:r>
    </w:p>
    <w:p w14:paraId="4A4918D3" w14:textId="77777777" w:rsidR="0023240D" w:rsidRPr="006F358B" w:rsidRDefault="00000000">
      <w:pPr>
        <w:ind w:firstLine="720"/>
        <w:jc w:val="both"/>
        <w:rPr/>
      </w:pPr>
      <w:r w:rsidRPr="006F358B">
        <w:t xml:space="preserve">Las categorías tomadas del pensamiento complejo trabajan dentro del diseño y no solo dentro del marco. La recursividad se traduce en un procedimiento de diagramación que puede fallar si las relaciones no la confirman. La tensión entre saberes obliga a una triangulación teórica que exige leer un mismo fragmento desde claves incompatibles, y la multidimensionalidad da forma a las dimensiones que estructuran el protocolo de entrevista. Ninguna de ellas se emplea, en suma, como adjetivo del proyecto, y si el campo no las respalda no llegarán a la versión final.</w:t>
      </w:r>
    </w:p>
    <w:p w14:paraId="714A204E" w14:textId="77777777" w:rsidR="0023240D" w:rsidRPr="006F358B" w:rsidRDefault="00000000">
      <w:pPr>
        <w:ind w:firstLine="720"/>
        <w:jc w:val="both"/>
        <w:rPr/>
      </w:pPr>
      <w:r w:rsidRPr="006F358B">
        <w:t xml:space="preserve">Comprender es solo una parte de lo que este trabajo deja. Deja un modelo de análisis, criterios pedagógicos y un instrumento de autoevaluación institucional, con capacidad de actuar sobre el problema que los originó. Su valor dependerá de que hayan salido del campo y no de las premisas de partida.</w:t>
      </w:r>
    </w:p>
    <w:p w14:paraId="43C63F61" w14:textId="77777777" w:rsidR="0023240D" w:rsidRDefault="00000000">
      <w:pPr>
        <w:ind w:firstLine="720"/>
        <w:jc w:val="both"/>
      </w:pPr>
      <w:r w:rsidRPr="006F358B">
        <w:t xml:space="preserve">Queda, finalmente, lo que el protocolo no puede cerrar. El desarrollo hará surgir preguntas que hoy no están a la vista, aunque algunas ya se dejan intuir: si los criterios servirían en básica primaria, cómo se comportarían estos circuitos en instituciones rurales con conectividad intermitente, qué efecto tendrían sobre el desempeño lector, cosa que exigiría otro diseño. Por debajo de todas ellas persiste una cuestión que el proyecto abre sin resolver: hasta dónde pueden seguir siendo las mismas las condiciones que hacen reconocible una lectura, cuando aquello que parecía apartarse de ellas sin más empieza también a volverlas visibles.</w:t>
      </w:r>
    </w:p>
    <w:p w14:paraId="277A4D92" w14:textId="77777777" w:rsidR="0023240D" w:rsidRDefault="00000000">
      <w:pPr>
        <w:pStyle w:val="Ttulo1"/>
      </w:pPr>
      <w:r>
        <w:t>13. Cronograma</w:t>
      </w:r>
    </w:p>
    <w:p w14:paraId="19FEB202" w14:textId="77777777" w:rsidR="0023240D" w:rsidRDefault="00000000">
      <w:r>
        <w:rPr>
          <w:b/>
          <w:bCs/>
        </w:rPr>
        <w:t>Tabla 4</w:t>
      </w:r>
    </w:p>
    <w:p w14:paraId="5AFFB3A4" w14:textId="77777777" w:rsidR="0023240D" w:rsidRDefault="00000000">
      <w:r>
        <w:rPr>
          <w:i/>
          <w:iCs/>
        </w:rPr>
        <w:t>Cronograma de ejecución de la investigación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3240D" w14:paraId="4C332FA5" w14:textId="77777777">
        <w:trPr>
          <w:tblHeader/>
        </w:trPr>
        <w:tc>
          <w:tcPr>
            <w:tcW w:w="3120" w:type="dxa"/>
            <w:tcBorders>
              <w:top w:val="single" w:sz="6" w:space="0" w:color="000000"/>
              <w:left w:val="none" w:sz="0" w:space="0" w:color="FFFFFF"/>
              <w:bottom w:val="single" w:sz="6" w:space="0" w:color="000000"/>
              <w:right w:val="none" w:sz="0" w:space="0" w:color="FFFFFF"/>
            </w:tcBorders>
            <w:tcMar>
              <w:top w:w="40" w:type="dxa"/>
              <w:left w:w="90" w:type="dxa"/>
              <w:bottom w:w="40" w:type="dxa"/>
              <w:right w:w="90" w:type="dxa"/>
            </w:tcMar>
          </w:tcPr>
          <w:p w14:paraId="1E9B8E45" w14:textId="77777777" w:rsidR="0023240D" w:rsidRDefault="00000000">
            <w:r>
              <w:rPr>
                <w:i/>
                <w:iCs/>
                <w:sz w:val="20"/>
                <w:szCs w:val="20"/>
              </w:rPr>
              <w:t>Fase</w:t>
            </w:r>
          </w:p>
        </w:tc>
        <w:tc>
          <w:tcPr>
            <w:tcW w:w="3120" w:type="dxa"/>
            <w:tcBorders>
              <w:top w:val="single" w:sz="6" w:space="0" w:color="000000"/>
              <w:left w:val="none" w:sz="0" w:space="0" w:color="FFFFFF"/>
              <w:bottom w:val="single" w:sz="6" w:space="0" w:color="000000"/>
              <w:right w:val="none" w:sz="0" w:space="0" w:color="FFFFFF"/>
            </w:tcBorders>
            <w:tcMar>
              <w:top w:w="40" w:type="dxa"/>
              <w:left w:w="90" w:type="dxa"/>
              <w:bottom w:w="40" w:type="dxa"/>
              <w:right w:w="90" w:type="dxa"/>
            </w:tcMar>
          </w:tcPr>
          <w:p w14:paraId="50ADB1ED" w14:textId="77777777" w:rsidR="0023240D" w:rsidRDefault="00000000">
            <w:r>
              <w:rPr>
                <w:i/>
                <w:iCs/>
                <w:sz w:val="20"/>
                <w:szCs w:val="20"/>
              </w:rPr>
              <w:t>Actividades</w:t>
            </w:r>
          </w:p>
        </w:tc>
        <w:tc>
          <w:tcPr>
            <w:tcW w:w="3120" w:type="dxa"/>
            <w:tcBorders>
              <w:top w:val="single" w:sz="6" w:space="0" w:color="000000"/>
              <w:left w:val="none" w:sz="0" w:space="0" w:color="FFFFFF"/>
              <w:bottom w:val="single" w:sz="6" w:space="0" w:color="000000"/>
              <w:right w:val="none" w:sz="0" w:space="0" w:color="FFFFFF"/>
            </w:tcBorders>
            <w:tcMar>
              <w:top w:w="40" w:type="dxa"/>
              <w:left w:w="90" w:type="dxa"/>
              <w:bottom w:w="40" w:type="dxa"/>
              <w:right w:w="90" w:type="dxa"/>
            </w:tcMar>
          </w:tcPr>
          <w:p w14:paraId="328FA82A" w14:textId="77777777" w:rsidR="0023240D" w:rsidRDefault="00000000">
            <w:r>
              <w:rPr>
                <w:i/>
                <w:iCs/>
                <w:sz w:val="20"/>
                <w:szCs w:val="20"/>
              </w:rPr>
              <w:t>Periodo</w:t>
            </w:r>
          </w:p>
        </w:tc>
      </w:tr>
      <w:tr w:rsidR="0023240D" w14:paraId="563DC9A7" w14:textId="77777777">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62B7A55B" w14:textId="77777777" w:rsidR="0023240D" w:rsidRDefault="00000000">
            <w:r>
              <w:rPr>
                <w:sz w:val="20"/>
                <w:szCs w:val="20"/>
              </w:rPr>
              <w:t>Fase 1. Preparación</w:t>
            </w:r>
          </w:p>
        </w:tc>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3A4F7AC9" w14:textId="77777777" w:rsidR="0023240D" w:rsidRDefault="00000000">
            <w:r>
              <w:rPr>
                <w:sz w:val="20"/>
                <w:szCs w:val="20"/>
              </w:rPr>
              <w:t>Aprobación del comité de ética; gestión de accesos institucionales; validación de instrumentos por expertos</w:t>
            </w:r>
          </w:p>
        </w:tc>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16264BFC" w14:textId="77777777" w:rsidR="0023240D" w:rsidRDefault="00000000">
            <w:r>
              <w:rPr>
                <w:sz w:val="20"/>
                <w:szCs w:val="20"/>
              </w:rPr>
              <w:t>Meses 1 a 3</w:t>
            </w:r>
          </w:p>
        </w:tc>
      </w:tr>
      <w:tr w:rsidR="0023240D" w14:paraId="794EBE45" w14:textId="77777777">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1B6DF3F9" w14:textId="77777777" w:rsidR="0023240D" w:rsidRDefault="00000000">
            <w:r>
              <w:rPr>
                <w:sz w:val="20"/>
                <w:szCs w:val="20"/>
              </w:rPr>
              <w:t>Fase 2. Campo institucional</w:t>
            </w:r>
          </w:p>
        </w:tc>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643544F0" w14:textId="77777777" w:rsidR="0023240D" w:rsidRDefault="00000000">
            <w:r>
              <w:rPr>
                <w:sz w:val="20"/>
                <w:szCs w:val="20"/>
              </w:rPr>
              <w:t>Análisis interpretativo de consignas e instrumentos; revisión de Planes Individuales de Ajustes Razonables; entrevistas a orientadores y coordinadores</w:t>
            </w:r>
          </w:p>
        </w:tc>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6AA28ED7" w14:textId="77777777" w:rsidR="0023240D" w:rsidRDefault="00000000">
            <w:r>
              <w:rPr>
                <w:sz w:val="20"/>
                <w:szCs w:val="20"/>
              </w:rPr>
              <w:t>Meses 4 a 7</w:t>
            </w:r>
          </w:p>
        </w:tc>
      </w:tr>
      <w:tr w:rsidR="0023240D" w14:paraId="2D987D3B" w14:textId="77777777">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5CE65A0C" w14:textId="77777777" w:rsidR="0023240D" w:rsidRDefault="00000000">
            <w:r>
              <w:rPr>
                <w:sz w:val="20"/>
                <w:szCs w:val="20"/>
              </w:rPr>
              <w:t>Fase 3. Campo en aula</w:t>
            </w:r>
          </w:p>
        </w:tc>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0C19574E" w14:textId="77777777" w:rsidR="0023240D" w:rsidRDefault="00000000">
            <w:r>
              <w:rPr>
                <w:sz w:val="20"/>
                <w:szCs w:val="20"/>
              </w:rPr>
              <w:t>Observación participante en los dos tramos; diario de campo; primera ronda de entrevistas; entrevistas con docentes</w:t>
            </w:r>
          </w:p>
        </w:tc>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336EFC0" w14:textId="77777777" w:rsidR="0023240D" w:rsidRDefault="00000000">
            <w:r>
              <w:rPr>
                <w:sz w:val="20"/>
                <w:szCs w:val="20"/>
              </w:rPr>
              <w:t>Meses 8 a 13</w:t>
            </w:r>
          </w:p>
        </w:tc>
      </w:tr>
      <w:tr w:rsidR="0023240D" w14:paraId="237C1360" w14:textId="77777777">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E090A2A" w14:textId="77777777" w:rsidR="0023240D" w:rsidRDefault="00000000">
            <w:r>
              <w:rPr>
                <w:sz w:val="20"/>
                <w:szCs w:val="20"/>
              </w:rPr>
              <w:t>Fase 4. Análisis</w:t>
            </w:r>
          </w:p>
        </w:tc>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BD7BCE8" w14:textId="77777777" w:rsidR="0023240D" w:rsidRDefault="00000000">
            <w:r>
              <w:rPr>
                <w:sz w:val="20"/>
                <w:szCs w:val="20"/>
              </w:rPr>
              <w:t>Codificación abierta y relacional; rejillas de análisis; diagramación de circuitos; segunda ronda de entrevistas; triangulación</w:t>
            </w:r>
          </w:p>
        </w:tc>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2E76ED58" w14:textId="77777777" w:rsidR="0023240D" w:rsidRDefault="00000000">
            <w:r>
              <w:rPr>
                <w:sz w:val="20"/>
                <w:szCs w:val="20"/>
              </w:rPr>
              <w:t>Meses 14 a 19</w:t>
            </w:r>
          </w:p>
        </w:tc>
      </w:tr>
      <w:tr w:rsidR="0023240D" w14:paraId="5EA0B4AE" w14:textId="77777777">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6A000B83" w14:textId="77777777" w:rsidR="0023240D" w:rsidRDefault="00000000">
            <w:r>
              <w:rPr>
                <w:sz w:val="20"/>
                <w:szCs w:val="20"/>
              </w:rPr>
              <w:t>Fase 5. Construcción de la propuesta</w:t>
            </w:r>
          </w:p>
        </w:tc>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1EC67EED" w14:textId="77777777" w:rsidR="0023240D" w:rsidRDefault="00000000">
            <w:r>
              <w:rPr>
                <w:sz w:val="20"/>
                <w:szCs w:val="20"/>
              </w:rPr>
              <w:t xml:space="preserve">Derivación y formulación del modelo y de los criterios; </w:t>
            </w:r>
            <w:r>
              <w:rPr>
                <w:sz w:val="20"/>
                <w:szCs w:val="20"/>
              </w:rPr>
              <w:lastRenderedPageBreak/>
              <w:t>construcción del instrumento de autoevaluación</w:t>
            </w:r>
          </w:p>
        </w:tc>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00017E0" w14:textId="77777777" w:rsidR="0023240D" w:rsidRDefault="00000000">
            <w:r>
              <w:rPr>
                <w:sz w:val="20"/>
                <w:szCs w:val="20"/>
              </w:rPr>
              <w:lastRenderedPageBreak/>
              <w:t>Meses 20 a 23</w:t>
            </w:r>
          </w:p>
        </w:tc>
      </w:tr>
      <w:tr w:rsidR="0023240D" w14:paraId="0CB16669" w14:textId="77777777">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56405BEA" w14:textId="77777777" w:rsidR="0023240D" w:rsidRDefault="00000000">
            <w:r>
              <w:rPr>
                <w:sz w:val="20"/>
                <w:szCs w:val="20"/>
              </w:rPr>
              <w:t>Fase 6. Validación</w:t>
            </w:r>
          </w:p>
        </w:tc>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7E12FEA4" w14:textId="77777777" w:rsidR="0023240D" w:rsidRDefault="00000000">
            <w:r>
              <w:rPr>
                <w:sz w:val="20"/>
                <w:szCs w:val="20"/>
              </w:rPr>
              <w:t>Juicio de expertos; grupos focales de contraste; ajuste final</w:t>
            </w:r>
          </w:p>
        </w:tc>
        <w:tc>
          <w:tcPr>
            <w:tcW w:w="312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39BFC33A" w14:textId="77777777" w:rsidR="0023240D" w:rsidRDefault="00000000">
            <w:r>
              <w:rPr>
                <w:sz w:val="20"/>
                <w:szCs w:val="20"/>
              </w:rPr>
              <w:t>Meses 24 a 27</w:t>
            </w:r>
          </w:p>
        </w:tc>
      </w:tr>
      <w:tr w:rsidR="0023240D" w14:paraId="72DC770F" w14:textId="77777777">
        <w:tc>
          <w:tcPr>
            <w:tcW w:w="3120" w:type="dxa"/>
            <w:tcBorders>
              <w:top w:val="none" w:sz="0" w:space="0" w:color="FFFFFF"/>
              <w:left w:val="none" w:sz="0" w:space="0" w:color="FFFFFF"/>
              <w:bottom w:val="single" w:sz="6" w:space="0" w:color="000000"/>
              <w:right w:val="none" w:sz="0" w:space="0" w:color="FFFFFF"/>
            </w:tcBorders>
            <w:tcMar>
              <w:top w:w="40" w:type="dxa"/>
              <w:left w:w="90" w:type="dxa"/>
              <w:bottom w:w="40" w:type="dxa"/>
              <w:right w:w="90" w:type="dxa"/>
            </w:tcMar>
          </w:tcPr>
          <w:p w14:paraId="0CB2718F" w14:textId="77777777" w:rsidR="0023240D" w:rsidRDefault="00000000">
            <w:r>
              <w:rPr>
                <w:sz w:val="20"/>
                <w:szCs w:val="20"/>
              </w:rPr>
              <w:t>Fase 7. Redacción y sustentación</w:t>
            </w:r>
          </w:p>
        </w:tc>
        <w:tc>
          <w:tcPr>
            <w:tcW w:w="3120" w:type="dxa"/>
            <w:tcBorders>
              <w:top w:val="none" w:sz="0" w:space="0" w:color="FFFFFF"/>
              <w:left w:val="none" w:sz="0" w:space="0" w:color="FFFFFF"/>
              <w:bottom w:val="single" w:sz="6" w:space="0" w:color="000000"/>
              <w:right w:val="none" w:sz="0" w:space="0" w:color="FFFFFF"/>
            </w:tcBorders>
            <w:tcMar>
              <w:top w:w="40" w:type="dxa"/>
              <w:left w:w="90" w:type="dxa"/>
              <w:bottom w:w="40" w:type="dxa"/>
              <w:right w:w="90" w:type="dxa"/>
            </w:tcMar>
          </w:tcPr>
          <w:p w14:paraId="34BB4342" w14:textId="77777777" w:rsidR="0023240D" w:rsidRDefault="00000000">
            <w:r>
              <w:rPr>
                <w:sz w:val="20"/>
                <w:szCs w:val="20"/>
              </w:rPr>
              <w:t>Redacción del informe final; artículo derivado; sustentación</w:t>
            </w:r>
          </w:p>
        </w:tc>
        <w:tc>
          <w:tcPr>
            <w:tcW w:w="3120" w:type="dxa"/>
            <w:tcBorders>
              <w:top w:val="none" w:sz="0" w:space="0" w:color="FFFFFF"/>
              <w:left w:val="none" w:sz="0" w:space="0" w:color="FFFFFF"/>
              <w:bottom w:val="single" w:sz="6" w:space="0" w:color="000000"/>
              <w:right w:val="none" w:sz="0" w:space="0" w:color="FFFFFF"/>
            </w:tcBorders>
            <w:tcMar>
              <w:top w:w="40" w:type="dxa"/>
              <w:left w:w="90" w:type="dxa"/>
              <w:bottom w:w="40" w:type="dxa"/>
              <w:right w:w="90" w:type="dxa"/>
            </w:tcMar>
          </w:tcPr>
          <w:p w14:paraId="0F0FF952" w14:textId="77777777" w:rsidR="0023240D" w:rsidRDefault="00000000">
            <w:r>
              <w:rPr>
                <w:sz w:val="20"/>
                <w:szCs w:val="20"/>
              </w:rPr>
              <w:t>Meses 28 a 33</w:t>
            </w:r>
          </w:p>
        </w:tc>
      </w:tr>
    </w:tbl>
    <w:p w14:paraId="0ED0641A" w14:textId="77777777" w:rsidR="0023240D" w:rsidRDefault="0023240D"/>
    <w:p w14:paraId="6B9CF16A" w14:textId="77777777" w:rsidR="0023240D" w:rsidRDefault="00000000">
      <w:r>
        <w:br w:type="page"/>
      </w:r>
    </w:p>
    <w:p w14:paraId="7EE663A5" w14:textId="77777777" w:rsidR="0023240D" w:rsidRDefault="00000000">
      <w:pPr>
        <w:pStyle w:val="Ttulo1"/>
      </w:pPr>
      <w:r>
        <w:lastRenderedPageBreak/>
        <w:t>Referencias</w:t>
      </w:r>
    </w:p>
    <w:p w14:paraId="67899FC2" w14:textId="77777777" w:rsidR="0023240D" w:rsidRDefault="00000000">
      <w:pPr>
        <w:ind w:left="720" w:hanging="720"/>
      </w:pPr>
      <w:r>
        <w:t xml:space="preserve">Arteaga Gualán, F. F., Martínez Solórzano, S. E., Vera García, C. A., Arteaga Gualán, R. R., García Bailón, L. R., </w:t>
      </w:r>
      <w:proofErr w:type="spellStart"/>
      <w:r>
        <w:t>Pilligua</w:t>
      </w:r>
      <w:proofErr w:type="spellEnd"/>
      <w:r>
        <w:t xml:space="preserve"> </w:t>
      </w:r>
      <w:proofErr w:type="spellStart"/>
      <w:r>
        <w:t>Laz</w:t>
      </w:r>
      <w:proofErr w:type="spellEnd"/>
      <w:r>
        <w:t>, A. M., y Moreira Rivera, J. M. (2024). Estrategias pedagógicas para el abordaje educativo de la dislexia: revisión sistemática de la literatura. LATAM Revista Latinoamericana de Ciencias Sociales y Humanidades, 5(1), 574-583. https://doi.org/10.56712/latam.v5i1.1612</w:t>
      </w:r>
    </w:p>
    <w:p w14:paraId="25C2C832" w14:textId="77777777" w:rsidR="0023240D" w:rsidRDefault="00000000">
      <w:pPr>
        <w:ind w:left="720" w:hanging="720"/>
      </w:pPr>
      <w:r>
        <w:t>Barrios-Tao, H. (2016). Neurociencias, educación y entorno sociocultural. Educación y Educadores, 19(3), 395-415.</w:t>
      </w:r>
    </w:p>
    <w:p w14:paraId="3C86DD29" w14:textId="77777777" w:rsidR="0023240D" w:rsidRDefault="00000000">
      <w:pPr>
        <w:ind w:left="720" w:hanging="720"/>
      </w:pPr>
      <w:proofErr w:type="spellStart"/>
      <w:r>
        <w:t>Booth</w:t>
      </w:r>
      <w:proofErr w:type="spellEnd"/>
      <w:r>
        <w:t>, T., y Ainscow, M. (2015). Guía para la educación inclusiva: desarrollando el aprendizaje y la participación en los centros escolares (3.ª ed.). FUHEM y Organización de Estados Iberoamericanos.</w:t>
      </w:r>
    </w:p>
    <w:p w14:paraId="1CDF542D" w14:textId="77777777" w:rsidR="0023240D" w:rsidRPr="00F4631D" w:rsidRDefault="00000000">
      <w:pPr>
        <w:ind w:left="720" w:hanging="720"/>
        <w:rPr>
          <w:lang w:val="en-US"/>
        </w:rPr>
      </w:pPr>
      <w:r>
        <w:t xml:space="preserve">Carrillo Gallego, M. S., Alegría, J., Miranda, P., y Sánchez, N. (2011). Evaluación de la dislexia en la escuela primaria: prevalencia en español. </w:t>
      </w:r>
      <w:r w:rsidRPr="00F4631D">
        <w:rPr>
          <w:lang w:val="en-US"/>
        </w:rPr>
        <w:t>Escritos de Psicología, 4(2), 35-44.</w:t>
      </w:r>
    </w:p>
    <w:p w14:paraId="3EACF380" w14:textId="77777777" w:rsidR="0023240D" w:rsidRDefault="00000000">
      <w:pPr>
        <w:ind w:left="720" w:hanging="720"/>
      </w:pPr>
      <w:r w:rsidRPr="00F4631D">
        <w:rPr>
          <w:lang w:val="en-US"/>
        </w:rPr>
        <w:t xml:space="preserve">Center for Applied Special Technology. (2018). Universal design for learning guidelines version 2.2. </w:t>
      </w:r>
      <w:r>
        <w:t>CAST. https://udlguidelines.cast.org</w:t>
      </w:r>
    </w:p>
    <w:p w14:paraId="0C065556" w14:textId="77777777" w:rsidR="0023240D" w:rsidRDefault="00000000">
      <w:pPr>
        <w:ind w:left="720" w:hanging="720"/>
      </w:pPr>
      <w:r>
        <w:t>Congreso de la República de Colombia. (1994, 8 de febrero). Ley 115 de 1994. Por la cual se expide la ley general de educación. Diario Oficial No. 41.214.</w:t>
      </w:r>
    </w:p>
    <w:p w14:paraId="6A0483EE" w14:textId="77777777" w:rsidR="0023240D" w:rsidRPr="00F4631D" w:rsidRDefault="00000000">
      <w:pPr>
        <w:ind w:left="720" w:hanging="720"/>
        <w:rPr>
          <w:lang w:val="en-US"/>
        </w:rPr>
      </w:pPr>
      <w:r>
        <w:t xml:space="preserve">Congreso de la República de Colombia. (2013, 27 de febrero). Ley 1618 de 2013. Por medio de la cual se establecen las disposiciones para garantizar el pleno ejercicio de los derechos de las personas con discapacidad. </w:t>
      </w:r>
      <w:r w:rsidRPr="00F4631D">
        <w:rPr>
          <w:lang w:val="en-US"/>
        </w:rPr>
        <w:t>Diario Oficial No. 48.717.</w:t>
      </w:r>
    </w:p>
    <w:p w14:paraId="4A462A6F" w14:textId="77777777" w:rsidR="0023240D" w:rsidRDefault="00000000">
      <w:pPr>
        <w:ind w:left="720" w:hanging="720"/>
      </w:pPr>
      <w:r w:rsidRPr="00F4631D">
        <w:rPr>
          <w:lang w:val="en-US"/>
        </w:rPr>
        <w:t xml:space="preserve">Dehaene, S. (2009). Reading in the brain: The new science of how we read. </w:t>
      </w:r>
      <w:proofErr w:type="spellStart"/>
      <w:r>
        <w:t>Viking</w:t>
      </w:r>
      <w:proofErr w:type="spellEnd"/>
      <w:r>
        <w:t>.</w:t>
      </w:r>
    </w:p>
    <w:p w14:paraId="00D6D086" w14:textId="77777777" w:rsidR="0023240D" w:rsidRPr="00F4631D" w:rsidRDefault="00000000">
      <w:pPr>
        <w:ind w:left="720" w:hanging="720"/>
        <w:rPr>
          <w:lang w:val="en-US"/>
        </w:rPr>
      </w:pPr>
      <w:r>
        <w:t xml:space="preserve">Delgado, P., Vargas, C., Ackerman, R., y Salmerón, L. (2018). </w:t>
      </w:r>
      <w:r w:rsidRPr="00F4631D">
        <w:rPr>
          <w:lang w:val="en-US"/>
        </w:rPr>
        <w:t>Don't throw away your printed books: A meta-analysis on the effects of reading media on reading comprehension. Educational Research Review, 25, 23-38. https://doi.org/10.1016/j.edurev.2018.09.003</w:t>
      </w:r>
    </w:p>
    <w:p w14:paraId="4C0A633F" w14:textId="77777777" w:rsidR="0023240D" w:rsidRPr="00F4631D" w:rsidRDefault="00000000">
      <w:pPr>
        <w:ind w:left="720" w:hanging="720"/>
        <w:rPr>
          <w:lang w:val="en-US"/>
        </w:rPr>
      </w:pPr>
      <w:r w:rsidRPr="00F4631D">
        <w:rPr>
          <w:lang w:val="en-US"/>
        </w:rPr>
        <w:t>Elliott, J. G., y Grigorenko, E. L. (2014). The dyslexia debate. Cambridge University Press.</w:t>
      </w:r>
    </w:p>
    <w:p w14:paraId="458E3510" w14:textId="77777777" w:rsidR="0023240D" w:rsidRPr="00F4631D" w:rsidRDefault="00000000">
      <w:pPr>
        <w:ind w:left="720" w:hanging="720"/>
        <w:rPr>
          <w:lang w:val="en-US"/>
        </w:rPr>
      </w:pPr>
      <w:r>
        <w:t xml:space="preserve">García, R. (2006). Sistemas complejos: conceptos, método y fundamentación epistemológica de la investigación interdisciplinaria. </w:t>
      </w:r>
      <w:r w:rsidRPr="00F4631D">
        <w:rPr>
          <w:lang w:val="en-US"/>
        </w:rPr>
        <w:t>Gedisa.</w:t>
      </w:r>
    </w:p>
    <w:p w14:paraId="7B968F8F" w14:textId="77777777" w:rsidR="0023240D" w:rsidRPr="00F4631D" w:rsidRDefault="00000000">
      <w:pPr>
        <w:ind w:left="720" w:hanging="720"/>
        <w:rPr>
          <w:lang w:val="en-US"/>
        </w:rPr>
      </w:pPr>
      <w:r w:rsidRPr="00F4631D">
        <w:rPr>
          <w:lang w:val="en-US"/>
        </w:rPr>
        <w:t>Goswami, U. (2015). Sensory theories of developmental dyslexia: Three challenges for research. Nature Reviews Neuroscience, 16(1), 43-54. https://doi.org/10.1038/nrn3836</w:t>
      </w:r>
    </w:p>
    <w:p w14:paraId="5A0E5E9A" w14:textId="77777777" w:rsidR="0023240D" w:rsidRPr="00F4631D" w:rsidRDefault="00000000">
      <w:pPr>
        <w:ind w:left="720" w:hanging="720"/>
        <w:rPr>
          <w:lang w:val="en-US"/>
        </w:rPr>
      </w:pPr>
      <w:r w:rsidRPr="00F4631D">
        <w:rPr>
          <w:lang w:val="en-US"/>
        </w:rPr>
        <w:t>Hrastinski, S. (2019). What do we mean by blended learning? TechTrends, 63(5), 564-569. https://doi.org/10.1007/s11528-019-00375-5</w:t>
      </w:r>
    </w:p>
    <w:p w14:paraId="74502B4F" w14:textId="77777777" w:rsidR="0023240D" w:rsidRDefault="00000000">
      <w:pPr>
        <w:ind w:left="720" w:hanging="720"/>
      </w:pPr>
      <w:r>
        <w:t>Laboratorio de Economía de la Educación. (2023). Informe 84. Bajos resultados en las pruebas PISA 2022. Pontificia Universidad Javeriana.</w:t>
      </w:r>
    </w:p>
    <w:p w14:paraId="429A6F15" w14:textId="77777777" w:rsidR="0023240D" w:rsidRDefault="00000000">
      <w:pPr>
        <w:ind w:left="720" w:hanging="720"/>
      </w:pPr>
      <w:r>
        <w:t>León Mora, E. C. (2021). Fundamentación epistemológica compleja de un modelo pedagógico [Tesis doctoral, Multiversidad Mundo Real Edgar Morin].</w:t>
      </w:r>
    </w:p>
    <w:p w14:paraId="39A45C5C" w14:textId="77777777" w:rsidR="0023240D" w:rsidRDefault="00000000">
      <w:pPr>
        <w:ind w:left="720" w:hanging="720"/>
      </w:pPr>
      <w:proofErr w:type="spellStart"/>
      <w:r>
        <w:t>Mangen</w:t>
      </w:r>
      <w:proofErr w:type="spellEnd"/>
      <w:r>
        <w:t xml:space="preserve">, A., y van </w:t>
      </w:r>
      <w:proofErr w:type="spellStart"/>
      <w:r>
        <w:t>der</w:t>
      </w:r>
      <w:proofErr w:type="spellEnd"/>
      <w:r>
        <w:t xml:space="preserve"> </w:t>
      </w:r>
      <w:proofErr w:type="spellStart"/>
      <w:r>
        <w:t>Weel</w:t>
      </w:r>
      <w:proofErr w:type="spellEnd"/>
      <w:r>
        <w:t xml:space="preserve">, A. (2016). </w:t>
      </w:r>
      <w:r w:rsidRPr="00F4631D">
        <w:rPr>
          <w:lang w:val="en-US"/>
        </w:rPr>
        <w:t xml:space="preserve">The evolution of reading in the age of digitisation: An integrative framework for reading research. </w:t>
      </w:r>
      <w:proofErr w:type="spellStart"/>
      <w:r>
        <w:t>Literacy</w:t>
      </w:r>
      <w:proofErr w:type="spellEnd"/>
      <w:r>
        <w:t>, 50(3), 116-124. https://doi.org/10.1111/lit.12086</w:t>
      </w:r>
    </w:p>
    <w:p w14:paraId="71780631" w14:textId="77777777" w:rsidR="0023240D" w:rsidRDefault="00000000">
      <w:pPr>
        <w:ind w:left="720" w:hanging="720"/>
      </w:pPr>
      <w:r>
        <w:t>Maturana, H., y Varela, F. (1984). El árbol del conocimiento: las bases biológicas del entendimiento humano. Editorial Universitaria.</w:t>
      </w:r>
    </w:p>
    <w:p w14:paraId="24927EAA" w14:textId="77777777" w:rsidR="0023240D" w:rsidRDefault="00000000">
      <w:pPr>
        <w:ind w:left="720" w:hanging="720"/>
      </w:pPr>
      <w:r>
        <w:t>Merleau-Ponty, M. (1957). Fenomenología de la percepción. Fondo de Cultura Económica. (Obra original publicada en 1945)</w:t>
      </w:r>
    </w:p>
    <w:p w14:paraId="2311F2C9" w14:textId="77777777" w:rsidR="0023240D" w:rsidRDefault="00000000">
      <w:pPr>
        <w:ind w:left="720" w:hanging="720"/>
      </w:pPr>
      <w:r>
        <w:t xml:space="preserve">Meyer, A., Rose, D. H., y Gordon, D. (2014). </w:t>
      </w:r>
      <w:r w:rsidRPr="00F4631D">
        <w:rPr>
          <w:lang w:val="en-US"/>
        </w:rPr>
        <w:t xml:space="preserve">Universal design for learning: Theory and practice. </w:t>
      </w:r>
      <w:r>
        <w:t>CAST Professional Publishing.</w:t>
      </w:r>
    </w:p>
    <w:p w14:paraId="029BD740" w14:textId="77777777" w:rsidR="0023240D" w:rsidRDefault="00000000">
      <w:pPr>
        <w:ind w:left="720" w:hanging="720"/>
      </w:pPr>
      <w:r>
        <w:lastRenderedPageBreak/>
        <w:t>Ministerio de Educación Nacional. (2017, 29 de agosto). Decreto 1421 de 2017. Por el cual se reglamenta en el marco de la educación inclusiva la atención educativa a la población con discapacidad. Diario Oficial No. 50.340.</w:t>
      </w:r>
    </w:p>
    <w:p w14:paraId="2F9D57A4" w14:textId="77777777" w:rsidR="0023240D" w:rsidRDefault="00000000">
      <w:pPr>
        <w:ind w:left="720" w:hanging="720"/>
      </w:pPr>
      <w:r>
        <w:t>Ministerio de Educación Nacional. (2023). Pruebas PISA 2022: Colombia, un sistema educativo resiliente que requiere cambios estructurales para mejorar su calidad. Gobierno de Colombia.</w:t>
      </w:r>
    </w:p>
    <w:p w14:paraId="4237FA8F" w14:textId="77777777" w:rsidR="0023240D" w:rsidRDefault="00000000">
      <w:pPr>
        <w:ind w:left="720" w:hanging="720"/>
      </w:pPr>
      <w:r>
        <w:t>Miranda-Merizalde, V. M., y Núñez Naranjo, A. F. (2025). Neurociencia aplicada a la inclusión: estrategias para el desarrollo cognitivo y emocional de estudiantes con necesidades educativas específicas. UNESUM-Ciencias. Revista Científica Multidisciplinaria, 9(3), 152-165. https://doi.org/10.47230/unesum-ciencias.v9.n3.2025.152-165</w:t>
      </w:r>
    </w:p>
    <w:p w14:paraId="78941178" w14:textId="77777777" w:rsidR="0023240D" w:rsidRDefault="00000000">
      <w:pPr>
        <w:ind w:left="720" w:hanging="720"/>
      </w:pPr>
      <w:r>
        <w:t>Morin, E. (1994). Introducción al pensamiento complejo. Gedisa.</w:t>
      </w:r>
    </w:p>
    <w:p w14:paraId="636F1A68" w14:textId="77777777" w:rsidR="0023240D" w:rsidRDefault="00000000">
      <w:pPr>
        <w:ind w:left="720" w:hanging="720"/>
      </w:pPr>
      <w:r>
        <w:t>Morin, E. (1999). Los siete saberes necesarios para la educación del futuro. Organización de las Naciones Unidas para la Educación, la Ciencia y la Cultura.</w:t>
      </w:r>
    </w:p>
    <w:p w14:paraId="385504B0" w14:textId="77777777" w:rsidR="0023240D" w:rsidRDefault="00000000">
      <w:pPr>
        <w:ind w:left="720" w:hanging="720"/>
      </w:pPr>
      <w:proofErr w:type="spellStart"/>
      <w:r>
        <w:t>Nicolescu</w:t>
      </w:r>
      <w:proofErr w:type="spellEnd"/>
      <w:r>
        <w:t>, B. (2009). La transdisciplinariedad: manifiesto. Multiversidad Mundo Real Edgar Morin. (Obra original publicada en 1996)</w:t>
      </w:r>
    </w:p>
    <w:p w14:paraId="30A1A5E9" w14:textId="77777777" w:rsidR="0023240D" w:rsidRDefault="00000000">
      <w:pPr>
        <w:ind w:left="720" w:hanging="720"/>
      </w:pPr>
      <w:r>
        <w:t>Organización de las Naciones Unidas para la Educación, la Ciencia y la Cultura. (2020). Informe de seguimiento de la educación en el mundo 2020. Inclusión y educación: todos y todas sin excepción. UNESCO.</w:t>
      </w:r>
    </w:p>
    <w:p w14:paraId="4466AA8B" w14:textId="77777777" w:rsidR="0023240D" w:rsidRDefault="00000000">
      <w:pPr>
        <w:ind w:left="720" w:hanging="720"/>
      </w:pPr>
      <w:r>
        <w:t>Ramos Ventura, B. F. (2025). Neurociencias en la educación latinoamericana: una revisión sistemática de investigaciones sobre el diseño universal para el aprendizaje en los últimos 10 años [Tesis de maestría, Universidad Peruana Cayetano Heredia].</w:t>
      </w:r>
    </w:p>
    <w:p w14:paraId="31A97A9A" w14:textId="77777777" w:rsidR="0023240D" w:rsidRPr="00F4631D" w:rsidRDefault="00000000">
      <w:pPr>
        <w:ind w:left="720" w:hanging="720"/>
        <w:rPr>
          <w:lang w:val="en-US"/>
        </w:rPr>
      </w:pPr>
      <w:r w:rsidRPr="00F4631D">
        <w:rPr>
          <w:lang w:val="en-US"/>
        </w:rPr>
        <w:t>Ramus, F., Rosen, S., Dakin, S. C., Day, B. L., Castellote, J. M., White, S., y Frith, U. (2003). Theories of developmental dyslexia: Insights from a multiple case study of dyslexic adults. Brain, 126(4), 841-865. https://doi.org/10.1093/brain/awg076</w:t>
      </w:r>
    </w:p>
    <w:p w14:paraId="4DD13332" w14:textId="77777777" w:rsidR="0023240D" w:rsidRPr="00F4631D" w:rsidRDefault="00000000">
      <w:pPr>
        <w:ind w:left="720" w:hanging="720"/>
        <w:rPr>
          <w:lang w:val="en-US"/>
        </w:rPr>
      </w:pPr>
      <w:r w:rsidRPr="00F4631D">
        <w:rPr>
          <w:lang w:val="en-US"/>
        </w:rPr>
        <w:t>Singer, J. (1999). Why can't you be normal for once in your life? From a problem with no name to the emergence of a new category of difference. En M. Corker y S. French (Eds.), Disability discourse (pp. 59-67). Open University Press.</w:t>
      </w:r>
    </w:p>
    <w:p w14:paraId="6DA5E96A" w14:textId="77777777" w:rsidR="0023240D" w:rsidRDefault="00000000">
      <w:pPr>
        <w:ind w:left="720" w:hanging="720"/>
      </w:pPr>
      <w:r w:rsidRPr="00F4631D">
        <w:rPr>
          <w:lang w:val="en-US"/>
        </w:rPr>
        <w:t xml:space="preserve">Snowling, M. J., Hulme, C., y Nation, K. (2020). Defining and understanding dyslexia: Past, present and future. </w:t>
      </w:r>
      <w:r>
        <w:t xml:space="preserve">Oxford </w:t>
      </w:r>
      <w:proofErr w:type="spellStart"/>
      <w:r>
        <w:t>Review</w:t>
      </w:r>
      <w:proofErr w:type="spellEnd"/>
      <w:r>
        <w:t xml:space="preserve"> </w:t>
      </w:r>
      <w:proofErr w:type="spellStart"/>
      <w:r>
        <w:t>of</w:t>
      </w:r>
      <w:proofErr w:type="spellEnd"/>
      <w:r>
        <w:t xml:space="preserve"> </w:t>
      </w:r>
      <w:proofErr w:type="spellStart"/>
      <w:r>
        <w:t>Education</w:t>
      </w:r>
      <w:proofErr w:type="spellEnd"/>
      <w:r>
        <w:t>, 46(4), 501-513. https://doi.org/10.1080/03054985.2020.1765756</w:t>
      </w:r>
    </w:p>
    <w:p w14:paraId="10F88910" w14:textId="77777777" w:rsidR="0023240D" w:rsidRDefault="00000000">
      <w:pPr>
        <w:ind w:left="720" w:hanging="720"/>
      </w:pPr>
      <w:r>
        <w:t>Terigi, F. (2010). Las cronologías de aprendizaje: un concepto para pensar las trayectorias escolares [Conferencia]. Ministerio de Educación de la Nación, Santa Rosa, La Pampa, Argentina.</w:t>
      </w:r>
    </w:p>
    <w:p w14:paraId="29AEE08A" w14:textId="77777777" w:rsidR="0023240D" w:rsidRDefault="00000000">
      <w:pPr>
        <w:ind w:left="720" w:hanging="720"/>
      </w:pPr>
      <w:proofErr w:type="spellStart"/>
      <w:r>
        <w:t>Tyack</w:t>
      </w:r>
      <w:proofErr w:type="spellEnd"/>
      <w:r>
        <w:t xml:space="preserve">, D., y Tobin, W. (1994). </w:t>
      </w:r>
      <w:r w:rsidRPr="00F4631D">
        <w:rPr>
          <w:lang w:val="en-US"/>
        </w:rPr>
        <w:t xml:space="preserve">The "grammar" of schooling: Why has it been so hard to change? </w:t>
      </w:r>
      <w:r>
        <w:t xml:space="preserve">American </w:t>
      </w:r>
      <w:proofErr w:type="spellStart"/>
      <w:r>
        <w:t>Educational</w:t>
      </w:r>
      <w:proofErr w:type="spellEnd"/>
      <w:r>
        <w:t xml:space="preserve"> </w:t>
      </w:r>
      <w:proofErr w:type="spellStart"/>
      <w:r>
        <w:t>Research</w:t>
      </w:r>
      <w:proofErr w:type="spellEnd"/>
      <w:r>
        <w:t xml:space="preserve"> </w:t>
      </w:r>
      <w:proofErr w:type="spellStart"/>
      <w:r>
        <w:t>Journal</w:t>
      </w:r>
      <w:proofErr w:type="spellEnd"/>
      <w:r>
        <w:t>, 31(3), 453-479. https://doi.org/10.3102/00028312031003453</w:t>
      </w:r>
    </w:p>
    <w:p w14:paraId="34E8CAAD" w14:textId="77777777" w:rsidR="0023240D" w:rsidRPr="00F4631D" w:rsidRDefault="00000000">
      <w:pPr>
        <w:ind w:left="720" w:hanging="720"/>
        <w:rPr>
          <w:lang w:val="en-US"/>
        </w:rPr>
      </w:pPr>
      <w:proofErr w:type="spellStart"/>
      <w:r>
        <w:t>Viñao</w:t>
      </w:r>
      <w:proofErr w:type="spellEnd"/>
      <w:r>
        <w:t xml:space="preserve">, A. (2002). Sistemas educativos, culturas escolares y reformas. </w:t>
      </w:r>
      <w:r w:rsidRPr="00F4631D">
        <w:rPr>
          <w:lang w:val="en-US"/>
        </w:rPr>
        <w:t>Morata.</w:t>
      </w:r>
    </w:p>
    <w:p w14:paraId="61B41FB2" w14:textId="77777777" w:rsidR="0023240D" w:rsidRDefault="00000000">
      <w:pPr>
        <w:ind w:left="720" w:hanging="720"/>
      </w:pPr>
      <w:r w:rsidRPr="00F4631D">
        <w:rPr>
          <w:lang w:val="en-US"/>
        </w:rPr>
        <w:t xml:space="preserve">Wolf, M. (2018). Reader, come home: The reading brain in a digital world. </w:t>
      </w:r>
      <w:r>
        <w:t>Harper.</w:t>
      </w:r>
    </w:p>
    <w:sectPr w:rsidR="0023240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35522B" w14:textId="77777777" w:rsidR="00F42C7D" w:rsidRDefault="00F42C7D">
      <w:r>
        <w:separator/>
      </w:r>
    </w:p>
  </w:endnote>
  <w:endnote w:type="continuationSeparator" w:id="0">
    <w:p w14:paraId="0DE47882" w14:textId="77777777" w:rsidR="00F42C7D" w:rsidRDefault="00F42C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8F045" w14:textId="77777777" w:rsidR="00F42C7D" w:rsidRDefault="00F42C7D">
      <w:r>
        <w:separator/>
      </w:r>
    </w:p>
  </w:footnote>
  <w:footnote w:type="continuationSeparator" w:id="0">
    <w:p w14:paraId="73E94FE0" w14:textId="77777777" w:rsidR="00F42C7D" w:rsidRDefault="00F42C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6D98F" w14:textId="77777777" w:rsidR="0023240D" w:rsidRDefault="00000000">
    <w:pPr>
      <w:jc w:val="right"/>
    </w:pPr>
    <w:r>
      <w:fldChar w:fldCharType="begin"/>
    </w:r>
    <w:r>
      <w:instrText>PAGE</w:instrText>
    </w:r>
    <w:r>
      <w:fldChar w:fldCharType="separate"/>
    </w:r>
    <w:r w:rsidR="00F4631D">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51061B"/>
    <w:multiLevelType w:val="hybridMultilevel"/>
    <w:tmpl w:val="F3243216"/>
    <w:lvl w:ilvl="0" w:tplc="052E38D0">
      <w:start w:val="1"/>
      <w:numFmt w:val="bullet"/>
      <w:lvlText w:val="●"/>
      <w:lvlJc w:val="left"/>
      <w:pPr>
        <w:ind w:left="720" w:hanging="360"/>
      </w:pPr>
    </w:lvl>
    <w:lvl w:ilvl="1" w:tplc="D4FA0E06">
      <w:start w:val="1"/>
      <w:numFmt w:val="bullet"/>
      <w:lvlText w:val="○"/>
      <w:lvlJc w:val="left"/>
      <w:pPr>
        <w:ind w:left="1440" w:hanging="360"/>
      </w:pPr>
    </w:lvl>
    <w:lvl w:ilvl="2" w:tplc="47AA9D0A">
      <w:start w:val="1"/>
      <w:numFmt w:val="bullet"/>
      <w:lvlText w:val="■"/>
      <w:lvlJc w:val="left"/>
      <w:pPr>
        <w:ind w:left="2160" w:hanging="360"/>
      </w:pPr>
    </w:lvl>
    <w:lvl w:ilvl="3" w:tplc="2BA6E9D0">
      <w:start w:val="1"/>
      <w:numFmt w:val="bullet"/>
      <w:lvlText w:val="●"/>
      <w:lvlJc w:val="left"/>
      <w:pPr>
        <w:ind w:left="2880" w:hanging="360"/>
      </w:pPr>
    </w:lvl>
    <w:lvl w:ilvl="4" w:tplc="89B44FAA">
      <w:start w:val="1"/>
      <w:numFmt w:val="bullet"/>
      <w:lvlText w:val="○"/>
      <w:lvlJc w:val="left"/>
      <w:pPr>
        <w:ind w:left="3600" w:hanging="360"/>
      </w:pPr>
    </w:lvl>
    <w:lvl w:ilvl="5" w:tplc="8E6EA948">
      <w:start w:val="1"/>
      <w:numFmt w:val="bullet"/>
      <w:lvlText w:val="■"/>
      <w:lvlJc w:val="left"/>
      <w:pPr>
        <w:ind w:left="4320" w:hanging="360"/>
      </w:pPr>
    </w:lvl>
    <w:lvl w:ilvl="6" w:tplc="BF64E5F0">
      <w:start w:val="1"/>
      <w:numFmt w:val="bullet"/>
      <w:lvlText w:val="●"/>
      <w:lvlJc w:val="left"/>
      <w:pPr>
        <w:ind w:left="5040" w:hanging="360"/>
      </w:pPr>
    </w:lvl>
    <w:lvl w:ilvl="7" w:tplc="C74A0102">
      <w:start w:val="1"/>
      <w:numFmt w:val="bullet"/>
      <w:lvlText w:val="●"/>
      <w:lvlJc w:val="left"/>
      <w:pPr>
        <w:ind w:left="5760" w:hanging="360"/>
      </w:pPr>
    </w:lvl>
    <w:lvl w:ilvl="8" w:tplc="2C74ADDE">
      <w:start w:val="1"/>
      <w:numFmt w:val="bullet"/>
      <w:lvlText w:val="●"/>
      <w:lvlJc w:val="left"/>
      <w:pPr>
        <w:ind w:left="6480" w:hanging="360"/>
      </w:pPr>
    </w:lvl>
  </w:abstractNum>
  <w:abstractNum w:abstractNumId="1" w15:restartNumberingAfterBreak="0">
    <w:nsid w:val="7CBE4C57"/>
    <w:multiLevelType w:val="hybridMultilevel"/>
    <w:tmpl w:val="B1A483BE"/>
    <w:lvl w:ilvl="0" w:tplc="9E8618B4">
      <w:start w:val="1"/>
      <w:numFmt w:val="bullet"/>
      <w:lvlText w:val="•"/>
      <w:lvlJc w:val="left"/>
      <w:pPr>
        <w:ind w:left="720" w:hanging="360"/>
      </w:pPr>
    </w:lvl>
    <w:lvl w:ilvl="1" w:tplc="054441A6">
      <w:numFmt w:val="decimal"/>
      <w:lvlText w:val=""/>
      <w:lvlJc w:val="left"/>
    </w:lvl>
    <w:lvl w:ilvl="2" w:tplc="0994AC56">
      <w:numFmt w:val="decimal"/>
      <w:lvlText w:val=""/>
      <w:lvlJc w:val="left"/>
    </w:lvl>
    <w:lvl w:ilvl="3" w:tplc="ED465612">
      <w:numFmt w:val="decimal"/>
      <w:lvlText w:val=""/>
      <w:lvlJc w:val="left"/>
    </w:lvl>
    <w:lvl w:ilvl="4" w:tplc="521A1E28">
      <w:numFmt w:val="decimal"/>
      <w:lvlText w:val=""/>
      <w:lvlJc w:val="left"/>
    </w:lvl>
    <w:lvl w:ilvl="5" w:tplc="3796E700">
      <w:numFmt w:val="decimal"/>
      <w:lvlText w:val=""/>
      <w:lvlJc w:val="left"/>
    </w:lvl>
    <w:lvl w:ilvl="6" w:tplc="800E2624">
      <w:numFmt w:val="decimal"/>
      <w:lvlText w:val=""/>
      <w:lvlJc w:val="left"/>
    </w:lvl>
    <w:lvl w:ilvl="7" w:tplc="75745374">
      <w:numFmt w:val="decimal"/>
      <w:lvlText w:val=""/>
      <w:lvlJc w:val="left"/>
    </w:lvl>
    <w:lvl w:ilvl="8" w:tplc="16AC3480">
      <w:numFmt w:val="decimal"/>
      <w:lvlText w:val=""/>
      <w:lvlJc w:val="left"/>
    </w:lvl>
  </w:abstractNum>
  <w:num w:numId="1" w16cid:durableId="850071121">
    <w:abstractNumId w:val="0"/>
    <w:lvlOverride w:ilvl="0">
      <w:startOverride w:val="1"/>
    </w:lvlOverride>
  </w:num>
  <w:num w:numId="2" w16cid:durableId="20350366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40D"/>
    <w:rsid w:val="0023240D"/>
    <w:rsid w:val="002865F9"/>
    <w:rsid w:val="006F358B"/>
    <w:rsid w:val="00EE7F1E"/>
    <w:rsid w:val="00F42C7D"/>
    <w:rsid w:val="00F4631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9569D"/>
  <w15:docId w15:val="{A54FDC85-0B10-4D9C-918B-F73B6F553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jc w:val="center"/>
      <w:outlineLvl w:val="0"/>
    </w:pPr>
    <w:rPr>
      <w:b/>
      <w:bCs/>
      <w:color w:val="000000"/>
    </w:rPr>
  </w:style>
  <w:style w:type="paragraph" w:styleId="Ttulo2">
    <w:name w:val="heading 2"/>
    <w:uiPriority w:val="9"/>
    <w:unhideWhenUsed/>
    <w:qFormat/>
    <w:pPr>
      <w:outlineLvl w:val="1"/>
    </w:pPr>
    <w:rPr>
      <w:b/>
      <w:bCs/>
      <w:color w:val="000000"/>
    </w:rPr>
  </w:style>
  <w:style w:type="paragraph" w:styleId="Ttulo3">
    <w:name w:val="heading 3"/>
    <w:uiPriority w:val="9"/>
    <w:semiHidden/>
    <w:unhideWhenUsed/>
    <w:qFormat/>
    <w:pPr>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32</Pages>
  <Words>13187</Words>
  <Characters>72533</Characters>
  <Application>Microsoft Office Word</Application>
  <DocSecurity>0</DocSecurity>
  <Lines>604</Lines>
  <Paragraphs>171</Paragraphs>
  <ScaleCrop>false</ScaleCrop>
  <Company/>
  <LinksUpToDate>false</LinksUpToDate>
  <CharactersWithSpaces>85549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David Caicedo Pinto</cp:lastModifiedBy>
  <cp:revision>3</cp:revision>
  <dcterms:created xsi:type="dcterms:W3CDTF">2026-08-24T01:43:00Z</dcterms:created>
  <dcterms:modified xsi:type="dcterms:W3CDTF">2026-08-26T21:33:00Z</dcterms:modified>
</cp:coreProperties>
</file>