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DOCUMENTO PRIVADO DE CONSTITUCIÓN</w:t>
      </w:r>
    </w:p>
    <w:p>
      <w:pPr>
        <w:spacing w:after="280"/>
        <w:jc w:val="center"/>
      </w:pPr>
      <w:r>
        <w:rPr>
          <w:rFonts w:ascii="Times New Roman" w:hAnsi="Times New Roman"/>
          <w:b/>
          <w:i w:val="0"/>
          <w:sz w:val="24"/>
          <w:u w:val="none"/>
        </w:rPr>
        <w:t>NOVA BIENESTAR INTEGRAL S.A.S.</w:t>
      </w:r>
    </w:p>
    <w:p>
      <w:r>
        <w:rPr>
          <w:rFonts w:ascii="Times New Roman" w:hAnsi="Times New Roman"/>
          <w:b w:val="0"/>
          <w:i w:val="0"/>
          <w:u w:val="none"/>
        </w:rPr>
        <w:t xml:space="preserve">En la ciudad de Medellín, departamento de Antioquia, República de Colombia, a </w:t>
      </w:r>
      <w:r>
        <w:rPr>
          <w:rFonts w:ascii="Times New Roman" w:hAnsi="Times New Roman"/>
          <w:b/>
          <w:i w:val="0"/>
          <w:u w:val="none"/>
        </w:rPr>
        <w:t>primero (1) de octubre de dos mil veintiséis (2026)</w:t>
      </w:r>
      <w:r>
        <w:rPr>
          <w:rFonts w:ascii="Times New Roman" w:hAnsi="Times New Roman"/>
          <w:b w:val="0"/>
          <w:i w:val="0"/>
          <w:u w:val="none"/>
        </w:rPr>
        <w:t>, comparecen:</w:t>
      </w:r>
    </w:p>
    <w:p>
      <w:r>
        <w:rPr>
          <w:rFonts w:ascii="Times New Roman" w:hAnsi="Times New Roman"/>
          <w:b/>
          <w:i w:val="0"/>
          <w:u w:val="none"/>
        </w:rPr>
        <w:t>MARIANA LÓPEZ CASTAÑO</w:t>
      </w:r>
      <w:r>
        <w:rPr>
          <w:rFonts w:ascii="Times New Roman" w:hAnsi="Times New Roman"/>
          <w:b w:val="0"/>
          <w:i w:val="0"/>
          <w:u w:val="none"/>
        </w:rPr>
        <w:t xml:space="preserve">, mujer, mayor de edad, de nacionalidad colombiana, identificada con la cédula de ciudadanía número </w:t>
      </w:r>
      <w:r>
        <w:rPr>
          <w:rFonts w:ascii="Times New Roman" w:hAnsi="Times New Roman"/>
          <w:b/>
          <w:i w:val="0"/>
          <w:u w:val="none"/>
        </w:rPr>
        <w:t>1.039.672.481</w:t>
      </w:r>
      <w:r>
        <w:rPr>
          <w:rFonts w:ascii="Times New Roman" w:hAnsi="Times New Roman"/>
          <w:b w:val="0"/>
          <w:i w:val="0"/>
          <w:u w:val="none"/>
        </w:rPr>
        <w:t xml:space="preserve"> expedida en Medellín (Antioquia), de estado civil soltera, domiciliada y residente en el municipio de Medellín (Antioquia); y</w:t>
      </w:r>
    </w:p>
    <w:p>
      <w:r>
        <w:rPr>
          <w:rFonts w:ascii="Times New Roman" w:hAnsi="Times New Roman"/>
          <w:b/>
          <w:i w:val="0"/>
          <w:u w:val="none"/>
        </w:rPr>
        <w:t>FELIPE ANDRÉS GÓMEZ VÉLEZ</w:t>
      </w:r>
      <w:r>
        <w:rPr>
          <w:rFonts w:ascii="Times New Roman" w:hAnsi="Times New Roman"/>
          <w:b w:val="0"/>
          <w:i w:val="0"/>
          <w:u w:val="none"/>
        </w:rPr>
        <w:t xml:space="preserve">, hombre, mayor de edad, de nacionalidad colombiana, identificado con la cédula de ciudadanía número </w:t>
      </w:r>
      <w:r>
        <w:rPr>
          <w:rFonts w:ascii="Times New Roman" w:hAnsi="Times New Roman"/>
          <w:b/>
          <w:i w:val="0"/>
          <w:u w:val="none"/>
        </w:rPr>
        <w:t>1.152.846.390</w:t>
      </w:r>
      <w:r>
        <w:rPr>
          <w:rFonts w:ascii="Times New Roman" w:hAnsi="Times New Roman"/>
          <w:b w:val="0"/>
          <w:i w:val="0"/>
          <w:u w:val="none"/>
        </w:rPr>
        <w:t xml:space="preserve"> expedida en Envigado (Antioquia), de estado civil casado, domiciliado y residente en el municipio de Envigado (Antioquia).</w:t>
      </w:r>
    </w:p>
    <w:p>
      <w:r>
        <w:rPr>
          <w:rFonts w:ascii="Times New Roman" w:hAnsi="Times New Roman"/>
          <w:b w:val="0"/>
          <w:i w:val="0"/>
          <w:u w:val="none"/>
        </w:rPr>
        <w:t>Quienes obran en nombre propio, manifiestan que tienen la capacidad legal para obligarse en los términos de los artículos 1502 y 1503 del Código Civil y 12 y 13 del Código de Comercio, que no se encuentran incursos en inhabilidad, incompatibilidad ni prohibición alguna para ejercer el comercio, y que actúan libres de todo vicio del consentimiento.</w:t>
      </w:r>
    </w:p>
    <w:p>
      <w:r>
        <w:rPr>
          <w:rFonts w:ascii="Times New Roman" w:hAnsi="Times New Roman"/>
          <w:b w:val="0"/>
          <w:i w:val="0"/>
          <w:u w:val="none"/>
        </w:rPr>
        <w:t xml:space="preserve">Los comparecientes declaran que, mediante el presente </w:t>
      </w:r>
      <w:r>
        <w:rPr>
          <w:rFonts w:ascii="Times New Roman" w:hAnsi="Times New Roman"/>
          <w:b/>
          <w:i w:val="0"/>
          <w:u w:val="none"/>
        </w:rPr>
        <w:t>documento privado</w:t>
      </w:r>
      <w:r>
        <w:rPr>
          <w:rFonts w:ascii="Times New Roman" w:hAnsi="Times New Roman"/>
          <w:b w:val="0"/>
          <w:i w:val="0"/>
          <w:u w:val="none"/>
        </w:rPr>
        <w:t xml:space="preserve">, y en ejercicio de la facultad conferida por el </w:t>
      </w:r>
      <w:r>
        <w:rPr>
          <w:rFonts w:ascii="Times New Roman" w:hAnsi="Times New Roman"/>
          <w:b/>
          <w:i w:val="0"/>
          <w:u w:val="none"/>
        </w:rPr>
        <w:t>artículo 5.º de la Ley 1258 de 2008</w:t>
      </w:r>
      <w:r>
        <w:rPr>
          <w:rFonts w:ascii="Times New Roman" w:hAnsi="Times New Roman"/>
          <w:b w:val="0"/>
          <w:i w:val="0"/>
          <w:u w:val="none"/>
        </w:rPr>
        <w:t xml:space="preserve">, han convenido constituir —y por este acto constituyen— una </w:t>
      </w:r>
      <w:r>
        <w:rPr>
          <w:rFonts w:ascii="Times New Roman" w:hAnsi="Times New Roman"/>
          <w:b/>
          <w:i w:val="0"/>
          <w:u w:val="none"/>
        </w:rPr>
        <w:t>sociedad comercial por acciones simplificada</w:t>
      </w:r>
      <w:r>
        <w:rPr>
          <w:rFonts w:ascii="Times New Roman" w:hAnsi="Times New Roman"/>
          <w:b w:val="0"/>
          <w:i w:val="0"/>
          <w:u w:val="none"/>
        </w:rPr>
        <w:t>, de naturaleza comercial, que se regirá por los estatutos que a continuación se transcriben y, en lo no previsto en ellos, por lo dispuesto en la Ley 1258 de 2008, en las normas que regulan la sociedad anónima y, en último término, por las disposiciones generales del Código de Comercio, conforme al orden de prelación normativa del artículo 45 de la citada ley.</w:t>
      </w:r>
    </w:p>
    <w:p>
      <w:r>
        <w:rPr>
          <w:rFonts w:ascii="Times New Roman" w:hAnsi="Times New Roman"/>
          <w:b w:val="0"/>
          <w:i w:val="0"/>
          <w:u w:val="none"/>
        </w:rPr>
        <w:t>Para efectos de lo previsto en el artículo 5.º de la Ley 1258 de 2008, los comparecientes dejan expresa constancia de que este documento contiene la totalidad de las menciones exigidas por dicha norma, a saber: (i) el nombre, documento de identidad y domicilio de los accionistas; (ii) la denominación social seguida de las palabras "sociedad por acciones simplificada" o de la sigla "S.A.S."; (iii) el domicilio principal de la sociedad; (iv) el término de duración; (v) la enunciación clara y completa de las actividades principales; (vi) el capital autorizado, suscrito y pagado, la clase, número y valor nominal de las acciones y la forma y términos en que estas deberán pagarse; y (vii) la forma de administración, con indicación del nombre, documento de identidad y facultades de los administradores, designándose cuando menos un representante legal.</w:t>
      </w:r>
    </w:p>
    <w:p>
      <w:pPr>
        <w:keepNext/>
        <w:spacing w:before="320" w:after="160"/>
        <w:jc w:val="center"/>
      </w:pPr>
      <w:r>
        <w:rPr>
          <w:rFonts w:ascii="Times New Roman" w:hAnsi="Times New Roman"/>
          <w:b/>
          <w:i w:val="0"/>
          <w:sz w:val="24"/>
          <w:u w:val="none"/>
        </w:rPr>
        <w:t>ESTATUTOS SOCIALES</w:t>
      </w:r>
    </w:p>
    <w:p>
      <w:pPr>
        <w:keepNext/>
        <w:spacing w:before="320" w:after="160"/>
        <w:jc w:val="center"/>
      </w:pPr>
      <w:r>
        <w:rPr>
          <w:rFonts w:ascii="Times New Roman" w:hAnsi="Times New Roman"/>
          <w:b/>
          <w:i w:val="0"/>
          <w:sz w:val="24"/>
          <w:u w:val="none"/>
        </w:rPr>
        <w:t>CAPÍTULO I. NATURALEZA, DENOMINACIÓN, DOMICILIO, OBJETO Y DURACIÓN</w:t>
      </w:r>
    </w:p>
    <w:p>
      <w:pPr>
        <w:keepNext/>
        <w:spacing w:before="240" w:after="80"/>
        <w:jc w:val="left"/>
      </w:pPr>
      <w:r>
        <w:rPr>
          <w:rFonts w:ascii="Times New Roman" w:hAnsi="Times New Roman"/>
          <w:b/>
          <w:i w:val="0"/>
          <w:sz w:val="24"/>
          <w:u w:val="none"/>
        </w:rPr>
        <w:t>Artículo 1.º — Naturaleza y régimen jurídico aplicable</w:t>
      </w:r>
    </w:p>
    <w:p>
      <w:r>
        <w:rPr>
          <w:rFonts w:ascii="Times New Roman" w:hAnsi="Times New Roman"/>
          <w:b w:val="0"/>
          <w:i w:val="0"/>
          <w:u w:val="none"/>
        </w:rPr>
        <w:t xml:space="preserve">La sociedad que por este documento se constituye es una </w:t>
      </w:r>
      <w:r>
        <w:rPr>
          <w:rFonts w:ascii="Times New Roman" w:hAnsi="Times New Roman"/>
          <w:b/>
          <w:i w:val="0"/>
          <w:u w:val="none"/>
        </w:rPr>
        <w:t>sociedad comercial de capitales del tipo de las sociedades por acciones simplificadas</w:t>
      </w:r>
      <w:r>
        <w:rPr>
          <w:rFonts w:ascii="Times New Roman" w:hAnsi="Times New Roman"/>
          <w:b w:val="0"/>
          <w:i w:val="0"/>
          <w:u w:val="none"/>
        </w:rPr>
        <w:t xml:space="preserve">, de nacionalidad colombiana, con </w:t>
      </w:r>
      <w:r>
        <w:rPr>
          <w:rFonts w:ascii="Times New Roman" w:hAnsi="Times New Roman"/>
          <w:b/>
          <w:i w:val="0"/>
          <w:u w:val="none"/>
        </w:rPr>
        <w:t>personalidad jurídica distinta de la de sus accionistas</w:t>
      </w:r>
      <w:r>
        <w:rPr>
          <w:rFonts w:ascii="Times New Roman" w:hAnsi="Times New Roman"/>
          <w:b w:val="0"/>
          <w:i w:val="0"/>
          <w:u w:val="none"/>
        </w:rPr>
        <w:t>, la cual se entenderá formada a partir de la inscripción del presente documento en el registro mercantil que lleva la Cámara de Comercio de Medellín para Antioquia, de conformidad con el artículo 2.º de la Ley 1258 de 2008.</w:t>
      </w:r>
    </w:p>
    <w:p>
      <w:r>
        <w:rPr>
          <w:rFonts w:ascii="Times New Roman" w:hAnsi="Times New Roman"/>
          <w:b w:val="0"/>
          <w:i w:val="0"/>
          <w:u w:val="none"/>
        </w:rPr>
        <w:t>La sociedad se regirá, en su orden, por: (i) las disposiciones contenidas en estos estatutos; (ii) las normas imperativas de la Ley 1258 de 2008; (iii) en lo no previsto, y en cuanto resulte compatible con la naturaleza de la sociedad por acciones simplificada, por las normas legales que gobiernan la sociedad anónima; y (iv) en subsidio, por las disposiciones generales que rigen a las sociedades previstas en el Código de Comercio. Lo anterior, en los términos del artículo 45 de la Ley 1258 de 2008.</w:t>
      </w:r>
    </w:p>
    <w:p>
      <w:r>
        <w:rPr>
          <w:rFonts w:ascii="Times New Roman" w:hAnsi="Times New Roman"/>
          <w:b/>
          <w:i w:val="0"/>
          <w:u w:val="none"/>
        </w:rPr>
        <w:t>Parágrafo primero.</w:t>
      </w:r>
      <w:r>
        <w:rPr>
          <w:rFonts w:ascii="Times New Roman" w:hAnsi="Times New Roman"/>
          <w:b w:val="0"/>
          <w:i w:val="0"/>
          <w:u w:val="none"/>
        </w:rPr>
        <w:t xml:space="preserve"> En ningún caso las acciones y demás valores que emita la sociedad podrán inscribirse en el Registro Nacional de Valores y Emisores ni negociarse en bolsa, conforme al artículo 4.º de la Ley 1258 de 2008.</w:t>
      </w:r>
    </w:p>
    <w:p>
      <w:r>
        <w:rPr>
          <w:rFonts w:ascii="Times New Roman" w:hAnsi="Times New Roman"/>
          <w:b/>
          <w:i w:val="0"/>
          <w:u w:val="none"/>
        </w:rPr>
        <w:t>Parágrafo segundo.</w:t>
      </w:r>
      <w:r>
        <w:rPr>
          <w:rFonts w:ascii="Times New Roman" w:hAnsi="Times New Roman"/>
          <w:b w:val="0"/>
          <w:i w:val="0"/>
          <w:u w:val="none"/>
        </w:rPr>
        <w:t xml:space="preserve"> De acuerdo con el artículo 1.º de la Ley 1258 de 2008, los accionistas responderán únicamente hasta el monto de sus respectivos aportes y no serán responsables por las obligaciones laborales, tributarias o de cualquier otra naturaleza en que incurra la sociedad, salvo el evento de desestimación de la personalidad jurídica previsto en el artículo 42 de la misma ley, y salvo lo dispuesto en el artículo 7.º para el período anterior a la inscripción registral.</w:t>
      </w:r>
    </w:p>
    <w:p>
      <w:pPr>
        <w:keepNext/>
        <w:spacing w:before="240" w:after="80"/>
        <w:jc w:val="left"/>
      </w:pPr>
      <w:r>
        <w:rPr>
          <w:rFonts w:ascii="Times New Roman" w:hAnsi="Times New Roman"/>
          <w:b/>
          <w:i w:val="0"/>
          <w:sz w:val="24"/>
          <w:u w:val="none"/>
        </w:rPr>
        <w:t>Artículo 2.º — Denominación social</w:t>
      </w:r>
    </w:p>
    <w:p>
      <w:r>
        <w:rPr>
          <w:rFonts w:ascii="Times New Roman" w:hAnsi="Times New Roman"/>
          <w:b w:val="0"/>
          <w:i w:val="0"/>
          <w:u w:val="none"/>
        </w:rPr>
        <w:t xml:space="preserve">La sociedad girará bajo la denominación social </w:t>
      </w:r>
      <w:r>
        <w:rPr>
          <w:rFonts w:ascii="Times New Roman" w:hAnsi="Times New Roman"/>
          <w:b/>
          <w:i w:val="0"/>
          <w:u w:val="none"/>
        </w:rPr>
        <w:t>"NOVA BIENESTAR INTEGRAL S.A.S."</w:t>
      </w:r>
      <w:r>
        <w:rPr>
          <w:rFonts w:ascii="Times New Roman" w:hAnsi="Times New Roman"/>
          <w:b w:val="0"/>
          <w:i w:val="0"/>
          <w:u w:val="none"/>
        </w:rPr>
        <w:t>. En todos los actos, documentos, papelería, facturación y publicidad de la sociedad, la denominación deberá emplearse seguida de la expresión "sociedad por acciones simplificada" o de la sigla "S.A.S.", de conformidad con el numeral 2.º del artículo 5.º de la Ley 1258 de 2008.</w:t>
      </w:r>
    </w:p>
    <w:p>
      <w:r>
        <w:rPr>
          <w:rFonts w:ascii="Times New Roman" w:hAnsi="Times New Roman"/>
          <w:b/>
          <w:i w:val="0"/>
          <w:u w:val="none"/>
        </w:rPr>
        <w:t>Parágrafo.</w:t>
      </w:r>
      <w:r>
        <w:rPr>
          <w:rFonts w:ascii="Times New Roman" w:hAnsi="Times New Roman"/>
          <w:b w:val="0"/>
          <w:i w:val="0"/>
          <w:u w:val="none"/>
        </w:rPr>
        <w:t xml:space="preserve"> La omisión de la expresión "sociedad por acciones simplificada" o de la sigla "S.A.S." hará responsables a los administradores por los perjuicios que ocasionen a la sociedad y a terceros, en los términos del inciso segundo del numeral 2.º del artículo 5.º de la Ley 1258 de 2008.</w:t>
      </w:r>
    </w:p>
    <w:p>
      <w:pPr>
        <w:keepNext/>
        <w:spacing w:before="240" w:after="80"/>
        <w:jc w:val="left"/>
      </w:pPr>
      <w:r>
        <w:rPr>
          <w:rFonts w:ascii="Times New Roman" w:hAnsi="Times New Roman"/>
          <w:b/>
          <w:i w:val="0"/>
          <w:sz w:val="24"/>
          <w:u w:val="none"/>
        </w:rPr>
        <w:t>Artículo 3.º — Domicilio principal y sucursales</w:t>
      </w:r>
    </w:p>
    <w:p>
      <w:r>
        <w:rPr>
          <w:rFonts w:ascii="Times New Roman" w:hAnsi="Times New Roman"/>
          <w:b w:val="0"/>
          <w:i w:val="0"/>
          <w:u w:val="none"/>
        </w:rPr>
        <w:t xml:space="preserve">El </w:t>
      </w:r>
      <w:r>
        <w:rPr>
          <w:rFonts w:ascii="Times New Roman" w:hAnsi="Times New Roman"/>
          <w:b/>
          <w:i w:val="0"/>
          <w:u w:val="none"/>
        </w:rPr>
        <w:t>domicilio principal</w:t>
      </w:r>
      <w:r>
        <w:rPr>
          <w:rFonts w:ascii="Times New Roman" w:hAnsi="Times New Roman"/>
          <w:b w:val="0"/>
          <w:i w:val="0"/>
          <w:u w:val="none"/>
        </w:rPr>
        <w:t xml:space="preserve"> de la sociedad será el municipio de </w:t>
      </w:r>
      <w:r>
        <w:rPr>
          <w:rFonts w:ascii="Times New Roman" w:hAnsi="Times New Roman"/>
          <w:b/>
          <w:i w:val="0"/>
          <w:u w:val="none"/>
        </w:rPr>
        <w:t>Medellín, departamento de Antioquia, República de Colombia</w:t>
      </w:r>
      <w:r>
        <w:rPr>
          <w:rFonts w:ascii="Times New Roman" w:hAnsi="Times New Roman"/>
          <w:b w:val="0"/>
          <w:i w:val="0"/>
          <w:u w:val="none"/>
        </w:rPr>
        <w:t xml:space="preserve">. La dirección de notificación judicial y comercial será la </w:t>
      </w:r>
      <w:r>
        <w:rPr>
          <w:rFonts w:ascii="Times New Roman" w:hAnsi="Times New Roman"/>
          <w:b/>
          <w:i w:val="0"/>
          <w:u w:val="none"/>
        </w:rPr>
        <w:t>carrera 37 n.º 10A-58, oficina 804, Medellín (Antioquia)</w:t>
      </w:r>
      <w:r>
        <w:rPr>
          <w:rFonts w:ascii="Times New Roman" w:hAnsi="Times New Roman"/>
          <w:b w:val="0"/>
          <w:i w:val="0"/>
          <w:u w:val="none"/>
        </w:rPr>
        <w:t xml:space="preserve">; el teléfono de contacto será el </w:t>
      </w:r>
      <w:r>
        <w:rPr>
          <w:rFonts w:ascii="Times New Roman" w:hAnsi="Times New Roman"/>
          <w:b/>
          <w:i w:val="0"/>
          <w:u w:val="none"/>
        </w:rPr>
        <w:t>315 684 9271</w:t>
      </w:r>
      <w:r>
        <w:rPr>
          <w:rFonts w:ascii="Times New Roman" w:hAnsi="Times New Roman"/>
          <w:b w:val="0"/>
          <w:i w:val="0"/>
          <w:u w:val="none"/>
        </w:rPr>
        <w:t xml:space="preserve"> y el correo electrónico de notificación judicial y de convocatoria será </w:t>
      </w:r>
      <w:r>
        <w:rPr>
          <w:rFonts w:ascii="Times New Roman" w:hAnsi="Times New Roman"/>
          <w:b/>
          <w:i w:val="0"/>
          <w:u w:val="none"/>
        </w:rPr>
        <w:t>contacto@novabienestarintegral.com</w:t>
      </w:r>
      <w:r>
        <w:rPr>
          <w:rFonts w:ascii="Times New Roman" w:hAnsi="Times New Roman"/>
          <w:b w:val="0"/>
          <w:i w:val="0"/>
          <w:u w:val="none"/>
        </w:rPr>
        <w:t>.</w:t>
      </w:r>
    </w:p>
    <w:p>
      <w:r>
        <w:rPr>
          <w:rFonts w:ascii="Times New Roman" w:hAnsi="Times New Roman"/>
          <w:b w:val="0"/>
          <w:i w:val="0"/>
          <w:u w:val="none"/>
        </w:rPr>
        <w:t>La sociedad podrá abrir sucursales, agencias, oficinas o establecimientos de comercio en cualquier lugar del territorio nacional o del exterior, por decisión de la asamblea general de accionistas y con sujeción a las formalidades de registro previstas en los artículos 111, 114 y 263 del Código de Comercio.</w:t>
      </w:r>
    </w:p>
    <w:p>
      <w:r>
        <w:rPr>
          <w:rFonts w:ascii="Times New Roman" w:hAnsi="Times New Roman"/>
          <w:b/>
          <w:i w:val="0"/>
          <w:u w:val="none"/>
        </w:rPr>
        <w:t>Parágrafo.</w:t>
      </w:r>
      <w:r>
        <w:rPr>
          <w:rFonts w:ascii="Times New Roman" w:hAnsi="Times New Roman"/>
          <w:b w:val="0"/>
          <w:i w:val="0"/>
          <w:u w:val="none"/>
        </w:rPr>
        <w:t xml:space="preserve"> Los accionistas manifiestan que, en virtud del domicilio principal fijado en esta cláusula, la sociedad queda sujeta a la jurisdicción de la </w:t>
      </w:r>
      <w:r>
        <w:rPr>
          <w:rFonts w:ascii="Times New Roman" w:hAnsi="Times New Roman"/>
          <w:b/>
          <w:i w:val="0"/>
          <w:u w:val="none"/>
        </w:rPr>
        <w:t>Cámara de Comercio de Medellín para Antioquia</w:t>
      </w:r>
      <w:r>
        <w:rPr>
          <w:rFonts w:ascii="Times New Roman" w:hAnsi="Times New Roman"/>
          <w:b w:val="0"/>
          <w:i w:val="0"/>
          <w:u w:val="none"/>
        </w:rPr>
        <w:t>, ante la cual se surtirá la inscripción de este documento y de todos los actos posteriores sujetos a registro.</w:t>
      </w:r>
    </w:p>
    <w:p>
      <w:pPr>
        <w:keepNext/>
        <w:spacing w:before="240" w:after="80"/>
        <w:jc w:val="left"/>
      </w:pPr>
      <w:r>
        <w:rPr>
          <w:rFonts w:ascii="Times New Roman" w:hAnsi="Times New Roman"/>
          <w:b/>
          <w:i w:val="0"/>
          <w:sz w:val="24"/>
          <w:u w:val="none"/>
        </w:rPr>
        <w:t>Artículo 4.º — Objeto social</w:t>
      </w:r>
    </w:p>
    <w:p>
      <w:r>
        <w:rPr>
          <w:rFonts w:ascii="Times New Roman" w:hAnsi="Times New Roman"/>
          <w:b w:val="0"/>
          <w:i w:val="0"/>
          <w:u w:val="none"/>
        </w:rPr>
        <w:t xml:space="preserve">La sociedad tendrá como </w:t>
      </w:r>
      <w:r>
        <w:rPr>
          <w:rFonts w:ascii="Times New Roman" w:hAnsi="Times New Roman"/>
          <w:b/>
          <w:i w:val="0"/>
          <w:u w:val="none"/>
        </w:rPr>
        <w:t>objeto social principal</w:t>
      </w:r>
      <w:r>
        <w:rPr>
          <w:rFonts w:ascii="Times New Roman" w:hAnsi="Times New Roman"/>
          <w:b w:val="0"/>
          <w:i w:val="0"/>
          <w:u w:val="none"/>
        </w:rPr>
        <w:t xml:space="preserve"> la </w:t>
      </w:r>
      <w:r>
        <w:rPr>
          <w:rFonts w:ascii="Times New Roman" w:hAnsi="Times New Roman"/>
          <w:b/>
          <w:i w:val="0"/>
          <w:u w:val="none"/>
        </w:rPr>
        <w:t>prestación de servicios de bienestar, rehabilitación física y acondicionamiento integral</w:t>
      </w:r>
      <w:r>
        <w:rPr>
          <w:rFonts w:ascii="Times New Roman" w:hAnsi="Times New Roman"/>
          <w:b w:val="0"/>
          <w:i w:val="0"/>
          <w:u w:val="none"/>
        </w:rPr>
        <w:t>. En desarrollo de dicho objeto, la sociedad podrá realizar, entre otras, las siguientes actividades:</w:t>
      </w:r>
    </w:p>
    <w:p>
      <w:pPr>
        <w:pStyle w:val="ListBullet"/>
        <w:spacing w:after="80"/>
        <w:ind w:left="567"/>
        <w:jc w:val="both"/>
      </w:pPr>
      <w:r>
        <w:rPr>
          <w:rFonts w:ascii="Times New Roman" w:hAnsi="Times New Roman"/>
          <w:b w:val="0"/>
          <w:i w:val="0"/>
          <w:u w:val="none"/>
        </w:rPr>
        <w:t>La prestación de servicios de apoyo terapéutico y de rehabilitación física, tales como fisioterapia, terapia física, terapia ocupacional, terapia respiratoria y demás servicios de habilitación y rehabilitación funcional que puedan ser prestados de manera ambulatoria, previa habilitación ante la autoridad sanitaria competente.</w:t>
      </w:r>
    </w:p>
    <w:p>
      <w:pPr>
        <w:pStyle w:val="ListBullet"/>
        <w:spacing w:after="80"/>
        <w:ind w:left="567"/>
        <w:jc w:val="both"/>
      </w:pPr>
      <w:r>
        <w:rPr>
          <w:rFonts w:ascii="Times New Roman" w:hAnsi="Times New Roman"/>
          <w:b w:val="0"/>
          <w:i w:val="0"/>
          <w:u w:val="none"/>
        </w:rPr>
        <w:t>El diseño, la administración y la ejecución de programas de acondicionamiento físico, entrenamiento funcional, actividad física dirigida y promoción de hábitos de vida saludable, así como la gestión y operación de instalaciones deportivas y gimnasios.</w:t>
      </w:r>
    </w:p>
    <w:p>
      <w:pPr>
        <w:pStyle w:val="ListBullet"/>
        <w:spacing w:after="80"/>
        <w:ind w:left="567"/>
        <w:jc w:val="both"/>
      </w:pPr>
      <w:r>
        <w:rPr>
          <w:rFonts w:ascii="Times New Roman" w:hAnsi="Times New Roman"/>
          <w:b w:val="0"/>
          <w:i w:val="0"/>
          <w:u w:val="none"/>
        </w:rPr>
        <w:t>La prestación de servicios de bienestar corporal y relajación, incluidos masajes terapéuticos y de relajación, hidroterapia y actividades análogas de cuidado personal, en los términos permitidos por la reglamentación sanitaria aplicable.</w:t>
      </w:r>
    </w:p>
    <w:p>
      <w:pPr>
        <w:pStyle w:val="ListBullet"/>
        <w:spacing w:after="80"/>
        <w:ind w:left="567"/>
        <w:jc w:val="both"/>
      </w:pPr>
      <w:r>
        <w:rPr>
          <w:rFonts w:ascii="Times New Roman" w:hAnsi="Times New Roman"/>
          <w:b w:val="0"/>
          <w:i w:val="0"/>
          <w:u w:val="none"/>
        </w:rPr>
        <w:t>La asesoría, capacitación, consultoría e implementación de programas de bienestar laboral, pausas activas, prevención de desórdenes músculo-esqueléticos y promoción de la salud, dirigidos a empresas, entidades públicas, cajas de compensación, aseguradoras y administradoras de riesgos laborales.</w:t>
      </w:r>
    </w:p>
    <w:p>
      <w:pPr>
        <w:pStyle w:val="ListBullet"/>
        <w:spacing w:after="80"/>
        <w:ind w:left="567"/>
        <w:jc w:val="both"/>
      </w:pPr>
      <w:r>
        <w:rPr>
          <w:rFonts w:ascii="Times New Roman" w:hAnsi="Times New Roman"/>
          <w:b w:val="0"/>
          <w:i w:val="0"/>
          <w:u w:val="none"/>
        </w:rPr>
        <w:t>La comercialización, importación, exportación, distribución, arrendamiento y mantenimiento de equipos, dispositivos, implementos, insumos, suplementos y demás bienes relacionados con la rehabilitación física, el deporte y el bienestar.</w:t>
      </w:r>
    </w:p>
    <w:p>
      <w:pPr>
        <w:pStyle w:val="ListBullet"/>
        <w:spacing w:after="80"/>
        <w:ind w:left="567"/>
        <w:jc w:val="both"/>
      </w:pPr>
      <w:r>
        <w:rPr>
          <w:rFonts w:ascii="Times New Roman" w:hAnsi="Times New Roman"/>
          <w:b w:val="0"/>
          <w:i w:val="0"/>
          <w:u w:val="none"/>
        </w:rPr>
        <w:t>La celebración de contratos de prestación de servicios, convenios de asociación, alianzas estratégicas, contratos de franquicia, licenciamiento de marca y demás negocios jurídicos que resulten conducentes al desarrollo del objeto social.</w:t>
      </w:r>
    </w:p>
    <w:p>
      <w:pPr>
        <w:pStyle w:val="ListBullet"/>
        <w:spacing w:after="80"/>
        <w:ind w:left="567"/>
        <w:jc w:val="both"/>
      </w:pPr>
      <w:r>
        <w:rPr>
          <w:rFonts w:ascii="Times New Roman" w:hAnsi="Times New Roman"/>
          <w:b w:val="0"/>
          <w:i w:val="0"/>
          <w:u w:val="none"/>
        </w:rPr>
        <w:t>La adquisición, enajenación, gravamen, administración y explotación, a cualquier título, de bienes muebles e inmuebles destinados al desarrollo de su objeto.</w:t>
      </w:r>
    </w:p>
    <w:p>
      <w:pPr>
        <w:pStyle w:val="ListBullet"/>
        <w:spacing w:after="80"/>
        <w:ind w:left="567"/>
        <w:jc w:val="both"/>
      </w:pPr>
      <w:r>
        <w:rPr>
          <w:rFonts w:ascii="Times New Roman" w:hAnsi="Times New Roman"/>
          <w:b w:val="0"/>
          <w:i w:val="0"/>
          <w:u w:val="none"/>
        </w:rPr>
        <w:t>La obtención y el otorgamiento de créditos, la celebración de operaciones de financiación con entidades vigiladas por la Superintendencia Financiera de Colombia y la constitución de garantías reales o personales sobre sus propios bienes para respaldar obligaciones propias.</w:t>
      </w:r>
    </w:p>
    <w:p>
      <w:r>
        <w:rPr>
          <w:rFonts w:ascii="Times New Roman" w:hAnsi="Times New Roman"/>
          <w:b/>
          <w:i w:val="0"/>
          <w:u w:val="none"/>
        </w:rPr>
        <w:t>Parágrafo primero.</w:t>
      </w:r>
      <w:r>
        <w:rPr>
          <w:rFonts w:ascii="Times New Roman" w:hAnsi="Times New Roman"/>
          <w:b w:val="0"/>
          <w:i w:val="0"/>
          <w:u w:val="none"/>
        </w:rPr>
        <w:t xml:space="preserve"> En desarrollo de su objeto, la sociedad podrá ejecutar todos los actos y contratos, civiles o comerciales, que se relacionen directamente con las actividades enunciadas, así como aquellos que tengan por finalidad ejercer los derechos y cumplir las obligaciones legal o convencionalmente derivadas de la existencia y actividad de la sociedad, conforme al artículo 99 del Código de Comercio.</w:t>
      </w:r>
    </w:p>
    <w:p>
      <w:r>
        <w:rPr>
          <w:rFonts w:ascii="Times New Roman" w:hAnsi="Times New Roman"/>
          <w:b/>
          <w:i w:val="0"/>
          <w:u w:val="none"/>
        </w:rPr>
        <w:t>Parágrafo segundo.</w:t>
      </w:r>
      <w:r>
        <w:rPr>
          <w:rFonts w:ascii="Times New Roman" w:hAnsi="Times New Roman"/>
          <w:b w:val="0"/>
          <w:i w:val="0"/>
          <w:u w:val="none"/>
        </w:rPr>
        <w:t xml:space="preserve"> La prestación de servicios que constituyan </w:t>
      </w:r>
      <w:r>
        <w:rPr>
          <w:rFonts w:ascii="Times New Roman" w:hAnsi="Times New Roman"/>
          <w:b/>
          <w:i w:val="0"/>
          <w:u w:val="none"/>
        </w:rPr>
        <w:t>servicios de salud</w:t>
      </w:r>
      <w:r>
        <w:rPr>
          <w:rFonts w:ascii="Times New Roman" w:hAnsi="Times New Roman"/>
          <w:b w:val="0"/>
          <w:i w:val="0"/>
          <w:u w:val="none"/>
        </w:rPr>
        <w:t xml:space="preserve"> en los términos del Sistema Obligatorio de Garantía de Calidad solo podrá iniciarse una vez la sociedad se encuentre inscrita en el </w:t>
      </w:r>
      <w:r>
        <w:rPr>
          <w:rFonts w:ascii="Times New Roman" w:hAnsi="Times New Roman"/>
          <w:b/>
          <w:i w:val="0"/>
          <w:u w:val="none"/>
        </w:rPr>
        <w:t>Registro Especial de Prestadores de Servicios de Salud (REPS)</w:t>
      </w:r>
      <w:r>
        <w:rPr>
          <w:rFonts w:ascii="Times New Roman" w:hAnsi="Times New Roman"/>
          <w:b w:val="0"/>
          <w:i w:val="0"/>
          <w:u w:val="none"/>
        </w:rPr>
        <w:t xml:space="preserve"> y cuente con la </w:t>
      </w:r>
      <w:r>
        <w:rPr>
          <w:rFonts w:ascii="Times New Roman" w:hAnsi="Times New Roman"/>
          <w:b/>
          <w:i w:val="0"/>
          <w:u w:val="none"/>
        </w:rPr>
        <w:t>habilitación</w:t>
      </w:r>
      <w:r>
        <w:rPr>
          <w:rFonts w:ascii="Times New Roman" w:hAnsi="Times New Roman"/>
          <w:b w:val="0"/>
          <w:i w:val="0"/>
          <w:u w:val="none"/>
        </w:rPr>
        <w:t xml:space="preserve"> de los servicios correspondientes ante la Secretaría Seccional de Salud y Protección Social de Antioquia o la Secretaría de Salud de Medellín, según la competencia, de conformidad con la Resolución 3100 de 2019 del Ministerio de Salud y Protección Social y las normas que la modifiquen, adicionen o sustituyan. Es deber indelegable del representante legal verificar el cumplimiento previo de esta condición.</w:t>
      </w:r>
    </w:p>
    <w:p>
      <w:r>
        <w:rPr>
          <w:rFonts w:ascii="Times New Roman" w:hAnsi="Times New Roman"/>
          <w:b/>
          <w:i w:val="0"/>
          <w:u w:val="none"/>
        </w:rPr>
        <w:t>Parágrafo tercero.</w:t>
      </w:r>
      <w:r>
        <w:rPr>
          <w:rFonts w:ascii="Times New Roman" w:hAnsi="Times New Roman"/>
          <w:b w:val="0"/>
          <w:i w:val="0"/>
          <w:u w:val="none"/>
        </w:rPr>
        <w:t xml:space="preserve"> Los accionistas declaran que, en ejercicio de la autonomía de la voluntad reconocida por la Ley 1258 de 2008, han optado por un </w:t>
      </w:r>
      <w:r>
        <w:rPr>
          <w:rFonts w:ascii="Times New Roman" w:hAnsi="Times New Roman"/>
          <w:b/>
          <w:i w:val="0"/>
          <w:u w:val="none"/>
        </w:rPr>
        <w:t>objeto social determinado</w:t>
      </w:r>
      <w:r>
        <w:rPr>
          <w:rFonts w:ascii="Times New Roman" w:hAnsi="Times New Roman"/>
          <w:b w:val="0"/>
          <w:i w:val="0"/>
          <w:u w:val="none"/>
        </w:rPr>
        <w:t xml:space="preserve"> y no por la cláusula de objeto indeterminado que autoriza el numeral 5.º del artículo 5.º de la misma ley, con el fin de delimitar con precisión la capacidad de la sociedad, facilitar la contratación con entidades del sector salud y del sector público y precisar el alcance de las facultades de los administradores.</w:t>
      </w:r>
    </w:p>
    <w:p>
      <w:pPr>
        <w:keepNext/>
        <w:spacing w:before="240" w:after="80"/>
        <w:jc w:val="left"/>
      </w:pPr>
      <w:r>
        <w:rPr>
          <w:rFonts w:ascii="Times New Roman" w:hAnsi="Times New Roman"/>
          <w:b/>
          <w:i w:val="0"/>
          <w:sz w:val="24"/>
          <w:u w:val="none"/>
        </w:rPr>
        <w:t>Artículo 5.º — Duración</w:t>
      </w:r>
    </w:p>
    <w:p>
      <w:r>
        <w:rPr>
          <w:rFonts w:ascii="Times New Roman" w:hAnsi="Times New Roman"/>
          <w:b w:val="0"/>
          <w:i w:val="0"/>
          <w:u w:val="none"/>
        </w:rPr>
        <w:t xml:space="preserve">La sociedad tendrá una </w:t>
      </w:r>
      <w:r>
        <w:rPr>
          <w:rFonts w:ascii="Times New Roman" w:hAnsi="Times New Roman"/>
          <w:b/>
          <w:i w:val="0"/>
          <w:u w:val="none"/>
        </w:rPr>
        <w:t>duración indefinida</w:t>
      </w:r>
      <w:r>
        <w:rPr>
          <w:rFonts w:ascii="Times New Roman" w:hAnsi="Times New Roman"/>
          <w:b w:val="0"/>
          <w:i w:val="0"/>
          <w:u w:val="none"/>
        </w:rPr>
        <w:t>, según lo autorizan el numeral 4.º del artículo 5.º y el artículo 3.º de la Ley 1258 de 2008. En consecuencia, la sociedad no se disolverá por vencimiento del término de duración y solo se disolverá por la ocurrencia de alguna de las causales previstas en el artículo 34 de la Ley 1258 de 2008, en el artículo 4.º de la Ley 2069 de 2020 y en estos estatutos.</w:t>
      </w:r>
    </w:p>
    <w:p>
      <w:pPr>
        <w:keepNext/>
        <w:spacing w:before="320" w:after="160"/>
        <w:jc w:val="center"/>
      </w:pPr>
      <w:r>
        <w:rPr>
          <w:rFonts w:ascii="Times New Roman" w:hAnsi="Times New Roman"/>
          <w:b/>
          <w:i w:val="0"/>
          <w:sz w:val="24"/>
          <w:u w:val="none"/>
        </w:rPr>
        <w:t>CAPÍTULO II. CAPITAL SOCIAL, ACCIONES Y RÉGIMEN DE NEGOCIACIÓN</w:t>
      </w:r>
    </w:p>
    <w:p>
      <w:pPr>
        <w:keepNext/>
        <w:spacing w:before="240" w:after="80"/>
        <w:jc w:val="left"/>
      </w:pPr>
      <w:r>
        <w:rPr>
          <w:rFonts w:ascii="Times New Roman" w:hAnsi="Times New Roman"/>
          <w:b/>
          <w:i w:val="0"/>
          <w:sz w:val="24"/>
          <w:u w:val="none"/>
        </w:rPr>
        <w:t>Artículo 6.º — Capital autorizado</w:t>
      </w:r>
    </w:p>
    <w:p>
      <w:r>
        <w:rPr>
          <w:rFonts w:ascii="Times New Roman" w:hAnsi="Times New Roman"/>
          <w:b w:val="0"/>
          <w:i w:val="0"/>
          <w:u w:val="none"/>
        </w:rPr>
        <w:t xml:space="preserve">El </w:t>
      </w:r>
      <w:r>
        <w:rPr>
          <w:rFonts w:ascii="Times New Roman" w:hAnsi="Times New Roman"/>
          <w:b/>
          <w:i w:val="0"/>
          <w:u w:val="none"/>
        </w:rPr>
        <w:t>capital autorizado</w:t>
      </w:r>
      <w:r>
        <w:rPr>
          <w:rFonts w:ascii="Times New Roman" w:hAnsi="Times New Roman"/>
          <w:b w:val="0"/>
          <w:i w:val="0"/>
          <w:u w:val="none"/>
        </w:rPr>
        <w:t xml:space="preserve"> de la sociedad es la suma de </w:t>
      </w:r>
      <w:r>
        <w:rPr>
          <w:rFonts w:ascii="Times New Roman" w:hAnsi="Times New Roman"/>
          <w:b/>
          <w:i w:val="0"/>
          <w:u w:val="none"/>
        </w:rPr>
        <w:t>MIL DOSCIENTOS MILLONES DE PESOS ($1.200.000.000) moneda corriente</w:t>
      </w:r>
      <w:r>
        <w:rPr>
          <w:rFonts w:ascii="Times New Roman" w:hAnsi="Times New Roman"/>
          <w:b w:val="0"/>
          <w:i w:val="0"/>
          <w:u w:val="none"/>
        </w:rPr>
        <w:t xml:space="preserve">, dividido en </w:t>
      </w:r>
      <w:r>
        <w:rPr>
          <w:rFonts w:ascii="Times New Roman" w:hAnsi="Times New Roman"/>
          <w:b/>
          <w:i w:val="0"/>
          <w:u w:val="none"/>
        </w:rPr>
        <w:t>un millón doscientas mil (1.200.000) acciones ordinarias, nominativas y de capital</w:t>
      </w:r>
      <w:r>
        <w:rPr>
          <w:rFonts w:ascii="Times New Roman" w:hAnsi="Times New Roman"/>
          <w:b w:val="0"/>
          <w:i w:val="0"/>
          <w:u w:val="none"/>
        </w:rPr>
        <w:t xml:space="preserve">, de un valor nominal de </w:t>
      </w:r>
      <w:r>
        <w:rPr>
          <w:rFonts w:ascii="Times New Roman" w:hAnsi="Times New Roman"/>
          <w:b/>
          <w:i w:val="0"/>
          <w:u w:val="none"/>
        </w:rPr>
        <w:t>MIL PESOS ($1.000) moneda corriente</w:t>
      </w:r>
      <w:r>
        <w:rPr>
          <w:rFonts w:ascii="Times New Roman" w:hAnsi="Times New Roman"/>
          <w:b w:val="0"/>
          <w:i w:val="0"/>
          <w:u w:val="none"/>
        </w:rPr>
        <w:t xml:space="preserve"> cada una.</w:t>
      </w:r>
    </w:p>
    <w:p>
      <w:pPr>
        <w:keepNext/>
        <w:spacing w:before="240" w:after="80"/>
        <w:jc w:val="left"/>
      </w:pPr>
      <w:r>
        <w:rPr>
          <w:rFonts w:ascii="Times New Roman" w:hAnsi="Times New Roman"/>
          <w:b/>
          <w:i w:val="0"/>
          <w:sz w:val="24"/>
          <w:u w:val="none"/>
        </w:rPr>
        <w:t>Artículo 7.º — Capital suscrito</w:t>
      </w:r>
    </w:p>
    <w:p>
      <w:r>
        <w:rPr>
          <w:rFonts w:ascii="Times New Roman" w:hAnsi="Times New Roman"/>
          <w:b w:val="0"/>
          <w:i w:val="0"/>
          <w:u w:val="none"/>
        </w:rPr>
        <w:t xml:space="preserve">El </w:t>
      </w:r>
      <w:r>
        <w:rPr>
          <w:rFonts w:ascii="Times New Roman" w:hAnsi="Times New Roman"/>
          <w:b/>
          <w:i w:val="0"/>
          <w:u w:val="none"/>
        </w:rPr>
        <w:t>capital suscrito</w:t>
      </w:r>
      <w:r>
        <w:rPr>
          <w:rFonts w:ascii="Times New Roman" w:hAnsi="Times New Roman"/>
          <w:b w:val="0"/>
          <w:i w:val="0"/>
          <w:u w:val="none"/>
        </w:rPr>
        <w:t xml:space="preserve"> de la sociedad es la suma de </w:t>
      </w:r>
      <w:r>
        <w:rPr>
          <w:rFonts w:ascii="Times New Roman" w:hAnsi="Times New Roman"/>
          <w:b/>
          <w:i w:val="0"/>
          <w:u w:val="none"/>
        </w:rPr>
        <w:t>SEISCIENTOS MILLONES DE PESOS ($600.000.000) moneda corriente</w:t>
      </w:r>
      <w:r>
        <w:rPr>
          <w:rFonts w:ascii="Times New Roman" w:hAnsi="Times New Roman"/>
          <w:b w:val="0"/>
          <w:i w:val="0"/>
          <w:u w:val="none"/>
        </w:rPr>
        <w:t xml:space="preserve">, representado en </w:t>
      </w:r>
      <w:r>
        <w:rPr>
          <w:rFonts w:ascii="Times New Roman" w:hAnsi="Times New Roman"/>
          <w:b/>
          <w:i w:val="0"/>
          <w:u w:val="none"/>
        </w:rPr>
        <w:t>seiscientas mil (600.000) acciones ordinarias, nominativas y de capital</w:t>
      </w:r>
      <w:r>
        <w:rPr>
          <w:rFonts w:ascii="Times New Roman" w:hAnsi="Times New Roman"/>
          <w:b w:val="0"/>
          <w:i w:val="0"/>
          <w:u w:val="none"/>
        </w:rPr>
        <w:t xml:space="preserve">, de valor nominal de </w:t>
      </w:r>
      <w:r>
        <w:rPr>
          <w:rFonts w:ascii="Times New Roman" w:hAnsi="Times New Roman"/>
          <w:b/>
          <w:i w:val="0"/>
          <w:u w:val="none"/>
        </w:rPr>
        <w:t>MIL PESOS ($1.000)</w:t>
      </w:r>
      <w:r>
        <w:rPr>
          <w:rFonts w:ascii="Times New Roman" w:hAnsi="Times New Roman"/>
          <w:b w:val="0"/>
          <w:i w:val="0"/>
          <w:u w:val="none"/>
        </w:rPr>
        <w:t xml:space="preserve"> cada una, suscritas por los accionistas constituyentes en la siguiente proporción:</w:t>
      </w:r>
    </w:p>
    <w:tbl>
      <w:tblPr>
        <w:tblStyle w:val="TableGrid"/>
        <w:tblW w:type="auto" w:w="0"/>
        <w:jc w:val="center"/>
        <w:tblLayout w:type="fixed"/>
        <w:tblLook w:firstColumn="1" w:firstRow="1" w:lastColumn="0" w:lastRow="0" w:noHBand="0" w:noVBand="1" w:val="04A0"/>
        <w:tblW w:w="9123" w:type="dxa"/>
        <w:tblLayout w:type="fixed"/>
      </w:tblPr>
      <w:tblGrid>
        <w:gridCol w:w="2737"/>
        <w:gridCol w:w="1551"/>
        <w:gridCol w:w="1642"/>
        <w:gridCol w:w="1642"/>
        <w:gridCol w:w="1551"/>
      </w:tblGrid>
      <w:tr>
        <w:tc>
          <w:tcPr>
            <w:tcW w:type="dxa" w:w="2737"/>
            <w:shd w:val="clear" w:color="auto" w:fill="D9D9D9"/>
          </w:tcPr>
          <w:p>
            <w:pPr>
              <w:spacing w:after="40" w:before="40" w:line="240" w:lineRule="auto"/>
              <w:jc w:val="center"/>
            </w:pPr>
            <w:r>
              <w:rPr>
                <w:rFonts w:ascii="Times New Roman" w:hAnsi="Times New Roman"/>
                <w:b/>
                <w:i w:val="0"/>
                <w:sz w:val="20"/>
                <w:u w:val="none"/>
              </w:rPr>
              <w:t>Accionista</w:t>
            </w:r>
          </w:p>
        </w:tc>
        <w:tc>
          <w:tcPr>
            <w:tcW w:type="dxa" w:w="1551"/>
            <w:shd w:val="clear" w:color="auto" w:fill="D9D9D9"/>
          </w:tcPr>
          <w:p>
            <w:pPr>
              <w:spacing w:after="40" w:before="40" w:line="240" w:lineRule="auto"/>
              <w:jc w:val="center"/>
            </w:pPr>
            <w:r>
              <w:rPr>
                <w:rFonts w:ascii="Times New Roman" w:hAnsi="Times New Roman"/>
                <w:b/>
                <w:i w:val="0"/>
                <w:sz w:val="20"/>
                <w:u w:val="none"/>
              </w:rPr>
              <w:t>Documento de identidad</w:t>
            </w:r>
          </w:p>
        </w:tc>
        <w:tc>
          <w:tcPr>
            <w:tcW w:type="dxa" w:w="1642"/>
            <w:shd w:val="clear" w:color="auto" w:fill="D9D9D9"/>
          </w:tcPr>
          <w:p>
            <w:pPr>
              <w:spacing w:after="40" w:before="40" w:line="240" w:lineRule="auto"/>
              <w:jc w:val="center"/>
            </w:pPr>
            <w:r>
              <w:rPr>
                <w:rFonts w:ascii="Times New Roman" w:hAnsi="Times New Roman"/>
                <w:b/>
                <w:i w:val="0"/>
                <w:sz w:val="20"/>
                <w:u w:val="none"/>
              </w:rPr>
              <w:t>N.º de acciones suscritas</w:t>
            </w:r>
          </w:p>
        </w:tc>
        <w:tc>
          <w:tcPr>
            <w:tcW w:type="dxa" w:w="1642"/>
            <w:shd w:val="clear" w:color="auto" w:fill="D9D9D9"/>
          </w:tcPr>
          <w:p>
            <w:pPr>
              <w:spacing w:after="40" w:before="40" w:line="240" w:lineRule="auto"/>
              <w:jc w:val="center"/>
            </w:pPr>
            <w:r>
              <w:rPr>
                <w:rFonts w:ascii="Times New Roman" w:hAnsi="Times New Roman"/>
                <w:b/>
                <w:i w:val="0"/>
                <w:sz w:val="20"/>
                <w:u w:val="none"/>
              </w:rPr>
              <w:t>Valor suscrito</w:t>
            </w:r>
          </w:p>
        </w:tc>
        <w:tc>
          <w:tcPr>
            <w:tcW w:type="dxa" w:w="1551"/>
            <w:shd w:val="clear" w:color="auto" w:fill="D9D9D9"/>
          </w:tcPr>
          <w:p>
            <w:pPr>
              <w:spacing w:after="40" w:before="40" w:line="240" w:lineRule="auto"/>
              <w:jc w:val="center"/>
            </w:pPr>
            <w:r>
              <w:rPr>
                <w:rFonts w:ascii="Times New Roman" w:hAnsi="Times New Roman"/>
                <w:b/>
                <w:i w:val="0"/>
                <w:sz w:val="20"/>
                <w:u w:val="none"/>
              </w:rPr>
              <w:t>Participación</w:t>
            </w:r>
          </w:p>
        </w:tc>
      </w:tr>
      <w:tr>
        <w:tc>
          <w:tcPr>
            <w:tcW w:type="dxa" w:w="2737"/>
          </w:tcPr>
          <w:p>
            <w:pPr>
              <w:spacing w:after="40" w:before="40" w:line="240" w:lineRule="auto"/>
              <w:jc w:val="left"/>
            </w:pPr>
            <w:r>
              <w:rPr>
                <w:rFonts w:ascii="Times New Roman" w:hAnsi="Times New Roman"/>
                <w:b w:val="0"/>
                <w:i w:val="0"/>
                <w:sz w:val="20"/>
                <w:u w:val="none"/>
              </w:rPr>
              <w:t>Mariana López Castaño</w:t>
            </w:r>
          </w:p>
        </w:tc>
        <w:tc>
          <w:tcPr>
            <w:tcW w:type="dxa" w:w="1551"/>
          </w:tcPr>
          <w:p>
            <w:pPr>
              <w:spacing w:after="40" w:before="40" w:line="240" w:lineRule="auto"/>
              <w:jc w:val="left"/>
            </w:pPr>
            <w:r>
              <w:rPr>
                <w:rFonts w:ascii="Times New Roman" w:hAnsi="Times New Roman"/>
                <w:b w:val="0"/>
                <w:i w:val="0"/>
                <w:sz w:val="20"/>
                <w:u w:val="none"/>
              </w:rPr>
              <w:t>C.C. 1.039.672.481 de Medellín</w:t>
            </w:r>
          </w:p>
        </w:tc>
        <w:tc>
          <w:tcPr>
            <w:tcW w:type="dxa" w:w="1642"/>
          </w:tcPr>
          <w:p>
            <w:pPr>
              <w:spacing w:after="40" w:before="40" w:line="240" w:lineRule="auto"/>
              <w:jc w:val="left"/>
            </w:pPr>
            <w:r>
              <w:rPr>
                <w:rFonts w:ascii="Times New Roman" w:hAnsi="Times New Roman"/>
                <w:b w:val="0"/>
                <w:i w:val="0"/>
                <w:sz w:val="20"/>
                <w:u w:val="none"/>
              </w:rPr>
              <w:t>390.000</w:t>
            </w:r>
          </w:p>
        </w:tc>
        <w:tc>
          <w:tcPr>
            <w:tcW w:type="dxa" w:w="1642"/>
          </w:tcPr>
          <w:p>
            <w:pPr>
              <w:spacing w:after="40" w:before="40" w:line="240" w:lineRule="auto"/>
              <w:jc w:val="left"/>
            </w:pPr>
            <w:r>
              <w:rPr>
                <w:rFonts w:ascii="Times New Roman" w:hAnsi="Times New Roman"/>
                <w:b w:val="0"/>
                <w:i w:val="0"/>
                <w:sz w:val="20"/>
                <w:u w:val="none"/>
              </w:rPr>
              <w:t>$390.000.000</w:t>
            </w:r>
          </w:p>
        </w:tc>
        <w:tc>
          <w:tcPr>
            <w:tcW w:type="dxa" w:w="1551"/>
          </w:tcPr>
          <w:p>
            <w:pPr>
              <w:spacing w:after="40" w:before="40" w:line="240" w:lineRule="auto"/>
              <w:jc w:val="left"/>
            </w:pPr>
            <w:r>
              <w:rPr>
                <w:rFonts w:ascii="Times New Roman" w:hAnsi="Times New Roman"/>
                <w:b w:val="0"/>
                <w:i w:val="0"/>
                <w:sz w:val="20"/>
                <w:u w:val="none"/>
              </w:rPr>
              <w:t>65 %</w:t>
            </w:r>
          </w:p>
        </w:tc>
      </w:tr>
      <w:tr>
        <w:tc>
          <w:tcPr>
            <w:tcW w:type="dxa" w:w="2737"/>
          </w:tcPr>
          <w:p>
            <w:pPr>
              <w:spacing w:after="40" w:before="40" w:line="240" w:lineRule="auto"/>
              <w:jc w:val="left"/>
            </w:pPr>
            <w:r>
              <w:rPr>
                <w:rFonts w:ascii="Times New Roman" w:hAnsi="Times New Roman"/>
                <w:b w:val="0"/>
                <w:i w:val="0"/>
                <w:sz w:val="20"/>
                <w:u w:val="none"/>
              </w:rPr>
              <w:t>Felipe Andrés Gómez Vélez</w:t>
            </w:r>
          </w:p>
        </w:tc>
        <w:tc>
          <w:tcPr>
            <w:tcW w:type="dxa" w:w="1551"/>
          </w:tcPr>
          <w:p>
            <w:pPr>
              <w:spacing w:after="40" w:before="40" w:line="240" w:lineRule="auto"/>
              <w:jc w:val="left"/>
            </w:pPr>
            <w:r>
              <w:rPr>
                <w:rFonts w:ascii="Times New Roman" w:hAnsi="Times New Roman"/>
                <w:b w:val="0"/>
                <w:i w:val="0"/>
                <w:sz w:val="20"/>
                <w:u w:val="none"/>
              </w:rPr>
              <w:t>C.C. 1.152.846.390 de Envigado</w:t>
            </w:r>
          </w:p>
        </w:tc>
        <w:tc>
          <w:tcPr>
            <w:tcW w:type="dxa" w:w="1642"/>
          </w:tcPr>
          <w:p>
            <w:pPr>
              <w:spacing w:after="40" w:before="40" w:line="240" w:lineRule="auto"/>
              <w:jc w:val="left"/>
            </w:pPr>
            <w:r>
              <w:rPr>
                <w:rFonts w:ascii="Times New Roman" w:hAnsi="Times New Roman"/>
                <w:b w:val="0"/>
                <w:i w:val="0"/>
                <w:sz w:val="20"/>
                <w:u w:val="none"/>
              </w:rPr>
              <w:t>210.000</w:t>
            </w:r>
          </w:p>
        </w:tc>
        <w:tc>
          <w:tcPr>
            <w:tcW w:type="dxa" w:w="1642"/>
          </w:tcPr>
          <w:p>
            <w:pPr>
              <w:spacing w:after="40" w:before="40" w:line="240" w:lineRule="auto"/>
              <w:jc w:val="left"/>
            </w:pPr>
            <w:r>
              <w:rPr>
                <w:rFonts w:ascii="Times New Roman" w:hAnsi="Times New Roman"/>
                <w:b w:val="0"/>
                <w:i w:val="0"/>
                <w:sz w:val="20"/>
                <w:u w:val="none"/>
              </w:rPr>
              <w:t>$210.000.000</w:t>
            </w:r>
          </w:p>
        </w:tc>
        <w:tc>
          <w:tcPr>
            <w:tcW w:type="dxa" w:w="1551"/>
          </w:tcPr>
          <w:p>
            <w:pPr>
              <w:spacing w:after="40" w:before="40" w:line="240" w:lineRule="auto"/>
              <w:jc w:val="left"/>
            </w:pPr>
            <w:r>
              <w:rPr>
                <w:rFonts w:ascii="Times New Roman" w:hAnsi="Times New Roman"/>
                <w:b w:val="0"/>
                <w:i w:val="0"/>
                <w:sz w:val="20"/>
                <w:u w:val="none"/>
              </w:rPr>
              <w:t>35 %</w:t>
            </w:r>
          </w:p>
        </w:tc>
      </w:tr>
      <w:tr>
        <w:tc>
          <w:tcPr>
            <w:tcW w:type="dxa" w:w="2737"/>
            <w:shd w:val="clear" w:color="auto" w:fill="D9D9D9"/>
          </w:tcPr>
          <w:p>
            <w:pPr>
              <w:spacing w:after="40" w:before="40" w:line="240" w:lineRule="auto"/>
              <w:jc w:val="center"/>
            </w:pPr>
            <w:r>
              <w:rPr>
                <w:rFonts w:ascii="Times New Roman" w:hAnsi="Times New Roman"/>
                <w:b/>
                <w:i w:val="0"/>
                <w:sz w:val="20"/>
                <w:u w:val="none"/>
              </w:rPr>
              <w:t>TOTALES</w:t>
            </w:r>
          </w:p>
        </w:tc>
        <w:tc>
          <w:tcPr>
            <w:tcW w:type="dxa" w:w="1551"/>
            <w:shd w:val="clear" w:color="auto" w:fill="D9D9D9"/>
          </w:tcPr>
          <w:p>
            <w:pPr>
              <w:spacing w:after="40" w:before="40" w:line="240" w:lineRule="auto"/>
              <w:jc w:val="center"/>
            </w:pPr>
          </w:p>
        </w:tc>
        <w:tc>
          <w:tcPr>
            <w:tcW w:type="dxa" w:w="1642"/>
            <w:shd w:val="clear" w:color="auto" w:fill="D9D9D9"/>
          </w:tcPr>
          <w:p>
            <w:pPr>
              <w:spacing w:after="40" w:before="40" w:line="240" w:lineRule="auto"/>
              <w:jc w:val="center"/>
            </w:pPr>
            <w:r>
              <w:rPr>
                <w:rFonts w:ascii="Times New Roman" w:hAnsi="Times New Roman"/>
                <w:b/>
                <w:i w:val="0"/>
                <w:sz w:val="20"/>
                <w:u w:val="none"/>
              </w:rPr>
              <w:t>600.000</w:t>
            </w:r>
          </w:p>
        </w:tc>
        <w:tc>
          <w:tcPr>
            <w:tcW w:type="dxa" w:w="1642"/>
            <w:shd w:val="clear" w:color="auto" w:fill="D9D9D9"/>
          </w:tcPr>
          <w:p>
            <w:pPr>
              <w:spacing w:after="40" w:before="40" w:line="240" w:lineRule="auto"/>
              <w:jc w:val="center"/>
            </w:pPr>
            <w:r>
              <w:rPr>
                <w:rFonts w:ascii="Times New Roman" w:hAnsi="Times New Roman"/>
                <w:b/>
                <w:i w:val="0"/>
                <w:sz w:val="20"/>
                <w:u w:val="none"/>
              </w:rPr>
              <w:t>$600.000.000</w:t>
            </w:r>
          </w:p>
        </w:tc>
        <w:tc>
          <w:tcPr>
            <w:tcW w:type="dxa" w:w="1551"/>
            <w:shd w:val="clear" w:color="auto" w:fill="D9D9D9"/>
          </w:tcPr>
          <w:p>
            <w:pPr>
              <w:spacing w:after="40" w:before="40" w:line="240" w:lineRule="auto"/>
              <w:jc w:val="center"/>
            </w:pPr>
            <w:r>
              <w:rPr>
                <w:rFonts w:ascii="Times New Roman" w:hAnsi="Times New Roman"/>
                <w:b/>
                <w:i w:val="0"/>
                <w:sz w:val="20"/>
                <w:u w:val="none"/>
              </w:rPr>
              <w:t>100 %</w:t>
            </w:r>
          </w:p>
        </w:tc>
      </w:tr>
    </w:tbl>
    <w:p>
      <w:pPr>
        <w:spacing w:after="80"/>
      </w:pPr>
    </w:p>
    <w:p>
      <w:r>
        <w:rPr>
          <w:rFonts w:ascii="Times New Roman" w:hAnsi="Times New Roman"/>
          <w:b/>
          <w:i w:val="0"/>
          <w:u w:val="none"/>
        </w:rPr>
        <w:t>Parágrafo.</w:t>
      </w:r>
      <w:r>
        <w:rPr>
          <w:rFonts w:ascii="Times New Roman" w:hAnsi="Times New Roman"/>
          <w:b w:val="0"/>
          <w:i w:val="0"/>
          <w:u w:val="none"/>
        </w:rPr>
        <w:t xml:space="preserve"> Las acciones suscritas se emiten </w:t>
      </w:r>
      <w:r>
        <w:rPr>
          <w:rFonts w:ascii="Times New Roman" w:hAnsi="Times New Roman"/>
          <w:b/>
          <w:i w:val="0"/>
          <w:u w:val="none"/>
        </w:rPr>
        <w:t>a la par</w:t>
      </w:r>
      <w:r>
        <w:rPr>
          <w:rFonts w:ascii="Times New Roman" w:hAnsi="Times New Roman"/>
          <w:b w:val="0"/>
          <w:i w:val="0"/>
          <w:u w:val="none"/>
        </w:rPr>
        <w:t>, esto es, por su valor nominal, sin prima en colocación de acciones. En consecuencia, la base gravable del impuesto de registro corresponde al valor del capital suscrito, conforme al artículo 6.º del Decreto 650 de 1996.</w:t>
      </w:r>
    </w:p>
    <w:p>
      <w:pPr>
        <w:keepNext/>
        <w:spacing w:before="240" w:after="80"/>
        <w:jc w:val="left"/>
      </w:pPr>
      <w:r>
        <w:rPr>
          <w:rFonts w:ascii="Times New Roman" w:hAnsi="Times New Roman"/>
          <w:b/>
          <w:i w:val="0"/>
          <w:sz w:val="24"/>
          <w:u w:val="none"/>
        </w:rPr>
        <w:t>Artículo 8.º — Capital pagado y forma de pago</w:t>
      </w:r>
    </w:p>
    <w:p>
      <w:r>
        <w:rPr>
          <w:rFonts w:ascii="Times New Roman" w:hAnsi="Times New Roman"/>
          <w:b w:val="0"/>
          <w:i w:val="0"/>
          <w:u w:val="none"/>
        </w:rPr>
        <w:t xml:space="preserve">El </w:t>
      </w:r>
      <w:r>
        <w:rPr>
          <w:rFonts w:ascii="Times New Roman" w:hAnsi="Times New Roman"/>
          <w:b/>
          <w:i w:val="0"/>
          <w:u w:val="none"/>
        </w:rPr>
        <w:t>capital pagado</w:t>
      </w:r>
      <w:r>
        <w:rPr>
          <w:rFonts w:ascii="Times New Roman" w:hAnsi="Times New Roman"/>
          <w:b w:val="0"/>
          <w:i w:val="0"/>
          <w:u w:val="none"/>
        </w:rPr>
        <w:t xml:space="preserve"> de la sociedad es la suma de </w:t>
      </w:r>
      <w:r>
        <w:rPr>
          <w:rFonts w:ascii="Times New Roman" w:hAnsi="Times New Roman"/>
          <w:b/>
          <w:i w:val="0"/>
          <w:u w:val="none"/>
        </w:rPr>
        <w:t>SEISCIENTOS MILLONES DE PESOS ($600.000.000) moneda corriente</w:t>
      </w:r>
      <w:r>
        <w:rPr>
          <w:rFonts w:ascii="Times New Roman" w:hAnsi="Times New Roman"/>
          <w:b w:val="0"/>
          <w:i w:val="0"/>
          <w:u w:val="none"/>
        </w:rPr>
        <w:t xml:space="preserve">, correspondiente a la totalidad del capital suscrito. Los accionistas declaran que han pagado </w:t>
      </w:r>
      <w:r>
        <w:rPr>
          <w:rFonts w:ascii="Times New Roman" w:hAnsi="Times New Roman"/>
          <w:b/>
          <w:i w:val="0"/>
          <w:u w:val="none"/>
        </w:rPr>
        <w:t>íntegramente y en dinero efectivo</w:t>
      </w:r>
      <w:r>
        <w:rPr>
          <w:rFonts w:ascii="Times New Roman" w:hAnsi="Times New Roman"/>
          <w:b w:val="0"/>
          <w:i w:val="0"/>
          <w:u w:val="none"/>
        </w:rPr>
        <w:t>, en el acto de constitución, el valor de las acciones por ellos suscritas, así:</w:t>
      </w:r>
    </w:p>
    <w:tbl>
      <w:tblPr>
        <w:tblStyle w:val="TableGrid"/>
        <w:tblW w:type="auto" w:w="0"/>
        <w:jc w:val="center"/>
        <w:tblLayout w:type="fixed"/>
        <w:tblLook w:firstColumn="1" w:firstRow="1" w:lastColumn="0" w:lastRow="0" w:noHBand="0" w:noVBand="1" w:val="04A0"/>
        <w:tblW w:w="9122" w:type="dxa"/>
        <w:tblLayout w:type="fixed"/>
      </w:tblPr>
      <w:tblGrid>
        <w:gridCol w:w="3101"/>
        <w:gridCol w:w="2007"/>
        <w:gridCol w:w="2007"/>
        <w:gridCol w:w="2007"/>
      </w:tblGrid>
      <w:tr>
        <w:tc>
          <w:tcPr>
            <w:tcW w:type="dxa" w:w="3101"/>
            <w:shd w:val="clear" w:color="auto" w:fill="D9D9D9"/>
          </w:tcPr>
          <w:p>
            <w:pPr>
              <w:spacing w:after="40" w:before="40" w:line="240" w:lineRule="auto"/>
              <w:jc w:val="center"/>
            </w:pPr>
            <w:r>
              <w:rPr>
                <w:rFonts w:ascii="Times New Roman" w:hAnsi="Times New Roman"/>
                <w:b/>
                <w:i w:val="0"/>
                <w:sz w:val="20"/>
                <w:u w:val="none"/>
              </w:rPr>
              <w:t>Accionista</w:t>
            </w:r>
          </w:p>
        </w:tc>
        <w:tc>
          <w:tcPr>
            <w:tcW w:type="dxa" w:w="2007"/>
            <w:shd w:val="clear" w:color="auto" w:fill="D9D9D9"/>
          </w:tcPr>
          <w:p>
            <w:pPr>
              <w:spacing w:after="40" w:before="40" w:line="240" w:lineRule="auto"/>
              <w:jc w:val="center"/>
            </w:pPr>
            <w:r>
              <w:rPr>
                <w:rFonts w:ascii="Times New Roman" w:hAnsi="Times New Roman"/>
                <w:b/>
                <w:i w:val="0"/>
                <w:sz w:val="20"/>
                <w:u w:val="none"/>
              </w:rPr>
              <w:t>Acciones pagadas</w:t>
            </w:r>
          </w:p>
        </w:tc>
        <w:tc>
          <w:tcPr>
            <w:tcW w:type="dxa" w:w="2007"/>
            <w:shd w:val="clear" w:color="auto" w:fill="D9D9D9"/>
          </w:tcPr>
          <w:p>
            <w:pPr>
              <w:spacing w:after="40" w:before="40" w:line="240" w:lineRule="auto"/>
              <w:jc w:val="center"/>
            </w:pPr>
            <w:r>
              <w:rPr>
                <w:rFonts w:ascii="Times New Roman" w:hAnsi="Times New Roman"/>
                <w:b/>
                <w:i w:val="0"/>
                <w:sz w:val="20"/>
                <w:u w:val="none"/>
              </w:rPr>
              <w:t>Valor pagado</w:t>
            </w:r>
          </w:p>
        </w:tc>
        <w:tc>
          <w:tcPr>
            <w:tcW w:type="dxa" w:w="2007"/>
            <w:shd w:val="clear" w:color="auto" w:fill="D9D9D9"/>
          </w:tcPr>
          <w:p>
            <w:pPr>
              <w:spacing w:after="40" w:before="40" w:line="240" w:lineRule="auto"/>
              <w:jc w:val="center"/>
            </w:pPr>
            <w:r>
              <w:rPr>
                <w:rFonts w:ascii="Times New Roman" w:hAnsi="Times New Roman"/>
                <w:b/>
                <w:i w:val="0"/>
                <w:sz w:val="20"/>
                <w:u w:val="none"/>
              </w:rPr>
              <w:t>Saldo pendiente</w:t>
            </w:r>
          </w:p>
        </w:tc>
      </w:tr>
      <w:tr>
        <w:tc>
          <w:tcPr>
            <w:tcW w:type="dxa" w:w="3101"/>
          </w:tcPr>
          <w:p>
            <w:pPr>
              <w:spacing w:after="40" w:before="40" w:line="240" w:lineRule="auto"/>
              <w:jc w:val="left"/>
            </w:pPr>
            <w:r>
              <w:rPr>
                <w:rFonts w:ascii="Times New Roman" w:hAnsi="Times New Roman"/>
                <w:b w:val="0"/>
                <w:i w:val="0"/>
                <w:sz w:val="20"/>
                <w:u w:val="none"/>
              </w:rPr>
              <w:t>Mariana López Castaño</w:t>
            </w:r>
          </w:p>
        </w:tc>
        <w:tc>
          <w:tcPr>
            <w:tcW w:type="dxa" w:w="2007"/>
          </w:tcPr>
          <w:p>
            <w:pPr>
              <w:spacing w:after="40" w:before="40" w:line="240" w:lineRule="auto"/>
              <w:jc w:val="left"/>
            </w:pPr>
            <w:r>
              <w:rPr>
                <w:rFonts w:ascii="Times New Roman" w:hAnsi="Times New Roman"/>
                <w:b w:val="0"/>
                <w:i w:val="0"/>
                <w:sz w:val="20"/>
                <w:u w:val="none"/>
              </w:rPr>
              <w:t>390.000</w:t>
            </w:r>
          </w:p>
        </w:tc>
        <w:tc>
          <w:tcPr>
            <w:tcW w:type="dxa" w:w="2007"/>
          </w:tcPr>
          <w:p>
            <w:pPr>
              <w:spacing w:after="40" w:before="40" w:line="240" w:lineRule="auto"/>
              <w:jc w:val="left"/>
            </w:pPr>
            <w:r>
              <w:rPr>
                <w:rFonts w:ascii="Times New Roman" w:hAnsi="Times New Roman"/>
                <w:b w:val="0"/>
                <w:i w:val="0"/>
                <w:sz w:val="20"/>
                <w:u w:val="none"/>
              </w:rPr>
              <w:t>$390.000.000</w:t>
            </w:r>
          </w:p>
        </w:tc>
        <w:tc>
          <w:tcPr>
            <w:tcW w:type="dxa" w:w="2007"/>
          </w:tcPr>
          <w:p>
            <w:pPr>
              <w:spacing w:after="40" w:before="40" w:line="240" w:lineRule="auto"/>
              <w:jc w:val="left"/>
            </w:pPr>
            <w:r>
              <w:rPr>
                <w:rFonts w:ascii="Times New Roman" w:hAnsi="Times New Roman"/>
                <w:b w:val="0"/>
                <w:i w:val="0"/>
                <w:sz w:val="20"/>
                <w:u w:val="none"/>
              </w:rPr>
              <w:t>$0</w:t>
            </w:r>
          </w:p>
        </w:tc>
      </w:tr>
      <w:tr>
        <w:tc>
          <w:tcPr>
            <w:tcW w:type="dxa" w:w="3101"/>
          </w:tcPr>
          <w:p>
            <w:pPr>
              <w:spacing w:after="40" w:before="40" w:line="240" w:lineRule="auto"/>
              <w:jc w:val="left"/>
            </w:pPr>
            <w:r>
              <w:rPr>
                <w:rFonts w:ascii="Times New Roman" w:hAnsi="Times New Roman"/>
                <w:b w:val="0"/>
                <w:i w:val="0"/>
                <w:sz w:val="20"/>
                <w:u w:val="none"/>
              </w:rPr>
              <w:t>Felipe Andrés Gómez Vélez</w:t>
            </w:r>
          </w:p>
        </w:tc>
        <w:tc>
          <w:tcPr>
            <w:tcW w:type="dxa" w:w="2007"/>
          </w:tcPr>
          <w:p>
            <w:pPr>
              <w:spacing w:after="40" w:before="40" w:line="240" w:lineRule="auto"/>
              <w:jc w:val="left"/>
            </w:pPr>
            <w:r>
              <w:rPr>
                <w:rFonts w:ascii="Times New Roman" w:hAnsi="Times New Roman"/>
                <w:b w:val="0"/>
                <w:i w:val="0"/>
                <w:sz w:val="20"/>
                <w:u w:val="none"/>
              </w:rPr>
              <w:t>210.000</w:t>
            </w:r>
          </w:p>
        </w:tc>
        <w:tc>
          <w:tcPr>
            <w:tcW w:type="dxa" w:w="2007"/>
          </w:tcPr>
          <w:p>
            <w:pPr>
              <w:spacing w:after="40" w:before="40" w:line="240" w:lineRule="auto"/>
              <w:jc w:val="left"/>
            </w:pPr>
            <w:r>
              <w:rPr>
                <w:rFonts w:ascii="Times New Roman" w:hAnsi="Times New Roman"/>
                <w:b w:val="0"/>
                <w:i w:val="0"/>
                <w:sz w:val="20"/>
                <w:u w:val="none"/>
              </w:rPr>
              <w:t>$210.000.000</w:t>
            </w:r>
          </w:p>
        </w:tc>
        <w:tc>
          <w:tcPr>
            <w:tcW w:type="dxa" w:w="2007"/>
          </w:tcPr>
          <w:p>
            <w:pPr>
              <w:spacing w:after="40" w:before="40" w:line="240" w:lineRule="auto"/>
              <w:jc w:val="left"/>
            </w:pPr>
            <w:r>
              <w:rPr>
                <w:rFonts w:ascii="Times New Roman" w:hAnsi="Times New Roman"/>
                <w:b w:val="0"/>
                <w:i w:val="0"/>
                <w:sz w:val="20"/>
                <w:u w:val="none"/>
              </w:rPr>
              <w:t>$0</w:t>
            </w:r>
          </w:p>
        </w:tc>
      </w:tr>
      <w:tr>
        <w:tc>
          <w:tcPr>
            <w:tcW w:type="dxa" w:w="3101"/>
            <w:shd w:val="clear" w:color="auto" w:fill="D9D9D9"/>
          </w:tcPr>
          <w:p>
            <w:pPr>
              <w:spacing w:after="40" w:before="40" w:line="240" w:lineRule="auto"/>
              <w:jc w:val="center"/>
            </w:pPr>
            <w:r>
              <w:rPr>
                <w:rFonts w:ascii="Times New Roman" w:hAnsi="Times New Roman"/>
                <w:b/>
                <w:i w:val="0"/>
                <w:sz w:val="20"/>
                <w:u w:val="none"/>
              </w:rPr>
              <w:t>TOTALES</w:t>
            </w:r>
          </w:p>
        </w:tc>
        <w:tc>
          <w:tcPr>
            <w:tcW w:type="dxa" w:w="2007"/>
            <w:shd w:val="clear" w:color="auto" w:fill="D9D9D9"/>
          </w:tcPr>
          <w:p>
            <w:pPr>
              <w:spacing w:after="40" w:before="40" w:line="240" w:lineRule="auto"/>
              <w:jc w:val="center"/>
            </w:pPr>
            <w:r>
              <w:rPr>
                <w:rFonts w:ascii="Times New Roman" w:hAnsi="Times New Roman"/>
                <w:b/>
                <w:i w:val="0"/>
                <w:sz w:val="20"/>
                <w:u w:val="none"/>
              </w:rPr>
              <w:t>600.000</w:t>
            </w:r>
          </w:p>
        </w:tc>
        <w:tc>
          <w:tcPr>
            <w:tcW w:type="dxa" w:w="2007"/>
            <w:shd w:val="clear" w:color="auto" w:fill="D9D9D9"/>
          </w:tcPr>
          <w:p>
            <w:pPr>
              <w:spacing w:after="40" w:before="40" w:line="240" w:lineRule="auto"/>
              <w:jc w:val="center"/>
            </w:pPr>
            <w:r>
              <w:rPr>
                <w:rFonts w:ascii="Times New Roman" w:hAnsi="Times New Roman"/>
                <w:b/>
                <w:i w:val="0"/>
                <w:sz w:val="20"/>
                <w:u w:val="none"/>
              </w:rPr>
              <w:t>$600.000.000</w:t>
            </w:r>
          </w:p>
        </w:tc>
        <w:tc>
          <w:tcPr>
            <w:tcW w:type="dxa" w:w="2007"/>
            <w:shd w:val="clear" w:color="auto" w:fill="D9D9D9"/>
          </w:tcPr>
          <w:p>
            <w:pPr>
              <w:spacing w:after="40" w:before="40" w:line="240" w:lineRule="auto"/>
              <w:jc w:val="center"/>
            </w:pPr>
            <w:r>
              <w:rPr>
                <w:rFonts w:ascii="Times New Roman" w:hAnsi="Times New Roman"/>
                <w:b/>
                <w:i w:val="0"/>
                <w:sz w:val="20"/>
                <w:u w:val="none"/>
              </w:rPr>
              <w:t>$0</w:t>
            </w:r>
          </w:p>
        </w:tc>
      </w:tr>
    </w:tbl>
    <w:p>
      <w:pPr>
        <w:spacing w:after="80"/>
      </w:pPr>
    </w:p>
    <w:p>
      <w:r>
        <w:rPr>
          <w:rFonts w:ascii="Times New Roman" w:hAnsi="Times New Roman"/>
          <w:b/>
          <w:i w:val="0"/>
          <w:u w:val="none"/>
        </w:rPr>
        <w:t>TÉRMINO PARA EL PAGO DEL CAPITAL SUSCRITO.</w:t>
      </w:r>
      <w:r>
        <w:rPr>
          <w:rFonts w:ascii="Times New Roman" w:hAnsi="Times New Roman"/>
          <w:b w:val="0"/>
          <w:i w:val="0"/>
          <w:u w:val="none"/>
        </w:rPr>
        <w:t xml:space="preserve"> En cumplimiento de lo exigido por el artículo 9.º de la Ley 1258 de 2008 y por la guía registral de la Cámara de Comercio de Medellín para Antioquia, los accionistas declaran de manera expresa que </w:t>
      </w:r>
      <w:r>
        <w:rPr>
          <w:rFonts w:ascii="Times New Roman" w:hAnsi="Times New Roman"/>
          <w:b/>
          <w:i w:val="0"/>
          <w:u w:val="none"/>
        </w:rPr>
        <w:t>el término para el pago de la totalidad del capital suscrito es el mismo acto de constitución</w:t>
      </w:r>
      <w:r>
        <w:rPr>
          <w:rFonts w:ascii="Times New Roman" w:hAnsi="Times New Roman"/>
          <w:b w:val="0"/>
          <w:i w:val="0"/>
          <w:u w:val="none"/>
        </w:rPr>
        <w:t xml:space="preserve">, esto es, el primero (1) de octubre de dos mil veintiséis (2026), fecha en la cual quedó pagado el cien por ciento (100 %) de las acciones suscritas. En consecuencia, </w:t>
      </w:r>
      <w:r>
        <w:rPr>
          <w:rFonts w:ascii="Times New Roman" w:hAnsi="Times New Roman"/>
          <w:b/>
          <w:i w:val="0"/>
          <w:u w:val="none"/>
        </w:rPr>
        <w:t>el término de pago no excede de dos (2) años</w:t>
      </w:r>
      <w:r>
        <w:rPr>
          <w:rFonts w:ascii="Times New Roman" w:hAnsi="Times New Roman"/>
          <w:b w:val="0"/>
          <w:i w:val="0"/>
          <w:u w:val="none"/>
        </w:rPr>
        <w:t xml:space="preserve"> contados desde la suscripción, y a la fecha de este documento no existe saldo alguno pendiente de pago.</w:t>
      </w:r>
    </w:p>
    <w:p>
      <w:r>
        <w:rPr>
          <w:rFonts w:ascii="Times New Roman" w:hAnsi="Times New Roman"/>
          <w:b w:val="0"/>
          <w:i w:val="0"/>
          <w:u w:val="none"/>
        </w:rPr>
        <w:t xml:space="preserve">Los aportes se realizan en </w:t>
      </w:r>
      <w:r>
        <w:rPr>
          <w:rFonts w:ascii="Times New Roman" w:hAnsi="Times New Roman"/>
          <w:b/>
          <w:i w:val="0"/>
          <w:u w:val="none"/>
        </w:rPr>
        <w:t>dinero en efectivo</w:t>
      </w:r>
      <w:r>
        <w:rPr>
          <w:rFonts w:ascii="Times New Roman" w:hAnsi="Times New Roman"/>
          <w:b w:val="0"/>
          <w:i w:val="0"/>
          <w:u w:val="none"/>
        </w:rPr>
        <w:t>, mediante consignación en la cuenta bancaria abierta a nombre de la sociedad en formación, cuyos comprobantes reposarán en la contabilidad social. No se efectúan aportes en especie ni en industria en el acto de constitución; por consiguiente, no se requiere el avalúo unánime de que trata el artículo 398 del Código de Comercio ni la escritura pública a que se refiere el parágrafo 2.º del artículo 5.º de la Ley 1258 de 2008.</w:t>
      </w:r>
    </w:p>
    <w:p>
      <w:r>
        <w:rPr>
          <w:rFonts w:ascii="Times New Roman" w:hAnsi="Times New Roman"/>
          <w:b/>
          <w:i w:val="0"/>
          <w:u w:val="none"/>
        </w:rPr>
        <w:t>Parágrafo primero.</w:t>
      </w:r>
      <w:r>
        <w:rPr>
          <w:rFonts w:ascii="Times New Roman" w:hAnsi="Times New Roman"/>
          <w:b w:val="0"/>
          <w:i w:val="0"/>
          <w:u w:val="none"/>
        </w:rPr>
        <w:t xml:space="preserve"> De conformidad con el </w:t>
      </w:r>
      <w:r>
        <w:rPr>
          <w:rFonts w:ascii="Times New Roman" w:hAnsi="Times New Roman"/>
          <w:b/>
          <w:i w:val="0"/>
          <w:u w:val="none"/>
        </w:rPr>
        <w:t>artículo 9.º de la Ley 1258 de 2008</w:t>
      </w:r>
      <w:r>
        <w:rPr>
          <w:rFonts w:ascii="Times New Roman" w:hAnsi="Times New Roman"/>
          <w:b w:val="0"/>
          <w:i w:val="0"/>
          <w:u w:val="none"/>
        </w:rPr>
        <w:t xml:space="preserve">, la suscripción y el pago del capital podrán hacerse en condiciones, proporciones y plazos distintos de los previstos en las normas contempladas en el Código de Comercio para las sociedades anónimas; sin embargo, </w:t>
      </w:r>
      <w:r>
        <w:rPr>
          <w:rFonts w:ascii="Times New Roman" w:hAnsi="Times New Roman"/>
          <w:b/>
          <w:i w:val="0"/>
          <w:u w:val="none"/>
        </w:rPr>
        <w:t>en ningún caso el plazo para el pago de las acciones excederá de dos (2) años</w:t>
      </w:r>
      <w:r>
        <w:rPr>
          <w:rFonts w:ascii="Times New Roman" w:hAnsi="Times New Roman"/>
          <w:b w:val="0"/>
          <w:i w:val="0"/>
          <w:u w:val="none"/>
        </w:rPr>
        <w:t xml:space="preserve"> contados desde la fecha de la suscripción. Esta regla se aplicará a toda emisión y colocación de acciones que la sociedad realice con posterioridad a su constitución.</w:t>
      </w:r>
    </w:p>
    <w:p>
      <w:r>
        <w:rPr>
          <w:rFonts w:ascii="Times New Roman" w:hAnsi="Times New Roman"/>
          <w:b/>
          <w:i w:val="0"/>
          <w:u w:val="none"/>
        </w:rPr>
        <w:t>Parágrafo segundo.</w:t>
      </w:r>
      <w:r>
        <w:rPr>
          <w:rFonts w:ascii="Times New Roman" w:hAnsi="Times New Roman"/>
          <w:b w:val="0"/>
          <w:i w:val="0"/>
          <w:u w:val="none"/>
        </w:rPr>
        <w:t xml:space="preserve"> El pago íntegro del capital suscrito en el acto de constitución se acredita mediante certificación suscrita por el representante legal y por el contador público de la sociedad, la cual se anexa a este documento y hará parte integrante del expediente de constitución.</w:t>
      </w:r>
    </w:p>
    <w:p>
      <w:r>
        <w:rPr>
          <w:rFonts w:ascii="Times New Roman" w:hAnsi="Times New Roman"/>
          <w:b/>
          <w:i w:val="0"/>
          <w:u w:val="none"/>
        </w:rPr>
        <w:t>Parágrafo tercero.</w:t>
      </w:r>
      <w:r>
        <w:rPr>
          <w:rFonts w:ascii="Times New Roman" w:hAnsi="Times New Roman"/>
          <w:b w:val="0"/>
          <w:i w:val="0"/>
          <w:u w:val="none"/>
        </w:rPr>
        <w:t xml:space="preserve"> Mientras el accionista se encuentre en mora en el pago de las acciones suscritas, no podrá ejercer los derechos inherentes a ellas. La sociedad podrá, a elección de la asamblea general de accionistas, aplicar los mecanismos previstos en el artículo 397 del Código de Comercio.</w:t>
      </w:r>
    </w:p>
    <w:p>
      <w:pPr>
        <w:keepNext/>
        <w:spacing w:before="240" w:after="80"/>
        <w:jc w:val="left"/>
      </w:pPr>
      <w:r>
        <w:rPr>
          <w:rFonts w:ascii="Times New Roman" w:hAnsi="Times New Roman"/>
          <w:b/>
          <w:i w:val="0"/>
          <w:sz w:val="24"/>
          <w:u w:val="none"/>
        </w:rPr>
        <w:t>Artículo 9.º — Clases de acciones</w:t>
      </w:r>
    </w:p>
    <w:p>
      <w:r>
        <w:rPr>
          <w:rFonts w:ascii="Times New Roman" w:hAnsi="Times New Roman"/>
          <w:b w:val="0"/>
          <w:i w:val="0"/>
          <w:u w:val="none"/>
        </w:rPr>
        <w:t xml:space="preserve">Todas las acciones en que se divide el capital suscrito de la sociedad son, a la fecha de constitución, </w:t>
      </w:r>
      <w:r>
        <w:rPr>
          <w:rFonts w:ascii="Times New Roman" w:hAnsi="Times New Roman"/>
          <w:b/>
          <w:i w:val="0"/>
          <w:u w:val="none"/>
        </w:rPr>
        <w:t>acciones ordinarias, nominativas y de capital</w:t>
      </w:r>
      <w:r>
        <w:rPr>
          <w:rFonts w:ascii="Times New Roman" w:hAnsi="Times New Roman"/>
          <w:b w:val="0"/>
          <w:i w:val="0"/>
          <w:u w:val="none"/>
        </w:rPr>
        <w:t>, y confieren a su titular los derechos previstos en el artículo 379 del Código de Comercio, a saber: participar en las deliberaciones de la asamblea general de accionistas y votar en ella; percibir una parte proporcional de los beneficios sociales establecidos en los estados financieros de fin de ejercicio; negociar libremente las acciones con las limitaciones establecidas en estos estatutos; inspeccionar libremente los libros y papeles sociales en los términos y plazos previstos en el artículo 31 de estos estatutos; y recibir una parte proporcional de los activos sociales al tiempo de la liquidación.</w:t>
      </w:r>
    </w:p>
    <w:p>
      <w:r>
        <w:rPr>
          <w:rFonts w:ascii="Times New Roman" w:hAnsi="Times New Roman"/>
          <w:b/>
          <w:i w:val="0"/>
          <w:u w:val="none"/>
        </w:rPr>
        <w:t>Parágrafo.</w:t>
      </w:r>
      <w:r>
        <w:rPr>
          <w:rFonts w:ascii="Times New Roman" w:hAnsi="Times New Roman"/>
          <w:b w:val="0"/>
          <w:i w:val="0"/>
          <w:u w:val="none"/>
        </w:rPr>
        <w:t xml:space="preserve"> De conformidad con el </w:t>
      </w:r>
      <w:r>
        <w:rPr>
          <w:rFonts w:ascii="Times New Roman" w:hAnsi="Times New Roman"/>
          <w:b/>
          <w:i w:val="0"/>
          <w:u w:val="none"/>
        </w:rPr>
        <w:t>artículo 10 de la Ley 1258 de 2008</w:t>
      </w:r>
      <w:r>
        <w:rPr>
          <w:rFonts w:ascii="Times New Roman" w:hAnsi="Times New Roman"/>
          <w:b w:val="0"/>
          <w:i w:val="0"/>
          <w:u w:val="none"/>
        </w:rPr>
        <w:t>, la sociedad podrá crear en el futuro, mediante reforma estatutaria aprobada por la asamblea general de accionistas, diversas clases y series de acciones, tales como: (i) acciones privilegiadas; (ii) acciones con dividendo preferencial y sin derecho a voto; (iii) acciones con dividendo fijo anual; (iv) acciones de pago; y (v) cualquier otra clase que se prevea, con los derechos y restricciones que se determinen en el respectivo reglamento de emisión y colocación.</w:t>
      </w:r>
    </w:p>
    <w:p>
      <w:pPr>
        <w:keepNext/>
        <w:spacing w:before="240" w:after="80"/>
        <w:jc w:val="left"/>
      </w:pPr>
      <w:r>
        <w:rPr>
          <w:rFonts w:ascii="Times New Roman" w:hAnsi="Times New Roman"/>
          <w:b/>
          <w:i w:val="0"/>
          <w:sz w:val="24"/>
          <w:u w:val="none"/>
        </w:rPr>
        <w:t>Artículo 10 — Voto singular y voto múltiple</w:t>
      </w:r>
    </w:p>
    <w:p>
      <w:r>
        <w:rPr>
          <w:rFonts w:ascii="Times New Roman" w:hAnsi="Times New Roman"/>
          <w:b w:val="0"/>
          <w:i w:val="0"/>
          <w:u w:val="none"/>
        </w:rPr>
        <w:t xml:space="preserve">Cada acción ordinaria confiere a su titular el derecho a </w:t>
      </w:r>
      <w:r>
        <w:rPr>
          <w:rFonts w:ascii="Times New Roman" w:hAnsi="Times New Roman"/>
          <w:b/>
          <w:i w:val="0"/>
          <w:u w:val="none"/>
        </w:rPr>
        <w:t>un (1) voto</w:t>
      </w:r>
      <w:r>
        <w:rPr>
          <w:rFonts w:ascii="Times New Roman" w:hAnsi="Times New Roman"/>
          <w:b w:val="0"/>
          <w:i w:val="0"/>
          <w:u w:val="none"/>
        </w:rPr>
        <w:t xml:space="preserve"> en las decisiones de la asamblea general de accionistas. Sin perjuicio de lo anterior, y en ejercicio de la facultad prevista en el </w:t>
      </w:r>
      <w:r>
        <w:rPr>
          <w:rFonts w:ascii="Times New Roman" w:hAnsi="Times New Roman"/>
          <w:b/>
          <w:i w:val="0"/>
          <w:u w:val="none"/>
        </w:rPr>
        <w:t>artículo 11 de la Ley 1258 de 2008</w:t>
      </w:r>
      <w:r>
        <w:rPr>
          <w:rFonts w:ascii="Times New Roman" w:hAnsi="Times New Roman"/>
          <w:b w:val="0"/>
          <w:i w:val="0"/>
          <w:u w:val="none"/>
        </w:rPr>
        <w:t>, la asamblea general de accionistas podrá, mediante reforma estatutaria, establecer el voto múltiple para determinadas clases o series de acciones.</w:t>
      </w:r>
    </w:p>
    <w:p>
      <w:pPr>
        <w:keepNext/>
        <w:spacing w:before="240" w:after="80"/>
        <w:jc w:val="left"/>
      </w:pPr>
      <w:r>
        <w:rPr>
          <w:rFonts w:ascii="Times New Roman" w:hAnsi="Times New Roman"/>
          <w:b/>
          <w:i w:val="0"/>
          <w:sz w:val="24"/>
          <w:u w:val="none"/>
        </w:rPr>
        <w:t>Artículo 11 — Títulos de las acciones</w:t>
      </w:r>
    </w:p>
    <w:p>
      <w:r>
        <w:rPr>
          <w:rFonts w:ascii="Times New Roman" w:hAnsi="Times New Roman"/>
          <w:b w:val="0"/>
          <w:i w:val="0"/>
          <w:u w:val="none"/>
        </w:rPr>
        <w:t xml:space="preserve">Las acciones estarán representadas en </w:t>
      </w:r>
      <w:r>
        <w:rPr>
          <w:rFonts w:ascii="Times New Roman" w:hAnsi="Times New Roman"/>
          <w:b/>
          <w:i w:val="0"/>
          <w:u w:val="none"/>
        </w:rPr>
        <w:t>títulos nominativos</w:t>
      </w:r>
      <w:r>
        <w:rPr>
          <w:rFonts w:ascii="Times New Roman" w:hAnsi="Times New Roman"/>
          <w:b w:val="0"/>
          <w:i w:val="0"/>
          <w:u w:val="none"/>
        </w:rPr>
        <w:t xml:space="preserve"> expedidos por la sociedad y suscritos por el representante legal. Los títulos podrán expedirse por una o varias acciones, contendrán las menciones previstas en el artículo 401 del Código de Comercio y deberán advertir expresamente las restricciones a la negociación pactadas en estos estatutos, de conformidad con el inciso final del artículo 13 y con el artículo 14 de la Ley 1258 de 2008. Mientras se expiden los títulos definitivos, la sociedad podrá expedir certificados provisionales.</w:t>
      </w:r>
    </w:p>
    <w:p>
      <w:pPr>
        <w:keepNext/>
        <w:spacing w:before="240" w:after="80"/>
        <w:jc w:val="left"/>
      </w:pPr>
      <w:r>
        <w:rPr>
          <w:rFonts w:ascii="Times New Roman" w:hAnsi="Times New Roman"/>
          <w:b/>
          <w:i w:val="0"/>
          <w:sz w:val="24"/>
          <w:u w:val="none"/>
        </w:rPr>
        <w:t>Artículo 12 — Libro de registro de accionistas</w:t>
      </w:r>
    </w:p>
    <w:p>
      <w:r>
        <w:rPr>
          <w:rFonts w:ascii="Times New Roman" w:hAnsi="Times New Roman"/>
          <w:b w:val="0"/>
          <w:i w:val="0"/>
          <w:u w:val="none"/>
        </w:rPr>
        <w:t xml:space="preserve">La sociedad llevará un </w:t>
      </w:r>
      <w:r>
        <w:rPr>
          <w:rFonts w:ascii="Times New Roman" w:hAnsi="Times New Roman"/>
          <w:b/>
          <w:i w:val="0"/>
          <w:u w:val="none"/>
        </w:rPr>
        <w:t>libro de registro de accionistas</w:t>
      </w:r>
      <w:r>
        <w:rPr>
          <w:rFonts w:ascii="Times New Roman" w:hAnsi="Times New Roman"/>
          <w:b w:val="0"/>
          <w:i w:val="0"/>
          <w:u w:val="none"/>
        </w:rPr>
        <w:t>, previamente inscrito en el registro mercantil de la Cámara de Comercio de Medellín para Antioquia, en el cual se anotarán el nombre y documento de identidad de cada accionista, el número de acciones de que sea titular, las enajenaciones y traspasos, los embargos, las prendas, los usufructos, las anticresis y demás gravámenes o limitaciones de dominio. La calidad de accionista frente a la sociedad y a terceros se acredita exclusivamente con la inscripción en este libro, en los términos de los artículos 195 y 406 del Código de Comercio.</w:t>
      </w:r>
    </w:p>
    <w:p>
      <w:pPr>
        <w:keepNext/>
        <w:spacing w:before="240" w:after="80"/>
        <w:jc w:val="left"/>
      </w:pPr>
      <w:r>
        <w:rPr>
          <w:rFonts w:ascii="Times New Roman" w:hAnsi="Times New Roman"/>
          <w:b/>
          <w:i w:val="0"/>
          <w:sz w:val="24"/>
          <w:u w:val="none"/>
        </w:rPr>
        <w:t>Artículo 13 — Derecho de preferencia en la suscripción de acciones</w:t>
      </w:r>
    </w:p>
    <w:p>
      <w:r>
        <w:rPr>
          <w:rFonts w:ascii="Times New Roman" w:hAnsi="Times New Roman"/>
          <w:b w:val="0"/>
          <w:i w:val="0"/>
          <w:u w:val="none"/>
        </w:rPr>
        <w:t xml:space="preserve">Toda emisión y colocación de acciones que realice la sociedad estará sujeta al </w:t>
      </w:r>
      <w:r>
        <w:rPr>
          <w:rFonts w:ascii="Times New Roman" w:hAnsi="Times New Roman"/>
          <w:b/>
          <w:i w:val="0"/>
          <w:u w:val="none"/>
        </w:rPr>
        <w:t>derecho de preferencia</w:t>
      </w:r>
      <w:r>
        <w:rPr>
          <w:rFonts w:ascii="Times New Roman" w:hAnsi="Times New Roman"/>
          <w:b w:val="0"/>
          <w:i w:val="0"/>
          <w:u w:val="none"/>
        </w:rPr>
        <w:t xml:space="preserve"> a favor de los accionistas, quienes podrán suscribir las nuevas acciones a prorrata de las que posean en la fecha de aprobación del respectivo reglamento de suscripción. El plazo para ejercer el derecho no podrá ser inferior a </w:t>
      </w:r>
      <w:r>
        <w:rPr>
          <w:rFonts w:ascii="Times New Roman" w:hAnsi="Times New Roman"/>
          <w:b/>
          <w:i w:val="0"/>
          <w:u w:val="none"/>
        </w:rPr>
        <w:t>quince (15) días hábiles</w:t>
      </w:r>
      <w:r>
        <w:rPr>
          <w:rFonts w:ascii="Times New Roman" w:hAnsi="Times New Roman"/>
          <w:b w:val="0"/>
          <w:i w:val="0"/>
          <w:u w:val="none"/>
        </w:rPr>
        <w:t xml:space="preserve"> contados desde la fecha del aviso de oferta. Las acciones no suscritas por los titulares del derecho podrán ser ofrecidas a terceros, en los términos que apruebe la asamblea general de accionistas.</w:t>
      </w:r>
    </w:p>
    <w:p>
      <w:r>
        <w:rPr>
          <w:rFonts w:ascii="Times New Roman" w:hAnsi="Times New Roman"/>
          <w:b/>
          <w:i w:val="0"/>
          <w:u w:val="none"/>
        </w:rPr>
        <w:t>Parágrafo.</w:t>
      </w:r>
      <w:r>
        <w:rPr>
          <w:rFonts w:ascii="Times New Roman" w:hAnsi="Times New Roman"/>
          <w:b w:val="0"/>
          <w:i w:val="0"/>
          <w:u w:val="none"/>
        </w:rPr>
        <w:t xml:space="preserve"> La asamblea general de accionistas podrá, con el voto favorable de accionistas titulares de por lo menos el </w:t>
      </w:r>
      <w:r>
        <w:rPr>
          <w:rFonts w:ascii="Times New Roman" w:hAnsi="Times New Roman"/>
          <w:b/>
          <w:i w:val="0"/>
          <w:u w:val="none"/>
        </w:rPr>
        <w:t>setenta por ciento (70 %) de las acciones suscritas</w:t>
      </w:r>
      <w:r>
        <w:rPr>
          <w:rFonts w:ascii="Times New Roman" w:hAnsi="Times New Roman"/>
          <w:b w:val="0"/>
          <w:i w:val="0"/>
          <w:u w:val="none"/>
        </w:rPr>
        <w:t>, decidir la colocación de acciones sin sujeción al derecho de preferencia.</w:t>
      </w:r>
    </w:p>
    <w:p>
      <w:pPr>
        <w:keepNext/>
        <w:spacing w:before="240" w:after="80"/>
        <w:jc w:val="left"/>
      </w:pPr>
      <w:r>
        <w:rPr>
          <w:rFonts w:ascii="Times New Roman" w:hAnsi="Times New Roman"/>
          <w:b/>
          <w:i w:val="0"/>
          <w:sz w:val="24"/>
          <w:u w:val="none"/>
        </w:rPr>
        <w:t>Artículo 14 — Derecho de preferencia en la negociación de acciones</w:t>
      </w:r>
    </w:p>
    <w:p>
      <w:r>
        <w:rPr>
          <w:rFonts w:ascii="Times New Roman" w:hAnsi="Times New Roman"/>
          <w:b w:val="0"/>
          <w:i w:val="0"/>
          <w:u w:val="none"/>
        </w:rPr>
        <w:t xml:space="preserve">En ejercicio de la facultad conferida por el </w:t>
      </w:r>
      <w:r>
        <w:rPr>
          <w:rFonts w:ascii="Times New Roman" w:hAnsi="Times New Roman"/>
          <w:b/>
          <w:i w:val="0"/>
          <w:u w:val="none"/>
        </w:rPr>
        <w:t>artículo 13 de la Ley 1258 de 2008</w:t>
      </w:r>
      <w:r>
        <w:rPr>
          <w:rFonts w:ascii="Times New Roman" w:hAnsi="Times New Roman"/>
          <w:b w:val="0"/>
          <w:i w:val="0"/>
          <w:u w:val="none"/>
        </w:rPr>
        <w:t xml:space="preserve">, los accionistas acuerdan someter la negociación de sus acciones al siguiente </w:t>
      </w:r>
      <w:r>
        <w:rPr>
          <w:rFonts w:ascii="Times New Roman" w:hAnsi="Times New Roman"/>
          <w:b/>
          <w:i w:val="0"/>
          <w:u w:val="none"/>
        </w:rPr>
        <w:t>derecho de preferencia</w:t>
      </w:r>
      <w:r>
        <w:rPr>
          <w:rFonts w:ascii="Times New Roman" w:hAnsi="Times New Roman"/>
          <w:b w:val="0"/>
          <w:i w:val="0"/>
          <w:u w:val="none"/>
        </w:rPr>
        <w:t>:</w:t>
      </w:r>
    </w:p>
    <w:p>
      <w:pPr>
        <w:ind w:left="567" w:hanging="567"/>
      </w:pPr>
      <w:r>
        <w:rPr>
          <w:rFonts w:ascii="Times New Roman" w:hAnsi="Times New Roman"/>
          <w:b w:val="0"/>
          <w:i w:val="0"/>
          <w:u w:val="none"/>
        </w:rPr>
        <w:t>a) El accionista que pretenda enajenar total o parcialmente sus acciones deberá ofrecerlas primero a la sociedad y, en subsidio, a los demás accionistas, mediante comunicación escrita dirigida al representante legal, en la que indique el número de acciones ofrecidas, el precio, la forma de pago y la identidad del eventual adquirente.</w:t>
      </w:r>
    </w:p>
    <w:p>
      <w:pPr>
        <w:ind w:left="567" w:hanging="567"/>
      </w:pPr>
      <w:r>
        <w:rPr>
          <w:rFonts w:ascii="Times New Roman" w:hAnsi="Times New Roman"/>
          <w:b w:val="0"/>
          <w:i w:val="0"/>
          <w:u w:val="none"/>
        </w:rPr>
        <w:t>b) El representante legal comunicará la oferta a los demás accionistas dentro de los cinco (5) días hábiles siguientes a su recibo.</w:t>
      </w:r>
    </w:p>
    <w:p>
      <w:pPr>
        <w:ind w:left="567" w:hanging="567"/>
      </w:pPr>
      <w:r>
        <w:rPr>
          <w:rFonts w:ascii="Times New Roman" w:hAnsi="Times New Roman"/>
          <w:b w:val="0"/>
          <w:i w:val="0"/>
          <w:u w:val="none"/>
        </w:rPr>
        <w:t xml:space="preserve">c) Los accionistas destinatarios dispondrán de </w:t>
      </w:r>
      <w:r>
        <w:rPr>
          <w:rFonts w:ascii="Times New Roman" w:hAnsi="Times New Roman"/>
          <w:b/>
          <w:i w:val="0"/>
          <w:u w:val="none"/>
        </w:rPr>
        <w:t>quince (15) días hábiles</w:t>
      </w:r>
      <w:r>
        <w:rPr>
          <w:rFonts w:ascii="Times New Roman" w:hAnsi="Times New Roman"/>
          <w:b w:val="0"/>
          <w:i w:val="0"/>
          <w:u w:val="none"/>
        </w:rPr>
        <w:t>, contados desde el envío de la comunicación, para manifestar por escrito su intención de adquirir la totalidad o parte de las acciones ofrecidas, a prorrata de su participación.</w:t>
      </w:r>
    </w:p>
    <w:p>
      <w:pPr>
        <w:ind w:left="567" w:hanging="567"/>
      </w:pPr>
      <w:r>
        <w:rPr>
          <w:rFonts w:ascii="Times New Roman" w:hAnsi="Times New Roman"/>
          <w:b w:val="0"/>
          <w:i w:val="0"/>
          <w:u w:val="none"/>
        </w:rPr>
        <w:t>d) Si dentro de dicho término no se ejerciere el derecho, o se ejerciere parcialmente, el oferente quedará en libertad de enajenar a terceros las acciones no adquiridas, en condiciones que no podrán ser más favorables que las ofrecidas a los accionistas.</w:t>
      </w:r>
    </w:p>
    <w:p>
      <w:pPr>
        <w:ind w:left="567" w:hanging="567"/>
      </w:pPr>
      <w:r>
        <w:rPr>
          <w:rFonts w:ascii="Times New Roman" w:hAnsi="Times New Roman"/>
          <w:b w:val="0"/>
          <w:i w:val="0"/>
          <w:u w:val="none"/>
        </w:rPr>
        <w:t>e) Si no hubiere acuerdo sobre el precio, este será fijado por un perito designado de común acuerdo por las partes o, en su defecto, por el Centro de Conciliación y Arbitraje de la Cámara de Comercio de Medellín para Antioquia, y su dictamen será obligatorio para todas ellas.</w:t>
      </w:r>
    </w:p>
    <w:p>
      <w:r>
        <w:rPr>
          <w:rFonts w:ascii="Times New Roman" w:hAnsi="Times New Roman"/>
          <w:b/>
          <w:i w:val="0"/>
          <w:u w:val="none"/>
        </w:rPr>
        <w:t>Parágrafo primero.</w:t>
      </w:r>
      <w:r>
        <w:rPr>
          <w:rFonts w:ascii="Times New Roman" w:hAnsi="Times New Roman"/>
          <w:b w:val="0"/>
          <w:i w:val="0"/>
          <w:u w:val="none"/>
        </w:rPr>
        <w:t xml:space="preserve"> Toda negociación o transferencia de acciones realizada en contravención de lo dispuesto en este artículo será </w:t>
      </w:r>
      <w:r>
        <w:rPr>
          <w:rFonts w:ascii="Times New Roman" w:hAnsi="Times New Roman"/>
          <w:b/>
          <w:i w:val="0"/>
          <w:u w:val="none"/>
        </w:rPr>
        <w:t>ineficaz de pleno derecho</w:t>
      </w:r>
      <w:r>
        <w:rPr>
          <w:rFonts w:ascii="Times New Roman" w:hAnsi="Times New Roman"/>
          <w:b w:val="0"/>
          <w:i w:val="0"/>
          <w:u w:val="none"/>
        </w:rPr>
        <w:t>, conforme al artículo 13, inciso 2.º, de la Ley 1258 de 2008, sin necesidad de declaración judicial.</w:t>
      </w:r>
    </w:p>
    <w:p>
      <w:r>
        <w:rPr>
          <w:rFonts w:ascii="Times New Roman" w:hAnsi="Times New Roman"/>
          <w:b/>
          <w:i w:val="0"/>
          <w:u w:val="none"/>
        </w:rPr>
        <w:t>Parágrafo segundo.</w:t>
      </w:r>
      <w:r>
        <w:rPr>
          <w:rFonts w:ascii="Times New Roman" w:hAnsi="Times New Roman"/>
          <w:b w:val="0"/>
          <w:i w:val="0"/>
          <w:u w:val="none"/>
        </w:rPr>
        <w:t xml:space="preserve"> La restricción aquí pactada deberá constar expresamente en los títulos de las acciones y en el libro de registro de accionistas.</w:t>
      </w:r>
    </w:p>
    <w:p>
      <w:pPr>
        <w:keepNext/>
        <w:spacing w:before="240" w:after="80"/>
        <w:jc w:val="left"/>
      </w:pPr>
      <w:r>
        <w:rPr>
          <w:rFonts w:ascii="Times New Roman" w:hAnsi="Times New Roman"/>
          <w:b/>
          <w:i w:val="0"/>
          <w:sz w:val="24"/>
          <w:u w:val="none"/>
        </w:rPr>
        <w:t>Artículo 15 — Autorización previa para la transferencia de acciones</w:t>
      </w:r>
    </w:p>
    <w:p>
      <w:r>
        <w:rPr>
          <w:rFonts w:ascii="Times New Roman" w:hAnsi="Times New Roman"/>
          <w:b w:val="0"/>
          <w:i w:val="0"/>
          <w:u w:val="none"/>
        </w:rPr>
        <w:t xml:space="preserve">De conformidad con el </w:t>
      </w:r>
      <w:r>
        <w:rPr>
          <w:rFonts w:ascii="Times New Roman" w:hAnsi="Times New Roman"/>
          <w:b/>
          <w:i w:val="0"/>
          <w:u w:val="none"/>
        </w:rPr>
        <w:t>artículo 14 de la Ley 1258 de 2008</w:t>
      </w:r>
      <w:r>
        <w:rPr>
          <w:rFonts w:ascii="Times New Roman" w:hAnsi="Times New Roman"/>
          <w:b w:val="0"/>
          <w:i w:val="0"/>
          <w:u w:val="none"/>
        </w:rPr>
        <w:t xml:space="preserve">, toda enajenación de acciones a favor de personas que no ostenten la calidad de accionistas requerirá la </w:t>
      </w:r>
      <w:r>
        <w:rPr>
          <w:rFonts w:ascii="Times New Roman" w:hAnsi="Times New Roman"/>
          <w:b/>
          <w:i w:val="0"/>
          <w:u w:val="none"/>
        </w:rPr>
        <w:t>autorización previa y expresa de la asamblea general de accionistas</w:t>
      </w:r>
      <w:r>
        <w:rPr>
          <w:rFonts w:ascii="Times New Roman" w:hAnsi="Times New Roman"/>
          <w:b w:val="0"/>
          <w:i w:val="0"/>
          <w:u w:val="none"/>
        </w:rPr>
        <w:t xml:space="preserve">, adoptada con el voto favorable de accionistas titulares de por lo menos el </w:t>
      </w:r>
      <w:r>
        <w:rPr>
          <w:rFonts w:ascii="Times New Roman" w:hAnsi="Times New Roman"/>
          <w:b/>
          <w:i w:val="0"/>
          <w:u w:val="none"/>
        </w:rPr>
        <w:t>setenta por ciento (70 %) de las acciones suscritas restantes</w:t>
      </w:r>
      <w:r>
        <w:rPr>
          <w:rFonts w:ascii="Times New Roman" w:hAnsi="Times New Roman"/>
          <w:b w:val="0"/>
          <w:i w:val="0"/>
          <w:u w:val="none"/>
        </w:rPr>
        <w:t xml:space="preserve">, esto es, excluidas del cómputo tanto el voto como las acciones del enajenante. Esta restricción tendrá una vigencia de </w:t>
      </w:r>
      <w:r>
        <w:rPr>
          <w:rFonts w:ascii="Times New Roman" w:hAnsi="Times New Roman"/>
          <w:b/>
          <w:i w:val="0"/>
          <w:u w:val="none"/>
        </w:rPr>
        <w:t>diez (10) años</w:t>
      </w:r>
      <w:r>
        <w:rPr>
          <w:rFonts w:ascii="Times New Roman" w:hAnsi="Times New Roman"/>
          <w:b w:val="0"/>
          <w:i w:val="0"/>
          <w:u w:val="none"/>
        </w:rPr>
        <w:t xml:space="preserve"> contados desde la fecha de inscripción del presente documento en el registro mercantil, prorrogables por períodos adicionales no mayores de diez (10) años por voluntad unánime de la totalidad de los accionistas.</w:t>
      </w:r>
    </w:p>
    <w:p>
      <w:pPr>
        <w:keepNext/>
        <w:spacing w:before="240" w:after="80"/>
        <w:jc w:val="left"/>
      </w:pPr>
      <w:r>
        <w:rPr>
          <w:rFonts w:ascii="Times New Roman" w:hAnsi="Times New Roman"/>
          <w:b/>
          <w:i w:val="0"/>
          <w:sz w:val="24"/>
          <w:u w:val="none"/>
        </w:rPr>
        <w:t>Artículo 16 — Cambio de control en sociedad accionista</w:t>
      </w:r>
    </w:p>
    <w:p>
      <w:r>
        <w:rPr>
          <w:rFonts w:ascii="Times New Roman" w:hAnsi="Times New Roman"/>
          <w:b w:val="0"/>
          <w:i w:val="0"/>
          <w:u w:val="none"/>
        </w:rPr>
        <w:t xml:space="preserve">Cuando una sociedad adquiera la calidad de accionista de NOVA BIENESTAR INTEGRAL S.A.S., dicha sociedad deberá informar por escrito al representante legal, dentro de los cinco (5) días hábiles siguientes, todo </w:t>
      </w:r>
      <w:r>
        <w:rPr>
          <w:rFonts w:ascii="Times New Roman" w:hAnsi="Times New Roman"/>
          <w:b/>
          <w:i w:val="0"/>
          <w:u w:val="none"/>
        </w:rPr>
        <w:t>cambio de control</w:t>
      </w:r>
      <w:r>
        <w:rPr>
          <w:rFonts w:ascii="Times New Roman" w:hAnsi="Times New Roman"/>
          <w:b w:val="0"/>
          <w:i w:val="0"/>
          <w:u w:val="none"/>
        </w:rPr>
        <w:t xml:space="preserve"> que se produzca respecto de ella, en los términos del </w:t>
      </w:r>
      <w:r>
        <w:rPr>
          <w:rFonts w:ascii="Times New Roman" w:hAnsi="Times New Roman"/>
          <w:b/>
          <w:i w:val="0"/>
          <w:u w:val="none"/>
        </w:rPr>
        <w:t>artículo 16 de la Ley 1258 de 2008</w:t>
      </w:r>
      <w:r>
        <w:rPr>
          <w:rFonts w:ascii="Times New Roman" w:hAnsi="Times New Roman"/>
          <w:b w:val="0"/>
          <w:i w:val="0"/>
          <w:u w:val="none"/>
        </w:rPr>
        <w:t xml:space="preserve"> y del artículo 260 del Código de Comercio. La asamblea general de accionistas podrá, dentro de los treinta (30) días hábiles siguientes al recibo de la información, decidir la </w:t>
      </w:r>
      <w:r>
        <w:rPr>
          <w:rFonts w:ascii="Times New Roman" w:hAnsi="Times New Roman"/>
          <w:b/>
          <w:i w:val="0"/>
          <w:u w:val="none"/>
        </w:rPr>
        <w:t>exclusión</w:t>
      </w:r>
      <w:r>
        <w:rPr>
          <w:rFonts w:ascii="Times New Roman" w:hAnsi="Times New Roman"/>
          <w:b w:val="0"/>
          <w:i w:val="0"/>
          <w:u w:val="none"/>
        </w:rPr>
        <w:t xml:space="preserve"> de la sociedad accionista, con la mayoría y la base de cómputo previstas en el artículo 39 de estos estatutos, caso en el cual el reembolso de su participación se hará conforme al procedimiento previsto en el artículo 39 de la Ley 1258 de 2008. La omisión del deber de información dará lugar, además, a una </w:t>
      </w:r>
      <w:r>
        <w:rPr>
          <w:rFonts w:ascii="Times New Roman" w:hAnsi="Times New Roman"/>
          <w:b/>
          <w:i w:val="0"/>
          <w:u w:val="none"/>
        </w:rPr>
        <w:t>multa</w:t>
      </w:r>
      <w:r>
        <w:rPr>
          <w:rFonts w:ascii="Times New Roman" w:hAnsi="Times New Roman"/>
          <w:b w:val="0"/>
          <w:i w:val="0"/>
          <w:u w:val="none"/>
        </w:rPr>
        <w:t xml:space="preserve"> a favor de la sociedad equivalente hasta el veinte por ciento (20 %) del valor de las acciones de que sea titular la sociedad accionista.</w:t>
      </w:r>
    </w:p>
    <w:p>
      <w:pPr>
        <w:keepNext/>
        <w:spacing w:before="240" w:after="80"/>
        <w:jc w:val="left"/>
      </w:pPr>
      <w:r>
        <w:rPr>
          <w:rFonts w:ascii="Times New Roman" w:hAnsi="Times New Roman"/>
          <w:b/>
          <w:i w:val="0"/>
          <w:sz w:val="24"/>
          <w:u w:val="none"/>
        </w:rPr>
        <w:t>Artículo 17 — Aumento, disminución y demás reformas al capital</w:t>
      </w:r>
    </w:p>
    <w:p>
      <w:r>
        <w:rPr>
          <w:rFonts w:ascii="Times New Roman" w:hAnsi="Times New Roman"/>
          <w:b w:val="0"/>
          <w:i w:val="0"/>
          <w:u w:val="none"/>
        </w:rPr>
        <w:t xml:space="preserve">El </w:t>
      </w:r>
      <w:r>
        <w:rPr>
          <w:rFonts w:ascii="Times New Roman" w:hAnsi="Times New Roman"/>
          <w:b/>
          <w:i w:val="0"/>
          <w:u w:val="none"/>
        </w:rPr>
        <w:t>capital autorizado</w:t>
      </w:r>
      <w:r>
        <w:rPr>
          <w:rFonts w:ascii="Times New Roman" w:hAnsi="Times New Roman"/>
          <w:b w:val="0"/>
          <w:i w:val="0"/>
          <w:u w:val="none"/>
        </w:rPr>
        <w:t xml:space="preserve"> solo podrá aumentarse o disminuirse mediante </w:t>
      </w:r>
      <w:r>
        <w:rPr>
          <w:rFonts w:ascii="Times New Roman" w:hAnsi="Times New Roman"/>
          <w:b/>
          <w:i w:val="0"/>
          <w:u w:val="none"/>
        </w:rPr>
        <w:t>reforma estatutaria</w:t>
      </w:r>
      <w:r>
        <w:rPr>
          <w:rFonts w:ascii="Times New Roman" w:hAnsi="Times New Roman"/>
          <w:b w:val="0"/>
          <w:i w:val="0"/>
          <w:u w:val="none"/>
        </w:rPr>
        <w:t xml:space="preserve">, aprobada por la asamblea general de accionistas e inscrita en el registro mercantil. El </w:t>
      </w:r>
      <w:r>
        <w:rPr>
          <w:rFonts w:ascii="Times New Roman" w:hAnsi="Times New Roman"/>
          <w:b/>
          <w:i w:val="0"/>
          <w:u w:val="none"/>
        </w:rPr>
        <w:t>capital suscrito y pagado</w:t>
      </w:r>
      <w:r>
        <w:rPr>
          <w:rFonts w:ascii="Times New Roman" w:hAnsi="Times New Roman"/>
          <w:b w:val="0"/>
          <w:i w:val="0"/>
          <w:u w:val="none"/>
        </w:rPr>
        <w:t xml:space="preserve"> podrá aumentarse mediante la colocación de acciones en reserva, con sujeción al reglamento de suscripción que apruebe la asamblea general de accionistas, o al derecho de preferencia previsto en el artículo 13 de estos estatutos, sin que ello constituya reforma estatutaria cuando el aumento se produzca dentro del límite del capital autorizado.</w:t>
      </w:r>
    </w:p>
    <w:p>
      <w:r>
        <w:rPr>
          <w:rFonts w:ascii="Times New Roman" w:hAnsi="Times New Roman"/>
          <w:b/>
          <w:i w:val="0"/>
          <w:u w:val="none"/>
        </w:rPr>
        <w:t>Parágrafo.</w:t>
      </w:r>
      <w:r>
        <w:rPr>
          <w:rFonts w:ascii="Times New Roman" w:hAnsi="Times New Roman"/>
          <w:b w:val="0"/>
          <w:i w:val="0"/>
          <w:u w:val="none"/>
        </w:rPr>
        <w:t xml:space="preserve"> Toda disminución de capital que implique efectivo reembolso de aportes requerirá el cumplimiento de los requisitos previstos en el artículo 145 del Código de Comercio y, cuando corresponda, la autorización de la Superintendencia de Sociedades.</w:t>
      </w:r>
    </w:p>
    <w:p>
      <w:pPr>
        <w:keepNext/>
        <w:spacing w:before="320" w:after="160"/>
        <w:jc w:val="center"/>
      </w:pPr>
      <w:r>
        <w:rPr>
          <w:rFonts w:ascii="Times New Roman" w:hAnsi="Times New Roman"/>
          <w:b/>
          <w:i w:val="0"/>
          <w:sz w:val="24"/>
          <w:u w:val="none"/>
        </w:rPr>
        <w:t>CAPÍTULO III. ASAMBLEA GENERAL DE ACCIONISTAS</w:t>
      </w:r>
    </w:p>
    <w:p>
      <w:pPr>
        <w:keepNext/>
        <w:spacing w:before="240" w:after="80"/>
        <w:jc w:val="left"/>
      </w:pPr>
      <w:r>
        <w:rPr>
          <w:rFonts w:ascii="Times New Roman" w:hAnsi="Times New Roman"/>
          <w:b/>
          <w:i w:val="0"/>
          <w:sz w:val="24"/>
          <w:u w:val="none"/>
        </w:rPr>
        <w:t>Artículo 18 — Composición y naturaleza</w:t>
      </w:r>
    </w:p>
    <w:p>
      <w:r>
        <w:rPr>
          <w:rFonts w:ascii="Times New Roman" w:hAnsi="Times New Roman"/>
          <w:b w:val="0"/>
          <w:i w:val="0"/>
          <w:u w:val="none"/>
        </w:rPr>
        <w:t xml:space="preserve">La </w:t>
      </w:r>
      <w:r>
        <w:rPr>
          <w:rFonts w:ascii="Times New Roman" w:hAnsi="Times New Roman"/>
          <w:b/>
          <w:i w:val="0"/>
          <w:u w:val="none"/>
        </w:rPr>
        <w:t>asamblea general de accionistas</w:t>
      </w:r>
      <w:r>
        <w:rPr>
          <w:rFonts w:ascii="Times New Roman" w:hAnsi="Times New Roman"/>
          <w:b w:val="0"/>
          <w:i w:val="0"/>
          <w:u w:val="none"/>
        </w:rPr>
        <w:t xml:space="preserve"> es el máximo órgano social y estará integrada por los accionistas inscritos en el libro de registro de accionistas, reunidos con el quórum y en las condiciones previstas en estos estatutos. Sus decisiones, adoptadas conforme a la ley y a los estatutos, obligan a todos los accionistas, incluso a los ausentes y disidentes, siempre que tengan carácter general.</w:t>
      </w:r>
    </w:p>
    <w:p>
      <w:pPr>
        <w:keepNext/>
        <w:spacing w:before="240" w:after="80"/>
        <w:jc w:val="left"/>
      </w:pPr>
      <w:r>
        <w:rPr>
          <w:rFonts w:ascii="Times New Roman" w:hAnsi="Times New Roman"/>
          <w:b/>
          <w:i w:val="0"/>
          <w:sz w:val="24"/>
          <w:u w:val="none"/>
        </w:rPr>
        <w:t>Artículo 19 — Reuniones ordinarias y extraordinarias</w:t>
      </w:r>
    </w:p>
    <w:p>
      <w:r>
        <w:rPr>
          <w:rFonts w:ascii="Times New Roman" w:hAnsi="Times New Roman"/>
          <w:b w:val="0"/>
          <w:i w:val="0"/>
          <w:u w:val="none"/>
        </w:rPr>
        <w:t xml:space="preserve">La asamblea general de accionistas se reunirá </w:t>
      </w:r>
      <w:r>
        <w:rPr>
          <w:rFonts w:ascii="Times New Roman" w:hAnsi="Times New Roman"/>
          <w:b/>
          <w:i w:val="0"/>
          <w:u w:val="none"/>
        </w:rPr>
        <w:t>ordinariamente</w:t>
      </w:r>
      <w:r>
        <w:rPr>
          <w:rFonts w:ascii="Times New Roman" w:hAnsi="Times New Roman"/>
          <w:b w:val="0"/>
          <w:i w:val="0"/>
          <w:u w:val="none"/>
        </w:rPr>
        <w:t xml:space="preserve"> por lo menos una (1) vez al año, dentro de los </w:t>
      </w:r>
      <w:r>
        <w:rPr>
          <w:rFonts w:ascii="Times New Roman" w:hAnsi="Times New Roman"/>
          <w:b/>
          <w:i w:val="0"/>
          <w:u w:val="none"/>
        </w:rPr>
        <w:t>tres (3) primeros meses</w:t>
      </w:r>
      <w:r>
        <w:rPr>
          <w:rFonts w:ascii="Times New Roman" w:hAnsi="Times New Roman"/>
          <w:b w:val="0"/>
          <w:i w:val="0"/>
          <w:u w:val="none"/>
        </w:rPr>
        <w:t xml:space="preserve"> siguientes al vencimiento del ejercicio social, con el objeto de examinar la situación de la sociedad, designar administradores, determinar las directrices económicas, considerar los estados financieros de fin de ejercicio, resolver sobre la distribución de utilidades y acordar las medidas conducentes a asegurar el cumplimiento del objeto social. Si no fuere convocada, se reunirá por derecho propio el </w:t>
      </w:r>
      <w:r>
        <w:rPr>
          <w:rFonts w:ascii="Times New Roman" w:hAnsi="Times New Roman"/>
          <w:b/>
          <w:i w:val="0"/>
          <w:u w:val="none"/>
        </w:rPr>
        <w:t>primer día hábil del mes de abril</w:t>
      </w:r>
      <w:r>
        <w:rPr>
          <w:rFonts w:ascii="Times New Roman" w:hAnsi="Times New Roman"/>
          <w:b w:val="0"/>
          <w:i w:val="0"/>
          <w:u w:val="none"/>
        </w:rPr>
        <w:t>, a las diez de la mañana (10:00 a. m.), en las oficinas del domicilio principal donde funcione la administración.</w:t>
      </w:r>
    </w:p>
    <w:p>
      <w:r>
        <w:rPr>
          <w:rFonts w:ascii="Times New Roman" w:hAnsi="Times New Roman"/>
          <w:b w:val="0"/>
          <w:i w:val="0"/>
          <w:u w:val="none"/>
        </w:rPr>
        <w:t xml:space="preserve">La asamblea se reunirá </w:t>
      </w:r>
      <w:r>
        <w:rPr>
          <w:rFonts w:ascii="Times New Roman" w:hAnsi="Times New Roman"/>
          <w:b/>
          <w:i w:val="0"/>
          <w:u w:val="none"/>
        </w:rPr>
        <w:t>extraordinariamente</w:t>
      </w:r>
      <w:r>
        <w:rPr>
          <w:rFonts w:ascii="Times New Roman" w:hAnsi="Times New Roman"/>
          <w:b w:val="0"/>
          <w:i w:val="0"/>
          <w:u w:val="none"/>
        </w:rPr>
        <w:t xml:space="preserve"> cuando lo exijan las necesidades imprevistas o urgentes de la sociedad, por convocatoria del representante legal, o a solicitud de accionistas que representen por lo menos el </w:t>
      </w:r>
      <w:r>
        <w:rPr>
          <w:rFonts w:ascii="Times New Roman" w:hAnsi="Times New Roman"/>
          <w:b/>
          <w:i w:val="0"/>
          <w:u w:val="none"/>
        </w:rPr>
        <w:t>veinte por ciento (20 %)</w:t>
      </w:r>
      <w:r>
        <w:rPr>
          <w:rFonts w:ascii="Times New Roman" w:hAnsi="Times New Roman"/>
          <w:b w:val="0"/>
          <w:i w:val="0"/>
          <w:u w:val="none"/>
        </w:rPr>
        <w:t xml:space="preserve"> de las acciones suscritas.</w:t>
      </w:r>
    </w:p>
    <w:p>
      <w:pPr>
        <w:keepNext/>
        <w:spacing w:before="240" w:after="80"/>
        <w:jc w:val="left"/>
      </w:pPr>
      <w:r>
        <w:rPr>
          <w:rFonts w:ascii="Times New Roman" w:hAnsi="Times New Roman"/>
          <w:b/>
          <w:i w:val="0"/>
          <w:sz w:val="24"/>
          <w:u w:val="none"/>
        </w:rPr>
        <w:t>Artículo 20 — Convocatoria</w:t>
      </w:r>
    </w:p>
    <w:p>
      <w:r>
        <w:rPr>
          <w:rFonts w:ascii="Times New Roman" w:hAnsi="Times New Roman"/>
          <w:b w:val="0"/>
          <w:i w:val="0"/>
          <w:u w:val="none"/>
        </w:rPr>
        <w:t xml:space="preserve">La convocatoria a las reuniones de la asamblea general de accionistas será efectuada por el </w:t>
      </w:r>
      <w:r>
        <w:rPr>
          <w:rFonts w:ascii="Times New Roman" w:hAnsi="Times New Roman"/>
          <w:b/>
          <w:i w:val="0"/>
          <w:u w:val="none"/>
        </w:rPr>
        <w:t>representante legal</w:t>
      </w:r>
      <w:r>
        <w:rPr>
          <w:rFonts w:ascii="Times New Roman" w:hAnsi="Times New Roman"/>
          <w:b w:val="0"/>
          <w:i w:val="0"/>
          <w:u w:val="none"/>
        </w:rPr>
        <w:t xml:space="preserve"> mediante comunicación escrita dirigida a cada accionista a la dirección de correo electrónico o a la dirección física registrada en el libro de registro de accionistas, con una antelación mínima de </w:t>
      </w:r>
      <w:r>
        <w:rPr>
          <w:rFonts w:ascii="Times New Roman" w:hAnsi="Times New Roman"/>
          <w:b/>
          <w:i w:val="0"/>
          <w:u w:val="none"/>
        </w:rPr>
        <w:t>cinco (5) días hábiles</w:t>
      </w:r>
      <w:r>
        <w:rPr>
          <w:rFonts w:ascii="Times New Roman" w:hAnsi="Times New Roman"/>
          <w:b w:val="0"/>
          <w:i w:val="0"/>
          <w:u w:val="none"/>
        </w:rPr>
        <w:t xml:space="preserve">, de conformidad con el artículo 20 de la Ley 1258 de 2008. En el aviso de convocatoria deberá insertarse el </w:t>
      </w:r>
      <w:r>
        <w:rPr>
          <w:rFonts w:ascii="Times New Roman" w:hAnsi="Times New Roman"/>
          <w:b/>
          <w:i w:val="0"/>
          <w:u w:val="none"/>
        </w:rPr>
        <w:t>orden del día</w:t>
      </w:r>
      <w:r>
        <w:rPr>
          <w:rFonts w:ascii="Times New Roman" w:hAnsi="Times New Roman"/>
          <w:b w:val="0"/>
          <w:i w:val="0"/>
          <w:u w:val="none"/>
        </w:rPr>
        <w:t xml:space="preserve"> cuando se trate de reuniones extraordinarias.</w:t>
      </w:r>
    </w:p>
    <w:p>
      <w:r>
        <w:rPr>
          <w:rFonts w:ascii="Times New Roman" w:hAnsi="Times New Roman"/>
          <w:b/>
          <w:i w:val="0"/>
          <w:u w:val="none"/>
        </w:rPr>
        <w:t>Parágrafo primero.</w:t>
      </w:r>
      <w:r>
        <w:rPr>
          <w:rFonts w:ascii="Times New Roman" w:hAnsi="Times New Roman"/>
          <w:b w:val="0"/>
          <w:i w:val="0"/>
          <w:u w:val="none"/>
        </w:rPr>
        <w:t xml:space="preserve"> Cuando hayan de aprobarse </w:t>
      </w:r>
      <w:r>
        <w:rPr>
          <w:rFonts w:ascii="Times New Roman" w:hAnsi="Times New Roman"/>
          <w:b/>
          <w:i w:val="0"/>
          <w:u w:val="none"/>
        </w:rPr>
        <w:t>estados financieros de fin de ejercicio</w:t>
      </w:r>
      <w:r>
        <w:rPr>
          <w:rFonts w:ascii="Times New Roman" w:hAnsi="Times New Roman"/>
          <w:b w:val="0"/>
          <w:i w:val="0"/>
          <w:u w:val="none"/>
        </w:rPr>
        <w:t xml:space="preserve"> o considerarse una </w:t>
      </w:r>
      <w:r>
        <w:rPr>
          <w:rFonts w:ascii="Times New Roman" w:hAnsi="Times New Roman"/>
          <w:b/>
          <w:i w:val="0"/>
          <w:u w:val="none"/>
        </w:rPr>
        <w:t>transformación, fusión, escisión</w:t>
      </w:r>
      <w:r>
        <w:rPr>
          <w:rFonts w:ascii="Times New Roman" w:hAnsi="Times New Roman"/>
          <w:b w:val="0"/>
          <w:i w:val="0"/>
          <w:u w:val="none"/>
        </w:rPr>
        <w:t xml:space="preserve"> o cualquier operación que dé lugar al derecho de retiro, la convocatoria se hará con una antelación no inferior a </w:t>
      </w:r>
      <w:r>
        <w:rPr>
          <w:rFonts w:ascii="Times New Roman" w:hAnsi="Times New Roman"/>
          <w:b/>
          <w:i w:val="0"/>
          <w:u w:val="none"/>
        </w:rPr>
        <w:t>quince (15) días hábiles</w:t>
      </w:r>
      <w:r>
        <w:rPr>
          <w:rFonts w:ascii="Times New Roman" w:hAnsi="Times New Roman"/>
          <w:b w:val="0"/>
          <w:i w:val="0"/>
          <w:u w:val="none"/>
        </w:rPr>
        <w:t>, término durante el cual los accionistas podrán ejercer el derecho de inspección.</w:t>
      </w:r>
    </w:p>
    <w:p>
      <w:r>
        <w:rPr>
          <w:rFonts w:ascii="Times New Roman" w:hAnsi="Times New Roman"/>
          <w:b/>
          <w:i w:val="0"/>
          <w:u w:val="none"/>
        </w:rPr>
        <w:t>Parágrafo segundo.</w:t>
      </w:r>
      <w:r>
        <w:rPr>
          <w:rFonts w:ascii="Times New Roman" w:hAnsi="Times New Roman"/>
          <w:b w:val="0"/>
          <w:i w:val="0"/>
          <w:u w:val="none"/>
        </w:rPr>
        <w:t xml:space="preserve"> Los accionistas podrán </w:t>
      </w:r>
      <w:r>
        <w:rPr>
          <w:rFonts w:ascii="Times New Roman" w:hAnsi="Times New Roman"/>
          <w:b/>
          <w:i w:val="0"/>
          <w:u w:val="none"/>
        </w:rPr>
        <w:t>renunciar</w:t>
      </w:r>
      <w:r>
        <w:rPr>
          <w:rFonts w:ascii="Times New Roman" w:hAnsi="Times New Roman"/>
          <w:b w:val="0"/>
          <w:i w:val="0"/>
          <w:u w:val="none"/>
        </w:rPr>
        <w:t xml:space="preserve"> a su derecho a ser convocados a una reunión determinada, mediante comunicación escrita enviada al representante legal antes, durante o después de la sesión. Los accionistas que asistan a la reunión podrán renunciar a este derecho, y también al derecho de inspección, respecto de la sesión de que se trate, salvo que manifiesten lo contrario antes de que la reunión termine, conforme al artículo 21 de la Ley 1258 de 2008.</w:t>
      </w:r>
    </w:p>
    <w:p>
      <w:r>
        <w:rPr>
          <w:rFonts w:ascii="Times New Roman" w:hAnsi="Times New Roman"/>
          <w:b/>
          <w:i w:val="0"/>
          <w:u w:val="none"/>
        </w:rPr>
        <w:t>Parágrafo tercero.</w:t>
      </w:r>
      <w:r>
        <w:rPr>
          <w:rFonts w:ascii="Times New Roman" w:hAnsi="Times New Roman"/>
          <w:b w:val="0"/>
          <w:i w:val="0"/>
          <w:u w:val="none"/>
        </w:rPr>
        <w:t xml:space="preserve"> Habrá </w:t>
      </w:r>
      <w:r>
        <w:rPr>
          <w:rFonts w:ascii="Times New Roman" w:hAnsi="Times New Roman"/>
          <w:b/>
          <w:i w:val="0"/>
          <w:u w:val="none"/>
        </w:rPr>
        <w:t>reunión universal</w:t>
      </w:r>
      <w:r>
        <w:rPr>
          <w:rFonts w:ascii="Times New Roman" w:hAnsi="Times New Roman"/>
          <w:b w:val="0"/>
          <w:i w:val="0"/>
          <w:u w:val="none"/>
        </w:rPr>
        <w:t>, sin necesidad de convocatoria previa, cuando se encuentre presente o debidamente representada la totalidad de las acciones suscritas, en cualquier lugar del territorio nacional o del exterior, conforme al artículo 426 del Código de Comercio.</w:t>
      </w:r>
    </w:p>
    <w:p>
      <w:pPr>
        <w:keepNext/>
        <w:spacing w:before="240" w:after="80"/>
        <w:jc w:val="left"/>
      </w:pPr>
      <w:r>
        <w:rPr>
          <w:rFonts w:ascii="Times New Roman" w:hAnsi="Times New Roman"/>
          <w:b/>
          <w:i w:val="0"/>
          <w:sz w:val="24"/>
          <w:u w:val="none"/>
        </w:rPr>
        <w:t>Artículo 21 — Reuniones no presenciales y voto por escrito</w:t>
      </w:r>
    </w:p>
    <w:p>
      <w:r>
        <w:rPr>
          <w:rFonts w:ascii="Times New Roman" w:hAnsi="Times New Roman"/>
          <w:b w:val="0"/>
          <w:i w:val="0"/>
          <w:u w:val="none"/>
        </w:rPr>
        <w:t xml:space="preserve">Se podrán realizar </w:t>
      </w:r>
      <w:r>
        <w:rPr>
          <w:rFonts w:ascii="Times New Roman" w:hAnsi="Times New Roman"/>
          <w:b/>
          <w:i w:val="0"/>
          <w:u w:val="none"/>
        </w:rPr>
        <w:t>reuniones no presenciales</w:t>
      </w:r>
      <w:r>
        <w:rPr>
          <w:rFonts w:ascii="Times New Roman" w:hAnsi="Times New Roman"/>
          <w:b w:val="0"/>
          <w:i w:val="0"/>
          <w:u w:val="none"/>
        </w:rPr>
        <w:t xml:space="preserve"> de la asamblea general de accionistas y adoptar decisiones mediante </w:t>
      </w:r>
      <w:r>
        <w:rPr>
          <w:rFonts w:ascii="Times New Roman" w:hAnsi="Times New Roman"/>
          <w:b/>
          <w:i w:val="0"/>
          <w:u w:val="none"/>
        </w:rPr>
        <w:t>voto por escrito</w:t>
      </w:r>
      <w:r>
        <w:rPr>
          <w:rFonts w:ascii="Times New Roman" w:hAnsi="Times New Roman"/>
          <w:b w:val="0"/>
          <w:i w:val="0"/>
          <w:u w:val="none"/>
        </w:rPr>
        <w:t>, en los términos de los artículos 19 de la Ley 1258 de 2008 y 19, 20 y 21 de la Ley 222 de 1995, así como de la Ley 2069 de 2020. Para tal efecto, bastará la utilización de cualquier medio de comunicación simultánea o sucesiva —videoconferencia, telefonía, correo electrónico o plataformas digitales— que permita a la totalidad de los accionistas deliberar y decidir por comunicación simultánea o sucesiva. En el caso del voto por escrito, la decisión será válida cuando la totalidad de los accionistas expresen el sentido de su voto, aunque lo hagan en documentos separados, siempre que estos sean recibidos por el representante legal dentro del mes siguiente a la primera comunicación recibida.</w:t>
      </w:r>
    </w:p>
    <w:p>
      <w:pPr>
        <w:keepNext/>
        <w:spacing w:before="240" w:after="80"/>
        <w:jc w:val="left"/>
      </w:pPr>
      <w:r>
        <w:rPr>
          <w:rFonts w:ascii="Times New Roman" w:hAnsi="Times New Roman"/>
          <w:b/>
          <w:i w:val="0"/>
          <w:sz w:val="24"/>
          <w:u w:val="none"/>
        </w:rPr>
        <w:t>Artículo 22 — Representación de los accionistas</w:t>
      </w:r>
    </w:p>
    <w:p>
      <w:r>
        <w:rPr>
          <w:rFonts w:ascii="Times New Roman" w:hAnsi="Times New Roman"/>
          <w:b w:val="0"/>
          <w:i w:val="0"/>
          <w:u w:val="none"/>
        </w:rPr>
        <w:t xml:space="preserve">Los accionistas podrán hacerse representar en las reuniones de la asamblea mediante </w:t>
      </w:r>
      <w:r>
        <w:rPr>
          <w:rFonts w:ascii="Times New Roman" w:hAnsi="Times New Roman"/>
          <w:b/>
          <w:i w:val="0"/>
          <w:u w:val="none"/>
        </w:rPr>
        <w:t>poder otorgado por escrito</w:t>
      </w:r>
      <w:r>
        <w:rPr>
          <w:rFonts w:ascii="Times New Roman" w:hAnsi="Times New Roman"/>
          <w:b w:val="0"/>
          <w:i w:val="0"/>
          <w:u w:val="none"/>
        </w:rPr>
        <w:t xml:space="preserve">, en el que se indique el nombre del apoderado, la persona en quien este puede sustituirlo, si es del caso, y la fecha o época de la reunión para la cual se confiere. El poder podrá comprender dos o más reuniones. No se aplicará a esta sociedad la prohibición contenida en el artículo 185 del Código de Comercio, en virtud de lo dispuesto en el </w:t>
      </w:r>
      <w:r>
        <w:rPr>
          <w:rFonts w:ascii="Times New Roman" w:hAnsi="Times New Roman"/>
          <w:b/>
          <w:i w:val="0"/>
          <w:u w:val="none"/>
        </w:rPr>
        <w:t>artículo 38 de la Ley 1258 de 2008</w:t>
      </w:r>
      <w:r>
        <w:rPr>
          <w:rFonts w:ascii="Times New Roman" w:hAnsi="Times New Roman"/>
          <w:b w:val="0"/>
          <w:i w:val="0"/>
          <w:u w:val="none"/>
        </w:rPr>
        <w:t>.</w:t>
      </w:r>
    </w:p>
    <w:p>
      <w:pPr>
        <w:keepNext/>
        <w:spacing w:before="240" w:after="80"/>
        <w:jc w:val="left"/>
      </w:pPr>
      <w:r>
        <w:rPr>
          <w:rFonts w:ascii="Times New Roman" w:hAnsi="Times New Roman"/>
          <w:b/>
          <w:i w:val="0"/>
          <w:sz w:val="24"/>
          <w:u w:val="none"/>
        </w:rPr>
        <w:t>Artículo 23 — Quórum deliberatorio y mayorías decisorias</w:t>
      </w:r>
    </w:p>
    <w:p>
      <w:r>
        <w:rPr>
          <w:rFonts w:ascii="Times New Roman" w:hAnsi="Times New Roman"/>
          <w:b w:val="0"/>
          <w:i w:val="0"/>
          <w:u w:val="none"/>
        </w:rPr>
        <w:t xml:space="preserve">La asamblea general de accionistas </w:t>
      </w:r>
      <w:r>
        <w:rPr>
          <w:rFonts w:ascii="Times New Roman" w:hAnsi="Times New Roman"/>
          <w:b/>
          <w:i w:val="0"/>
          <w:u w:val="none"/>
        </w:rPr>
        <w:t>deliberará</w:t>
      </w:r>
      <w:r>
        <w:rPr>
          <w:rFonts w:ascii="Times New Roman" w:hAnsi="Times New Roman"/>
          <w:b w:val="0"/>
          <w:i w:val="0"/>
          <w:u w:val="none"/>
        </w:rPr>
        <w:t xml:space="preserve"> con uno o varios accionistas que representen cuando menos la </w:t>
      </w:r>
      <w:r>
        <w:rPr>
          <w:rFonts w:ascii="Times New Roman" w:hAnsi="Times New Roman"/>
          <w:b/>
          <w:i w:val="0"/>
          <w:u w:val="none"/>
        </w:rPr>
        <w:t>mitad más una de las acciones suscritas</w:t>
      </w:r>
      <w:r>
        <w:rPr>
          <w:rFonts w:ascii="Times New Roman" w:hAnsi="Times New Roman"/>
          <w:b w:val="0"/>
          <w:i w:val="0"/>
          <w:u w:val="none"/>
        </w:rPr>
        <w:t xml:space="preserve">. Las decisiones se adoptarán con el voto favorable de </w:t>
      </w:r>
      <w:r>
        <w:rPr>
          <w:rFonts w:ascii="Times New Roman" w:hAnsi="Times New Roman"/>
          <w:b/>
          <w:i w:val="0"/>
          <w:u w:val="none"/>
        </w:rPr>
        <w:t>un número singular o plural de accionistas que represente cuando menos la mitad más una de las acciones presentes</w:t>
      </w:r>
      <w:r>
        <w:rPr>
          <w:rFonts w:ascii="Times New Roman" w:hAnsi="Times New Roman"/>
          <w:b w:val="0"/>
          <w:i w:val="0"/>
          <w:u w:val="none"/>
        </w:rPr>
        <w:t xml:space="preserve"> en la respectiva reunión, de conformidad con el artículo 22 de la Ley 1258 de 2008.</w:t>
      </w:r>
    </w:p>
    <w:p>
      <w:r>
        <w:rPr>
          <w:rFonts w:ascii="Times New Roman" w:hAnsi="Times New Roman"/>
          <w:b/>
          <w:i w:val="0"/>
          <w:u w:val="none"/>
        </w:rPr>
        <w:t>Parágrafo primero.</w:t>
      </w:r>
      <w:r>
        <w:rPr>
          <w:rFonts w:ascii="Times New Roman" w:hAnsi="Times New Roman"/>
          <w:b w:val="0"/>
          <w:i w:val="0"/>
          <w:u w:val="none"/>
        </w:rPr>
        <w:t xml:space="preserve"> Requerirán el voto favorable de accionistas titulares de por lo menos el </w:t>
      </w:r>
      <w:r>
        <w:rPr>
          <w:rFonts w:ascii="Times New Roman" w:hAnsi="Times New Roman"/>
          <w:b/>
          <w:i w:val="0"/>
          <w:u w:val="none"/>
        </w:rPr>
        <w:t>setenta por ciento (70 %) de las acciones suscritas</w:t>
      </w:r>
      <w:r>
        <w:rPr>
          <w:rFonts w:ascii="Times New Roman" w:hAnsi="Times New Roman"/>
          <w:b w:val="0"/>
          <w:i w:val="0"/>
          <w:u w:val="none"/>
        </w:rPr>
        <w:t xml:space="preserve"> las siguientes decisiones: (i) las reformas estatutarias que impliquen aumento o disminución del capital autorizado; (ii) la transformación, fusión o escisión de la sociedad; (iii) la enajenación de la totalidad o de una parte sustancial de los activos sociales; (iv) la constitución de gravámenes sobre bienes inmuebles de la sociedad; (v) la autorización para la transferencia de acciones a terceros de que trata el artículo 15 de estos estatutos; y (vi) la disolución anticipada de la sociedad.</w:t>
      </w:r>
    </w:p>
    <w:p>
      <w:r>
        <w:rPr>
          <w:rFonts w:ascii="Times New Roman" w:hAnsi="Times New Roman"/>
          <w:b/>
          <w:i w:val="0"/>
          <w:u w:val="none"/>
        </w:rPr>
        <w:t>Parágrafo segundo.</w:t>
      </w:r>
      <w:r>
        <w:rPr>
          <w:rFonts w:ascii="Times New Roman" w:hAnsi="Times New Roman"/>
          <w:b w:val="0"/>
          <w:i w:val="0"/>
          <w:u w:val="none"/>
        </w:rPr>
        <w:t xml:space="preserve"> Requerirán la </w:t>
      </w:r>
      <w:r>
        <w:rPr>
          <w:rFonts w:ascii="Times New Roman" w:hAnsi="Times New Roman"/>
          <w:b/>
          <w:i w:val="0"/>
          <w:u w:val="none"/>
        </w:rPr>
        <w:t>aprobación unánime</w:t>
      </w:r>
      <w:r>
        <w:rPr>
          <w:rFonts w:ascii="Times New Roman" w:hAnsi="Times New Roman"/>
          <w:b w:val="0"/>
          <w:i w:val="0"/>
          <w:u w:val="none"/>
        </w:rPr>
        <w:t xml:space="preserve"> de la totalidad de los accionistas titulares del cien por ciento (100 %) de las acciones suscritas: (i) la introducción, modificación o supresión de cláusulas que consagren restricciones a la negociación de acciones, la exclusión de accionistas, causales de disolución no previstas en la ley, o el sometimiento a arbitramento de las diferencias sociales, en los términos del </w:t>
      </w:r>
      <w:r>
        <w:rPr>
          <w:rFonts w:ascii="Times New Roman" w:hAnsi="Times New Roman"/>
          <w:b/>
          <w:i w:val="0"/>
          <w:u w:val="none"/>
        </w:rPr>
        <w:t>artículo 41 de la Ley 1258 de 2008</w:t>
      </w:r>
      <w:r>
        <w:rPr>
          <w:rFonts w:ascii="Times New Roman" w:hAnsi="Times New Roman"/>
          <w:b w:val="0"/>
          <w:i w:val="0"/>
          <w:u w:val="none"/>
        </w:rPr>
        <w:t>; y (ii) la modificación de la cláusula de objeto social que amplíe la actividad a sectores económicos distintos de los indicados en el artículo 4.º de estos estatutos.</w:t>
      </w:r>
    </w:p>
    <w:p>
      <w:r>
        <w:rPr>
          <w:rFonts w:ascii="Times New Roman" w:hAnsi="Times New Roman"/>
          <w:b/>
          <w:i w:val="0"/>
          <w:u w:val="none"/>
        </w:rPr>
        <w:t>Parágrafo tercero.</w:t>
      </w:r>
      <w:r>
        <w:rPr>
          <w:rFonts w:ascii="Times New Roman" w:hAnsi="Times New Roman"/>
          <w:b w:val="0"/>
          <w:i w:val="0"/>
          <w:u w:val="none"/>
        </w:rPr>
        <w:t xml:space="preserve"> Las determinaciones adoptadas con el voto favorable de un número singular o plural de accionistas que represente cuando menos la mitad más una de las acciones presentes serán ineficaces cuando tengan por objeto o efecto </w:t>
      </w:r>
      <w:r>
        <w:rPr>
          <w:rFonts w:ascii="Times New Roman" w:hAnsi="Times New Roman"/>
          <w:b/>
          <w:i w:val="0"/>
          <w:u w:val="none"/>
        </w:rPr>
        <w:t>defraudar, perjudicar o abusar del derecho</w:t>
      </w:r>
      <w:r>
        <w:rPr>
          <w:rFonts w:ascii="Times New Roman" w:hAnsi="Times New Roman"/>
          <w:b w:val="0"/>
          <w:i w:val="0"/>
          <w:u w:val="none"/>
        </w:rPr>
        <w:t xml:space="preserve"> de los demás accionistas, en los términos del </w:t>
      </w:r>
      <w:r>
        <w:rPr>
          <w:rFonts w:ascii="Times New Roman" w:hAnsi="Times New Roman"/>
          <w:b/>
          <w:i w:val="0"/>
          <w:u w:val="none"/>
        </w:rPr>
        <w:t>artículo 43 de la Ley 1258 de 2008</w:t>
      </w:r>
      <w:r>
        <w:rPr>
          <w:rFonts w:ascii="Times New Roman" w:hAnsi="Times New Roman"/>
          <w:b w:val="0"/>
          <w:i w:val="0"/>
          <w:u w:val="none"/>
        </w:rPr>
        <w:t>, sin perjuicio de la acción indemnizatoria a que haya lugar.</w:t>
      </w:r>
    </w:p>
    <w:p>
      <w:pPr>
        <w:keepNext/>
        <w:spacing w:before="240" w:after="80"/>
        <w:jc w:val="left"/>
      </w:pPr>
      <w:r>
        <w:rPr>
          <w:rFonts w:ascii="Times New Roman" w:hAnsi="Times New Roman"/>
          <w:b/>
          <w:i w:val="0"/>
          <w:sz w:val="24"/>
          <w:u w:val="none"/>
        </w:rPr>
        <w:t>Artículo 24 — Actas</w:t>
      </w:r>
    </w:p>
    <w:p>
      <w:r>
        <w:rPr>
          <w:rFonts w:ascii="Times New Roman" w:hAnsi="Times New Roman"/>
          <w:b w:val="0"/>
          <w:i w:val="0"/>
          <w:u w:val="none"/>
        </w:rPr>
        <w:t xml:space="preserve">De todas las reuniones de la asamblea general de accionistas se levantará un </w:t>
      </w:r>
      <w:r>
        <w:rPr>
          <w:rFonts w:ascii="Times New Roman" w:hAnsi="Times New Roman"/>
          <w:b/>
          <w:i w:val="0"/>
          <w:u w:val="none"/>
        </w:rPr>
        <w:t>acta</w:t>
      </w:r>
      <w:r>
        <w:rPr>
          <w:rFonts w:ascii="Times New Roman" w:hAnsi="Times New Roman"/>
          <w:b w:val="0"/>
          <w:i w:val="0"/>
          <w:u w:val="none"/>
        </w:rPr>
        <w:t>, la cual se asentará en el libro de actas debidamente registrado ante la Cámara de Comercio de Medellín para Antioquia. Las actas deberán contener las menciones previstas en el artículo 189 del Código de Comercio y serán firmadas por el presidente y el secretario de la reunión o, en su defecto, por el revisor fiscal si lo hubiere. Copia autorizada de las actas que contengan actos sujetos a registro será inscrita en el registro mercantil.</w:t>
      </w:r>
    </w:p>
    <w:p>
      <w:pPr>
        <w:keepNext/>
        <w:spacing w:before="240" w:after="80"/>
        <w:jc w:val="left"/>
      </w:pPr>
      <w:r>
        <w:rPr>
          <w:rFonts w:ascii="Times New Roman" w:hAnsi="Times New Roman"/>
          <w:b/>
          <w:i w:val="0"/>
          <w:sz w:val="24"/>
          <w:u w:val="none"/>
        </w:rPr>
        <w:t>Artículo 25 — Funciones de la asamblea general de accionistas</w:t>
      </w:r>
    </w:p>
    <w:p>
      <w:r>
        <w:rPr>
          <w:rFonts w:ascii="Times New Roman" w:hAnsi="Times New Roman"/>
          <w:b w:val="0"/>
          <w:i w:val="0"/>
          <w:u w:val="none"/>
        </w:rPr>
        <w:t>Son funciones de la asamblea general de accionistas:</w:t>
      </w:r>
    </w:p>
    <w:p>
      <w:pPr>
        <w:ind w:left="567" w:hanging="567"/>
      </w:pPr>
      <w:r>
        <w:rPr>
          <w:rFonts w:ascii="Times New Roman" w:hAnsi="Times New Roman"/>
          <w:b w:val="0"/>
          <w:i w:val="0"/>
          <w:u w:val="none"/>
        </w:rPr>
        <w:t>1. Aprobar las reformas de los estatutos sociales.</w:t>
      </w:r>
    </w:p>
    <w:p>
      <w:pPr>
        <w:ind w:left="567" w:hanging="567"/>
      </w:pPr>
      <w:r>
        <w:rPr>
          <w:rFonts w:ascii="Times New Roman" w:hAnsi="Times New Roman"/>
          <w:b w:val="0"/>
          <w:i w:val="0"/>
          <w:u w:val="none"/>
        </w:rPr>
        <w:t>2. Designar y remover libremente al representante legal principal y a su suplente, y fijar su remuneración.</w:t>
      </w:r>
    </w:p>
    <w:p>
      <w:pPr>
        <w:ind w:left="567" w:hanging="567"/>
      </w:pPr>
      <w:r>
        <w:rPr>
          <w:rFonts w:ascii="Times New Roman" w:hAnsi="Times New Roman"/>
          <w:b w:val="0"/>
          <w:i w:val="0"/>
          <w:u w:val="none"/>
        </w:rPr>
        <w:t>3. Designar y remover al revisor fiscal, cuando su nombramiento sea obligatorio o cuando la asamblea decida proveerlo voluntariamente, y fijar sus honorarios.</w:t>
      </w:r>
    </w:p>
    <w:p>
      <w:pPr>
        <w:ind w:left="567" w:hanging="567"/>
      </w:pPr>
      <w:r>
        <w:rPr>
          <w:rFonts w:ascii="Times New Roman" w:hAnsi="Times New Roman"/>
          <w:b w:val="0"/>
          <w:i w:val="0"/>
          <w:u w:val="none"/>
        </w:rPr>
        <w:t>4. Examinar, aprobar o improbar los estados financieros de fin de ejercicio y las cuentas que deben rendir los administradores.</w:t>
      </w:r>
    </w:p>
    <w:p>
      <w:pPr>
        <w:ind w:left="567" w:hanging="567"/>
      </w:pPr>
      <w:r>
        <w:rPr>
          <w:rFonts w:ascii="Times New Roman" w:hAnsi="Times New Roman"/>
          <w:b w:val="0"/>
          <w:i w:val="0"/>
          <w:u w:val="none"/>
        </w:rPr>
        <w:t>5. Disponer de las utilidades sociales conforme a estos estatutos y a la ley, decretando la distribución de dividendos y la constitución de reservas.</w:t>
      </w:r>
    </w:p>
    <w:p>
      <w:pPr>
        <w:ind w:left="567" w:hanging="567"/>
      </w:pPr>
      <w:r>
        <w:rPr>
          <w:rFonts w:ascii="Times New Roman" w:hAnsi="Times New Roman"/>
          <w:b w:val="0"/>
          <w:i w:val="0"/>
          <w:u w:val="none"/>
        </w:rPr>
        <w:t>6. Aprobar los reglamentos de suscripción y colocación de acciones y decidir sobre la colocación de acciones sin sujeción al derecho de preferencia.</w:t>
      </w:r>
    </w:p>
    <w:p>
      <w:pPr>
        <w:ind w:left="567" w:hanging="567"/>
      </w:pPr>
      <w:r>
        <w:rPr>
          <w:rFonts w:ascii="Times New Roman" w:hAnsi="Times New Roman"/>
          <w:b w:val="0"/>
          <w:i w:val="0"/>
          <w:u w:val="none"/>
        </w:rPr>
        <w:t>7. Autorizar previamente al representante legal la celebración de los actos que excedan las facultades señaladas en el artículo 28 de estos estatutos.</w:t>
      </w:r>
    </w:p>
    <w:p>
      <w:pPr>
        <w:ind w:left="567" w:hanging="567"/>
      </w:pPr>
      <w:r>
        <w:rPr>
          <w:rFonts w:ascii="Times New Roman" w:hAnsi="Times New Roman"/>
          <w:b w:val="0"/>
          <w:i w:val="0"/>
          <w:u w:val="none"/>
        </w:rPr>
        <w:t>8. Autorizar la transferencia de acciones a terceros no accionistas y decidir sobre la exclusión de accionistas en los casos previstos en la ley y en estos estatutos.</w:t>
      </w:r>
    </w:p>
    <w:p>
      <w:pPr>
        <w:ind w:left="567" w:hanging="567"/>
      </w:pPr>
      <w:r>
        <w:rPr>
          <w:rFonts w:ascii="Times New Roman" w:hAnsi="Times New Roman"/>
          <w:b w:val="0"/>
          <w:i w:val="0"/>
          <w:u w:val="none"/>
        </w:rPr>
        <w:t>9. Ordenar las acciones que correspondan contra los administradores y demás funcionarios.</w:t>
      </w:r>
    </w:p>
    <w:p>
      <w:pPr>
        <w:ind w:left="567" w:hanging="567"/>
      </w:pPr>
      <w:r>
        <w:rPr>
          <w:rFonts w:ascii="Times New Roman" w:hAnsi="Times New Roman"/>
          <w:b w:val="0"/>
          <w:i w:val="0"/>
          <w:u w:val="none"/>
        </w:rPr>
        <w:t>10. Decidir sobre la disolución y liquidación de la sociedad, designar liquidador y aprobar la cuenta final de liquidación.</w:t>
      </w:r>
    </w:p>
    <w:p>
      <w:pPr>
        <w:ind w:left="567" w:hanging="567"/>
      </w:pPr>
      <w:r>
        <w:rPr>
          <w:rFonts w:ascii="Times New Roman" w:hAnsi="Times New Roman"/>
          <w:b w:val="0"/>
          <w:i w:val="0"/>
          <w:u w:val="none"/>
        </w:rPr>
        <w:t>11. Adoptar, en general, todas las medidas que reclamen el cumplimiento de los estatutos y el interés común de los accionistas, y las demás que le correspondan por ley y que no hayan sido asignadas a otro órgano.</w:t>
      </w:r>
    </w:p>
    <w:p>
      <w:pPr>
        <w:keepNext/>
        <w:spacing w:before="320" w:after="160"/>
        <w:jc w:val="center"/>
      </w:pPr>
      <w:r>
        <w:rPr>
          <w:rFonts w:ascii="Times New Roman" w:hAnsi="Times New Roman"/>
          <w:b/>
          <w:i w:val="0"/>
          <w:sz w:val="24"/>
          <w:u w:val="none"/>
        </w:rPr>
        <w:t>CAPÍTULO IV. ADMINISTRACIÓN Y REPRESENTACIÓN LEGAL</w:t>
      </w:r>
    </w:p>
    <w:p>
      <w:pPr>
        <w:keepNext/>
        <w:spacing w:before="240" w:after="80"/>
        <w:jc w:val="left"/>
      </w:pPr>
      <w:r>
        <w:rPr>
          <w:rFonts w:ascii="Times New Roman" w:hAnsi="Times New Roman"/>
          <w:b/>
          <w:i w:val="0"/>
          <w:sz w:val="24"/>
          <w:u w:val="none"/>
        </w:rPr>
        <w:t>Artículo 26 — Estructura de la administración</w:t>
      </w:r>
    </w:p>
    <w:p>
      <w:r>
        <w:rPr>
          <w:rFonts w:ascii="Times New Roman" w:hAnsi="Times New Roman"/>
          <w:b w:val="0"/>
          <w:i w:val="0"/>
          <w:u w:val="none"/>
        </w:rPr>
        <w:t xml:space="preserve">La sociedad </w:t>
      </w:r>
      <w:r>
        <w:rPr>
          <w:rFonts w:ascii="Times New Roman" w:hAnsi="Times New Roman"/>
          <w:b/>
          <w:i w:val="0"/>
          <w:u w:val="none"/>
        </w:rPr>
        <w:t>no tendrá junta directiva</w:t>
      </w:r>
      <w:r>
        <w:rPr>
          <w:rFonts w:ascii="Times New Roman" w:hAnsi="Times New Roman"/>
          <w:b w:val="0"/>
          <w:i w:val="0"/>
          <w:u w:val="none"/>
        </w:rPr>
        <w:t xml:space="preserve">, en ejercicio de la facultad prevista en el </w:t>
      </w:r>
      <w:r>
        <w:rPr>
          <w:rFonts w:ascii="Times New Roman" w:hAnsi="Times New Roman"/>
          <w:b/>
          <w:i w:val="0"/>
          <w:u w:val="none"/>
        </w:rPr>
        <w:t>artículo 25 de la Ley 1258 de 2008</w:t>
      </w:r>
      <w:r>
        <w:rPr>
          <w:rFonts w:ascii="Times New Roman" w:hAnsi="Times New Roman"/>
          <w:b w:val="0"/>
          <w:i w:val="0"/>
          <w:u w:val="none"/>
        </w:rPr>
        <w:t xml:space="preserve">. En consecuencia, la totalidad de las funciones de administración y representación legal corresponderá al </w:t>
      </w:r>
      <w:r>
        <w:rPr>
          <w:rFonts w:ascii="Times New Roman" w:hAnsi="Times New Roman"/>
          <w:b/>
          <w:i w:val="0"/>
          <w:u w:val="none"/>
        </w:rPr>
        <w:t>representante legal</w:t>
      </w:r>
      <w:r>
        <w:rPr>
          <w:rFonts w:ascii="Times New Roman" w:hAnsi="Times New Roman"/>
          <w:b w:val="0"/>
          <w:i w:val="0"/>
          <w:u w:val="none"/>
        </w:rPr>
        <w:t>, sin perjuicio de las funciones que estos estatutos y la ley atribuyen a la asamblea general de accionistas.</w:t>
      </w:r>
    </w:p>
    <w:p>
      <w:r>
        <w:rPr>
          <w:rFonts w:ascii="Times New Roman" w:hAnsi="Times New Roman"/>
          <w:b/>
          <w:i w:val="0"/>
          <w:u w:val="none"/>
        </w:rPr>
        <w:t>Parágrafo.</w:t>
      </w:r>
      <w:r>
        <w:rPr>
          <w:rFonts w:ascii="Times New Roman" w:hAnsi="Times New Roman"/>
          <w:b w:val="0"/>
          <w:i w:val="0"/>
          <w:u w:val="none"/>
        </w:rPr>
        <w:t xml:space="preserve"> Cuando la asamblea general de accionistas decida crear una junta directiva mediante reforma estatutaria, esta se integrará con uno o varios miembros principales, con o sin suplentes, y se aplicarán, en lo pertinente, las reglas de los artículos 25 y 26 de la Ley 1258 de 2008; en tal caso no será obligatoria la aplicación del sistema de cuociente electoral.</w:t>
      </w:r>
    </w:p>
    <w:p>
      <w:pPr>
        <w:keepNext/>
        <w:spacing w:before="240" w:after="80"/>
        <w:jc w:val="left"/>
      </w:pPr>
      <w:r>
        <w:rPr>
          <w:rFonts w:ascii="Times New Roman" w:hAnsi="Times New Roman"/>
          <w:b/>
          <w:i w:val="0"/>
          <w:sz w:val="24"/>
          <w:u w:val="none"/>
        </w:rPr>
        <w:t>Artículo 27 — Representación legal</w:t>
      </w:r>
    </w:p>
    <w:p>
      <w:r>
        <w:rPr>
          <w:rFonts w:ascii="Times New Roman" w:hAnsi="Times New Roman"/>
          <w:b w:val="0"/>
          <w:i w:val="0"/>
          <w:u w:val="none"/>
        </w:rPr>
        <w:t xml:space="preserve">La representación legal de la sociedad estará a cargo de un </w:t>
      </w:r>
      <w:r>
        <w:rPr>
          <w:rFonts w:ascii="Times New Roman" w:hAnsi="Times New Roman"/>
          <w:b/>
          <w:i w:val="0"/>
          <w:u w:val="none"/>
        </w:rPr>
        <w:t>representante legal principal</w:t>
      </w:r>
      <w:r>
        <w:rPr>
          <w:rFonts w:ascii="Times New Roman" w:hAnsi="Times New Roman"/>
          <w:b w:val="0"/>
          <w:i w:val="0"/>
          <w:u w:val="none"/>
        </w:rPr>
        <w:t xml:space="preserve">, quien tendrá un </w:t>
      </w:r>
      <w:r>
        <w:rPr>
          <w:rFonts w:ascii="Times New Roman" w:hAnsi="Times New Roman"/>
          <w:b/>
          <w:i w:val="0"/>
          <w:u w:val="none"/>
        </w:rPr>
        <w:t>suplente</w:t>
      </w:r>
      <w:r>
        <w:rPr>
          <w:rFonts w:ascii="Times New Roman" w:hAnsi="Times New Roman"/>
          <w:b w:val="0"/>
          <w:i w:val="0"/>
          <w:u w:val="none"/>
        </w:rPr>
        <w:t xml:space="preserve"> que lo reemplazará en sus faltas absolutas, temporales o accidentales, con las mismas facultades y sin necesidad de acreditar la falta del principal frente a terceros. Ambos serán designados por la asamblea general de accionistas para períodos </w:t>
      </w:r>
      <w:r>
        <w:rPr>
          <w:rFonts w:ascii="Times New Roman" w:hAnsi="Times New Roman"/>
          <w:b/>
          <w:i w:val="0"/>
          <w:u w:val="none"/>
        </w:rPr>
        <w:t>indefinidos</w:t>
      </w:r>
      <w:r>
        <w:rPr>
          <w:rFonts w:ascii="Times New Roman" w:hAnsi="Times New Roman"/>
          <w:b w:val="0"/>
          <w:i w:val="0"/>
          <w:u w:val="none"/>
        </w:rPr>
        <w:t xml:space="preserve">, y podrán ser </w:t>
      </w:r>
      <w:r>
        <w:rPr>
          <w:rFonts w:ascii="Times New Roman" w:hAnsi="Times New Roman"/>
          <w:b/>
          <w:i w:val="0"/>
          <w:u w:val="none"/>
        </w:rPr>
        <w:t>removidos libremente y en cualquier tiempo (*ad nutum*)</w:t>
      </w:r>
      <w:r>
        <w:rPr>
          <w:rFonts w:ascii="Times New Roman" w:hAnsi="Times New Roman"/>
          <w:b w:val="0"/>
          <w:i w:val="0"/>
          <w:u w:val="none"/>
        </w:rPr>
        <w:t xml:space="preserve"> por dicho órgano, sin necesidad de expresión de causa, de conformidad con el artículo 26 de la Ley 1258 de 2008.</w:t>
      </w:r>
    </w:p>
    <w:p>
      <w:r>
        <w:rPr>
          <w:rFonts w:ascii="Times New Roman" w:hAnsi="Times New Roman"/>
          <w:b/>
          <w:i w:val="0"/>
          <w:u w:val="none"/>
        </w:rPr>
        <w:t>Parágrafo primero.</w:t>
      </w:r>
      <w:r>
        <w:rPr>
          <w:rFonts w:ascii="Times New Roman" w:hAnsi="Times New Roman"/>
          <w:b w:val="0"/>
          <w:i w:val="0"/>
          <w:u w:val="none"/>
        </w:rPr>
        <w:t xml:space="preserve"> Los nombramientos de representantes legales y sus reformas surtirán efectos frente a terceros a partir de su </w:t>
      </w:r>
      <w:r>
        <w:rPr>
          <w:rFonts w:ascii="Times New Roman" w:hAnsi="Times New Roman"/>
          <w:b/>
          <w:i w:val="0"/>
          <w:u w:val="none"/>
        </w:rPr>
        <w:t>inscripción en el registro mercantil</w:t>
      </w:r>
      <w:r>
        <w:rPr>
          <w:rFonts w:ascii="Times New Roman" w:hAnsi="Times New Roman"/>
          <w:b w:val="0"/>
          <w:i w:val="0"/>
          <w:u w:val="none"/>
        </w:rPr>
        <w:t>, conforme al artículo 164 del Código de Comercio. Mientras no se cancele la inscripción, el representante legal inscrito conservará tal carácter para todos los efectos legales.</w:t>
      </w:r>
    </w:p>
    <w:p>
      <w:r>
        <w:rPr>
          <w:rFonts w:ascii="Times New Roman" w:hAnsi="Times New Roman"/>
          <w:b/>
          <w:i w:val="0"/>
          <w:u w:val="none"/>
        </w:rPr>
        <w:t>Parágrafo segundo.</w:t>
      </w:r>
      <w:r>
        <w:rPr>
          <w:rFonts w:ascii="Times New Roman" w:hAnsi="Times New Roman"/>
          <w:b w:val="0"/>
          <w:i w:val="0"/>
          <w:u w:val="none"/>
        </w:rPr>
        <w:t xml:space="preserve"> La designación deberá ser </w:t>
      </w:r>
      <w:r>
        <w:rPr>
          <w:rFonts w:ascii="Times New Roman" w:hAnsi="Times New Roman"/>
          <w:b/>
          <w:i w:val="0"/>
          <w:u w:val="none"/>
        </w:rPr>
        <w:t>aceptada expresamente</w:t>
      </w:r>
      <w:r>
        <w:rPr>
          <w:rFonts w:ascii="Times New Roman" w:hAnsi="Times New Roman"/>
          <w:b w:val="0"/>
          <w:i w:val="0"/>
          <w:u w:val="none"/>
        </w:rPr>
        <w:t xml:space="preserve"> por la persona designada, mediante documento escrito en el que conste su nombre completo, número de documento de identidad y manifestación inequívoca de aceptación del cargo, de conformidad con el artículo 42 del Decreto Ley 2150 de 1995.</w:t>
      </w:r>
    </w:p>
    <w:p>
      <w:pPr>
        <w:keepNext/>
        <w:spacing w:before="240" w:after="80"/>
        <w:jc w:val="left"/>
      </w:pPr>
      <w:r>
        <w:rPr>
          <w:rFonts w:ascii="Times New Roman" w:hAnsi="Times New Roman"/>
          <w:b/>
          <w:i w:val="0"/>
          <w:sz w:val="24"/>
          <w:u w:val="none"/>
        </w:rPr>
        <w:t>Artículo 28 — Facultades y limitaciones del representante legal</w:t>
      </w:r>
    </w:p>
    <w:p>
      <w:r>
        <w:rPr>
          <w:rFonts w:ascii="Times New Roman" w:hAnsi="Times New Roman"/>
          <w:b w:val="0"/>
          <w:i w:val="0"/>
          <w:u w:val="none"/>
        </w:rPr>
        <w:t>El representante legal tendrá a su cargo la administración, gestión y representación de la sociedad, y podrá ejecutar todos los actos y celebrar todos los contratos comprendidos dentro del objeto social o que se relacionen directamente con la existencia y el funcionamiento de la sociedad. En particular, podrá:</w:t>
      </w:r>
    </w:p>
    <w:p>
      <w:pPr>
        <w:pStyle w:val="ListBullet"/>
        <w:spacing w:after="80"/>
        <w:ind w:left="567"/>
        <w:jc w:val="both"/>
      </w:pPr>
      <w:r>
        <w:rPr>
          <w:rFonts w:ascii="Times New Roman" w:hAnsi="Times New Roman"/>
          <w:b w:val="0"/>
          <w:i w:val="0"/>
          <w:u w:val="none"/>
        </w:rPr>
        <w:t>Representar a la sociedad judicial y extrajudicialmente, ante toda clase de personas naturales y jurídicas, de derecho público o privado, y ante toda clase de autoridades administrativas, jurisdiccionales, tributarias, aduaneras, cambiarias, de vigilancia y control, así como ante tribunales de arbitramento y centros de conciliación.</w:t>
      </w:r>
    </w:p>
    <w:p>
      <w:pPr>
        <w:pStyle w:val="ListBullet"/>
        <w:spacing w:after="80"/>
        <w:ind w:left="567"/>
        <w:jc w:val="both"/>
      </w:pPr>
      <w:r>
        <w:rPr>
          <w:rFonts w:ascii="Times New Roman" w:hAnsi="Times New Roman"/>
          <w:b w:val="0"/>
          <w:i w:val="0"/>
          <w:u w:val="none"/>
        </w:rPr>
        <w:t>Celebrar contratos de cualquier naturaleza —incluidos los de prestación de servicios, suministro, arrendamiento, compraventa, mutuo, mandato, transporte, seguro y trabajo— y constituir apoderados judiciales y extrajudiciales, delegándoles las facultades que estime convenientes.</w:t>
      </w:r>
    </w:p>
    <w:p>
      <w:pPr>
        <w:pStyle w:val="ListBullet"/>
        <w:spacing w:after="80"/>
        <w:ind w:left="567"/>
        <w:jc w:val="both"/>
      </w:pPr>
      <w:r>
        <w:rPr>
          <w:rFonts w:ascii="Times New Roman" w:hAnsi="Times New Roman"/>
          <w:b w:val="0"/>
          <w:i w:val="0"/>
          <w:u w:val="none"/>
        </w:rPr>
        <w:t>Abrir, manejar y cancelar cuentas corrientes, de ahorro y demás productos financieros; girar, aceptar, endosar, protestar, cobrar, pagar y negociar toda clase de títulos valores.</w:t>
      </w:r>
    </w:p>
    <w:p>
      <w:pPr>
        <w:pStyle w:val="ListBullet"/>
        <w:spacing w:after="80"/>
        <w:ind w:left="567"/>
        <w:jc w:val="both"/>
      </w:pPr>
      <w:r>
        <w:rPr>
          <w:rFonts w:ascii="Times New Roman" w:hAnsi="Times New Roman"/>
          <w:b w:val="0"/>
          <w:i w:val="0"/>
          <w:u w:val="none"/>
        </w:rPr>
        <w:t>Nombrar y remover a los empleados y trabajadores de la sociedad, fijar sus funciones y remuneración, y ejercer la potestad disciplinaria del empleador.</w:t>
      </w:r>
    </w:p>
    <w:p>
      <w:pPr>
        <w:pStyle w:val="ListBullet"/>
        <w:spacing w:after="80"/>
        <w:ind w:left="567"/>
        <w:jc w:val="both"/>
      </w:pPr>
      <w:r>
        <w:rPr>
          <w:rFonts w:ascii="Times New Roman" w:hAnsi="Times New Roman"/>
          <w:b w:val="0"/>
          <w:i w:val="0"/>
          <w:u w:val="none"/>
        </w:rPr>
        <w:t>Convocar a la asamblea general de accionistas, presentarle los estados financieros de fin de ejercicio junto con el informe de gestión, y ejecutar sus decisiones.</w:t>
      </w:r>
    </w:p>
    <w:p>
      <w:pPr>
        <w:pStyle w:val="ListBullet"/>
        <w:spacing w:after="80"/>
        <w:ind w:left="567"/>
        <w:jc w:val="both"/>
      </w:pPr>
      <w:r>
        <w:rPr>
          <w:rFonts w:ascii="Times New Roman" w:hAnsi="Times New Roman"/>
          <w:b w:val="0"/>
          <w:i w:val="0"/>
          <w:u w:val="none"/>
        </w:rPr>
        <w:t>Velar por que la sociedad cumpla oportunamente sus obligaciones tributarias, laborales, contables, de seguridad social, de seguridad y salud en el trabajo, de protección de datos personales y de habilitación en salud.</w:t>
      </w:r>
    </w:p>
    <w:p>
      <w:r>
        <w:rPr>
          <w:rFonts w:ascii="Times New Roman" w:hAnsi="Times New Roman"/>
          <w:b/>
          <w:i w:val="0"/>
          <w:u w:val="none"/>
        </w:rPr>
        <w:t>Parágrafo primero — Limitación de cuantía.</w:t>
      </w:r>
      <w:r>
        <w:rPr>
          <w:rFonts w:ascii="Times New Roman" w:hAnsi="Times New Roman"/>
          <w:b w:val="0"/>
          <w:i w:val="0"/>
          <w:u w:val="none"/>
        </w:rPr>
        <w:t xml:space="preserve"> El representante legal requerirá </w:t>
      </w:r>
      <w:r>
        <w:rPr>
          <w:rFonts w:ascii="Times New Roman" w:hAnsi="Times New Roman"/>
          <w:b/>
          <w:i w:val="0"/>
          <w:u w:val="none"/>
        </w:rPr>
        <w:t>autorización previa y expresa de la asamblea general de accionistas</w:t>
      </w:r>
      <w:r>
        <w:rPr>
          <w:rFonts w:ascii="Times New Roman" w:hAnsi="Times New Roman"/>
          <w:b w:val="0"/>
          <w:i w:val="0"/>
          <w:u w:val="none"/>
        </w:rPr>
        <w:t xml:space="preserve"> para: (i) celebrar actos o contratos cuya cuantía individual exceda de </w:t>
      </w:r>
      <w:r>
        <w:rPr>
          <w:rFonts w:ascii="Times New Roman" w:hAnsi="Times New Roman"/>
          <w:b/>
          <w:i w:val="0"/>
          <w:u w:val="none"/>
        </w:rPr>
        <w:t>cien (100) salarios mínimos legales mensuales vigentes</w:t>
      </w:r>
      <w:r>
        <w:rPr>
          <w:rFonts w:ascii="Times New Roman" w:hAnsi="Times New Roman"/>
          <w:b w:val="0"/>
          <w:i w:val="0"/>
          <w:u w:val="none"/>
        </w:rPr>
        <w:t>; (ii) enajenar, gravar o limitar el dominio de bienes inmuebles de la sociedad, cualquiera que sea su cuantía; (iii) constituir garantías reales o personales para respaldar obligaciones de terceros; (iv) adquirir participaciones en otras sociedades; y (v) celebrar operaciones que impliquen conflicto de interés o competencia con la sociedad. Esta limitación será oponible a terceros a partir de la inscripción de estos estatutos en el registro mercantil.</w:t>
      </w:r>
    </w:p>
    <w:p>
      <w:r>
        <w:rPr>
          <w:rFonts w:ascii="Times New Roman" w:hAnsi="Times New Roman"/>
          <w:b/>
          <w:i w:val="0"/>
          <w:u w:val="none"/>
        </w:rPr>
        <w:t>Parágrafo segundo — Conflictos de interés.</w:t>
      </w:r>
      <w:r>
        <w:rPr>
          <w:rFonts w:ascii="Times New Roman" w:hAnsi="Times New Roman"/>
          <w:b w:val="0"/>
          <w:i w:val="0"/>
          <w:u w:val="none"/>
        </w:rPr>
        <w:t xml:space="preserve"> Los administradores deberán abstenerse de participar por sí o por interpuesta persona en actividades que impliquen competencia con la sociedad o en actos respecto de los cuales exista </w:t>
      </w:r>
      <w:r>
        <w:rPr>
          <w:rFonts w:ascii="Times New Roman" w:hAnsi="Times New Roman"/>
          <w:b/>
          <w:i w:val="0"/>
          <w:u w:val="none"/>
        </w:rPr>
        <w:t>conflicto de intereses</w:t>
      </w:r>
      <w:r>
        <w:rPr>
          <w:rFonts w:ascii="Times New Roman" w:hAnsi="Times New Roman"/>
          <w:b w:val="0"/>
          <w:i w:val="0"/>
          <w:u w:val="none"/>
        </w:rPr>
        <w:t>, salvo autorización expresa de la asamblea general de accionistas, adoptada con exclusión del voto del administrador interesado, en los términos del numeral 7.º del artículo 23 de la Ley 222 de 1995 y del Decreto 1925 de 2009.</w:t>
      </w:r>
    </w:p>
    <w:p>
      <w:pPr>
        <w:keepNext/>
        <w:spacing w:before="240" w:after="80"/>
        <w:jc w:val="left"/>
      </w:pPr>
      <w:r>
        <w:rPr>
          <w:rFonts w:ascii="Times New Roman" w:hAnsi="Times New Roman"/>
          <w:b/>
          <w:i w:val="0"/>
          <w:sz w:val="24"/>
          <w:u w:val="none"/>
        </w:rPr>
        <w:t>Artículo 29 — Deberes y responsabilidad de los administradores</w:t>
      </w:r>
    </w:p>
    <w:p>
      <w:r>
        <w:rPr>
          <w:rFonts w:ascii="Times New Roman" w:hAnsi="Times New Roman"/>
          <w:b w:val="0"/>
          <w:i w:val="0"/>
          <w:u w:val="none"/>
        </w:rPr>
        <w:t xml:space="preserve">Los administradores de la sociedad —representante legal principal, suplente y, cuando existan, los miembros de junta directiva y demás personas que detenten funciones de administración— deberán obrar de </w:t>
      </w:r>
      <w:r>
        <w:rPr>
          <w:rFonts w:ascii="Times New Roman" w:hAnsi="Times New Roman"/>
          <w:b/>
          <w:i w:val="0"/>
          <w:u w:val="none"/>
        </w:rPr>
        <w:t>buena fe, con lealtad y con la diligencia de un buen hombre de negocios</w:t>
      </w:r>
      <w:r>
        <w:rPr>
          <w:rFonts w:ascii="Times New Roman" w:hAnsi="Times New Roman"/>
          <w:b w:val="0"/>
          <w:i w:val="0"/>
          <w:u w:val="none"/>
        </w:rPr>
        <w:t>, y sus actuaciones se cumplirán en interés de la sociedad, teniendo en cuenta los intereses de sus asociados, conforme al artículo 23 de la Ley 222 de 1995.</w:t>
      </w:r>
    </w:p>
    <w:p>
      <w:r>
        <w:rPr>
          <w:rFonts w:ascii="Times New Roman" w:hAnsi="Times New Roman"/>
          <w:b w:val="0"/>
          <w:i w:val="0"/>
          <w:u w:val="none"/>
        </w:rPr>
        <w:t xml:space="preserve">Responderán </w:t>
      </w:r>
      <w:r>
        <w:rPr>
          <w:rFonts w:ascii="Times New Roman" w:hAnsi="Times New Roman"/>
          <w:b/>
          <w:i w:val="0"/>
          <w:u w:val="none"/>
        </w:rPr>
        <w:t>solidaria e ilimitadamente</w:t>
      </w:r>
      <w:r>
        <w:rPr>
          <w:rFonts w:ascii="Times New Roman" w:hAnsi="Times New Roman"/>
          <w:b w:val="0"/>
          <w:i w:val="0"/>
          <w:u w:val="none"/>
        </w:rPr>
        <w:t xml:space="preserve"> por los perjuicios que por dolo o culpa ocasionen a la sociedad, a los accionistas o a terceros, en los términos del artículo 200 del Código de Comercio y del </w:t>
      </w:r>
      <w:r>
        <w:rPr>
          <w:rFonts w:ascii="Times New Roman" w:hAnsi="Times New Roman"/>
          <w:b/>
          <w:i w:val="0"/>
          <w:u w:val="none"/>
        </w:rPr>
        <w:t>artículo 27 de la Ley 1258 de 2008</w:t>
      </w:r>
      <w:r>
        <w:rPr>
          <w:rFonts w:ascii="Times New Roman" w:hAnsi="Times New Roman"/>
          <w:b w:val="0"/>
          <w:i w:val="0"/>
          <w:u w:val="none"/>
        </w:rPr>
        <w:t>, norma esta última que extiende dicho régimen a las personas naturales o jurídicas que, sin ser administradores, se inmiscuyan en una actividad positiva de gestión, administración o dirección de la sociedad (</w:t>
      </w:r>
      <w:r>
        <w:rPr>
          <w:rFonts w:ascii="Times New Roman" w:hAnsi="Times New Roman"/>
          <w:b/>
          <w:i w:val="0"/>
          <w:u w:val="none"/>
        </w:rPr>
        <w:t>administrador de hecho</w:t>
      </w:r>
      <w:r>
        <w:rPr>
          <w:rFonts w:ascii="Times New Roman" w:hAnsi="Times New Roman"/>
          <w:b w:val="0"/>
          <w:i w:val="0"/>
          <w:u w:val="none"/>
        </w:rPr>
        <w:t>).</w:t>
      </w:r>
    </w:p>
    <w:p>
      <w:r>
        <w:rPr>
          <w:rFonts w:ascii="Times New Roman" w:hAnsi="Times New Roman"/>
          <w:b/>
          <w:i w:val="0"/>
          <w:u w:val="none"/>
        </w:rPr>
        <w:t>Parágrafo.</w:t>
      </w:r>
      <w:r>
        <w:rPr>
          <w:rFonts w:ascii="Times New Roman" w:hAnsi="Times New Roman"/>
          <w:b w:val="0"/>
          <w:i w:val="0"/>
          <w:u w:val="none"/>
        </w:rPr>
        <w:t xml:space="preserve"> Cuando se utilice la sociedad en </w:t>
      </w:r>
      <w:r>
        <w:rPr>
          <w:rFonts w:ascii="Times New Roman" w:hAnsi="Times New Roman"/>
          <w:b/>
          <w:i w:val="0"/>
          <w:u w:val="none"/>
        </w:rPr>
        <w:t>fraude a la ley o en perjuicio de terceros</w:t>
      </w:r>
      <w:r>
        <w:rPr>
          <w:rFonts w:ascii="Times New Roman" w:hAnsi="Times New Roman"/>
          <w:b w:val="0"/>
          <w:i w:val="0"/>
          <w:u w:val="none"/>
        </w:rPr>
        <w:t xml:space="preserve">, los accionistas y los administradores que hubieren realizado, participado o facilitado los actos defraudatorios responderán solidariamente por las obligaciones nacidas de tales actos y por los perjuicios causados, previa declaratoria de </w:t>
      </w:r>
      <w:r>
        <w:rPr>
          <w:rFonts w:ascii="Times New Roman" w:hAnsi="Times New Roman"/>
          <w:b/>
          <w:i w:val="0"/>
          <w:u w:val="none"/>
        </w:rPr>
        <w:t>desestimación de la personalidad jurídica</w:t>
      </w:r>
      <w:r>
        <w:rPr>
          <w:rFonts w:ascii="Times New Roman" w:hAnsi="Times New Roman"/>
          <w:b w:val="0"/>
          <w:i w:val="0"/>
          <w:u w:val="none"/>
        </w:rPr>
        <w:t xml:space="preserve"> por la Superintendencia de Sociedades, conforme al artículo 42 de la Ley 1258 de 2008.</w:t>
      </w:r>
    </w:p>
    <w:p>
      <w:pPr>
        <w:keepNext/>
        <w:spacing w:before="320" w:after="160"/>
        <w:jc w:val="center"/>
      </w:pPr>
      <w:r>
        <w:rPr>
          <w:rFonts w:ascii="Times New Roman" w:hAnsi="Times New Roman"/>
          <w:b/>
          <w:i w:val="0"/>
          <w:sz w:val="24"/>
          <w:u w:val="none"/>
        </w:rPr>
        <w:t>CAPÍTULO V. REVISORÍA FISCAL Y CONTROL</w:t>
      </w:r>
    </w:p>
    <w:p>
      <w:pPr>
        <w:keepNext/>
        <w:spacing w:before="240" w:after="80"/>
        <w:jc w:val="left"/>
      </w:pPr>
      <w:r>
        <w:rPr>
          <w:rFonts w:ascii="Times New Roman" w:hAnsi="Times New Roman"/>
          <w:b/>
          <w:i w:val="0"/>
          <w:sz w:val="24"/>
          <w:u w:val="none"/>
        </w:rPr>
        <w:t>Artículo 30 — Revisoría fiscal</w:t>
      </w:r>
    </w:p>
    <w:p>
      <w:r>
        <w:rPr>
          <w:rFonts w:ascii="Times New Roman" w:hAnsi="Times New Roman"/>
          <w:b w:val="0"/>
          <w:i w:val="0"/>
          <w:u w:val="none"/>
        </w:rPr>
        <w:t xml:space="preserve">La sociedad </w:t>
      </w:r>
      <w:r>
        <w:rPr>
          <w:rFonts w:ascii="Times New Roman" w:hAnsi="Times New Roman"/>
          <w:b/>
          <w:i w:val="0"/>
          <w:u w:val="none"/>
        </w:rPr>
        <w:t>no tendrá revisor fiscal</w:t>
      </w:r>
      <w:r>
        <w:rPr>
          <w:rFonts w:ascii="Times New Roman" w:hAnsi="Times New Roman"/>
          <w:b w:val="0"/>
          <w:i w:val="0"/>
          <w:u w:val="none"/>
        </w:rPr>
        <w:t xml:space="preserve"> al momento de su constitución, por no encontrarse dentro de los supuestos de obligatoriedad previstos en el </w:t>
      </w:r>
      <w:r>
        <w:rPr>
          <w:rFonts w:ascii="Times New Roman" w:hAnsi="Times New Roman"/>
          <w:b/>
          <w:i w:val="0"/>
          <w:u w:val="none"/>
        </w:rPr>
        <w:t>parágrafo 2.º del artículo 13 de la Ley 43 de 1990</w:t>
      </w:r>
      <w:r>
        <w:rPr>
          <w:rFonts w:ascii="Times New Roman" w:hAnsi="Times New Roman"/>
          <w:b w:val="0"/>
          <w:i w:val="0"/>
          <w:u w:val="none"/>
        </w:rPr>
        <w:t xml:space="preserve"> y en el </w:t>
      </w:r>
      <w:r>
        <w:rPr>
          <w:rFonts w:ascii="Times New Roman" w:hAnsi="Times New Roman"/>
          <w:b/>
          <w:i w:val="0"/>
          <w:u w:val="none"/>
        </w:rPr>
        <w:t>artículo 28 de la Ley 1258 de 2008</w:t>
      </w:r>
      <w:r>
        <w:rPr>
          <w:rFonts w:ascii="Times New Roman" w:hAnsi="Times New Roman"/>
          <w:b w:val="0"/>
          <w:i w:val="0"/>
          <w:u w:val="none"/>
        </w:rPr>
        <w:t xml:space="preserve">, según el cual la sociedad por acciones simplificada solo estará obligada a tener revisor fiscal cuando sus </w:t>
      </w:r>
      <w:r>
        <w:rPr>
          <w:rFonts w:ascii="Times New Roman" w:hAnsi="Times New Roman"/>
          <w:b/>
          <w:i w:val="0"/>
          <w:u w:val="none"/>
        </w:rPr>
        <w:t>activos brutos</w:t>
      </w:r>
      <w:r>
        <w:rPr>
          <w:rFonts w:ascii="Times New Roman" w:hAnsi="Times New Roman"/>
          <w:b w:val="0"/>
          <w:i w:val="0"/>
          <w:u w:val="none"/>
        </w:rPr>
        <w:t xml:space="preserve"> a 31 de diciembre del año inmediatamente anterior sean o excedan el equivalente a </w:t>
      </w:r>
      <w:r>
        <w:rPr>
          <w:rFonts w:ascii="Times New Roman" w:hAnsi="Times New Roman"/>
          <w:b/>
          <w:i w:val="0"/>
          <w:u w:val="none"/>
        </w:rPr>
        <w:t>cinco mil (5.000) salarios mínimos legales mensuales vigentes</w:t>
      </w:r>
      <w:r>
        <w:rPr>
          <w:rFonts w:ascii="Times New Roman" w:hAnsi="Times New Roman"/>
          <w:b w:val="0"/>
          <w:i w:val="0"/>
          <w:u w:val="none"/>
        </w:rPr>
        <w:t xml:space="preserve"> o cuando sus </w:t>
      </w:r>
      <w:r>
        <w:rPr>
          <w:rFonts w:ascii="Times New Roman" w:hAnsi="Times New Roman"/>
          <w:b/>
          <w:i w:val="0"/>
          <w:u w:val="none"/>
        </w:rPr>
        <w:t>ingresos brutos</w:t>
      </w:r>
      <w:r>
        <w:rPr>
          <w:rFonts w:ascii="Times New Roman" w:hAnsi="Times New Roman"/>
          <w:b w:val="0"/>
          <w:i w:val="0"/>
          <w:u w:val="none"/>
        </w:rPr>
        <w:t xml:space="preserve"> durante el año inmediatamente anterior sean o excedan el equivalente a </w:t>
      </w:r>
      <w:r>
        <w:rPr>
          <w:rFonts w:ascii="Times New Roman" w:hAnsi="Times New Roman"/>
          <w:b/>
          <w:i w:val="0"/>
          <w:u w:val="none"/>
        </w:rPr>
        <w:t>tres mil (3.000)</w:t>
      </w:r>
      <w:r>
        <w:rPr>
          <w:rFonts w:ascii="Times New Roman" w:hAnsi="Times New Roman"/>
          <w:b w:val="0"/>
          <w:i w:val="0"/>
          <w:u w:val="none"/>
        </w:rPr>
        <w:t xml:space="preserve"> salarios mínimos legales mensuales vigentes.</w:t>
      </w:r>
    </w:p>
    <w:p>
      <w:r>
        <w:rPr>
          <w:rFonts w:ascii="Times New Roman" w:hAnsi="Times New Roman"/>
          <w:b/>
          <w:i w:val="0"/>
          <w:u w:val="none"/>
        </w:rPr>
        <w:t>Parágrafo primero.</w:t>
      </w:r>
      <w:r>
        <w:rPr>
          <w:rFonts w:ascii="Times New Roman" w:hAnsi="Times New Roman"/>
          <w:b w:val="0"/>
          <w:i w:val="0"/>
          <w:u w:val="none"/>
        </w:rPr>
        <w:t xml:space="preserve"> En el evento en que la sociedad supere cualquiera de los umbrales anteriores, la asamblea general de accionistas deberá designar </w:t>
      </w:r>
      <w:r>
        <w:rPr>
          <w:rFonts w:ascii="Times New Roman" w:hAnsi="Times New Roman"/>
          <w:b/>
          <w:i w:val="0"/>
          <w:u w:val="none"/>
        </w:rPr>
        <w:t>revisor fiscal</w:t>
      </w:r>
      <w:r>
        <w:rPr>
          <w:rFonts w:ascii="Times New Roman" w:hAnsi="Times New Roman"/>
          <w:b w:val="0"/>
          <w:i w:val="0"/>
          <w:u w:val="none"/>
        </w:rPr>
        <w:t>, quien será contador público titulado y su nombramiento se inscribirá en el registro mercantil. La designación deberá efectuarse a más tardar en la reunión ordinaria del año siguiente a aquel en que se supere el umbral.</w:t>
      </w:r>
    </w:p>
    <w:p>
      <w:r>
        <w:rPr>
          <w:rFonts w:ascii="Times New Roman" w:hAnsi="Times New Roman"/>
          <w:b/>
          <w:i w:val="0"/>
          <w:u w:val="none"/>
        </w:rPr>
        <w:t>Parágrafo segundo.</w:t>
      </w:r>
      <w:r>
        <w:rPr>
          <w:rFonts w:ascii="Times New Roman" w:hAnsi="Times New Roman"/>
          <w:b w:val="0"/>
          <w:i w:val="0"/>
          <w:u w:val="none"/>
        </w:rPr>
        <w:t xml:space="preserve"> Mientras la sociedad no cuente con revisor fiscal, las </w:t>
      </w:r>
      <w:r>
        <w:rPr>
          <w:rFonts w:ascii="Times New Roman" w:hAnsi="Times New Roman"/>
          <w:b/>
          <w:i w:val="0"/>
          <w:u w:val="none"/>
        </w:rPr>
        <w:t>certificaciones y dictámenes</w:t>
      </w:r>
      <w:r>
        <w:rPr>
          <w:rFonts w:ascii="Times New Roman" w:hAnsi="Times New Roman"/>
          <w:b w:val="0"/>
          <w:i w:val="0"/>
          <w:u w:val="none"/>
        </w:rPr>
        <w:t xml:space="preserve"> exigidos por la ley serán expedidos por un </w:t>
      </w:r>
      <w:r>
        <w:rPr>
          <w:rFonts w:ascii="Times New Roman" w:hAnsi="Times New Roman"/>
          <w:b/>
          <w:i w:val="0"/>
          <w:u w:val="none"/>
        </w:rPr>
        <w:t>contador público independiente</w:t>
      </w:r>
      <w:r>
        <w:rPr>
          <w:rFonts w:ascii="Times New Roman" w:hAnsi="Times New Roman"/>
          <w:b w:val="0"/>
          <w:i w:val="0"/>
          <w:u w:val="none"/>
        </w:rPr>
        <w:t>, en los términos del parágrafo del artículo 28 de la Ley 1258 de 2008.</w:t>
      </w:r>
    </w:p>
    <w:p>
      <w:pPr>
        <w:keepNext/>
        <w:spacing w:before="240" w:after="80"/>
        <w:jc w:val="left"/>
      </w:pPr>
      <w:r>
        <w:rPr>
          <w:rFonts w:ascii="Times New Roman" w:hAnsi="Times New Roman"/>
          <w:b/>
          <w:i w:val="0"/>
          <w:sz w:val="24"/>
          <w:u w:val="none"/>
        </w:rPr>
        <w:t>Artículo 31 — Derecho de inspección</w:t>
      </w:r>
    </w:p>
    <w:p>
      <w:r>
        <w:rPr>
          <w:rFonts w:ascii="Times New Roman" w:hAnsi="Times New Roman"/>
          <w:b w:val="0"/>
          <w:i w:val="0"/>
          <w:u w:val="none"/>
        </w:rPr>
        <w:t xml:space="preserve">Los accionistas podrán ejercer el </w:t>
      </w:r>
      <w:r>
        <w:rPr>
          <w:rFonts w:ascii="Times New Roman" w:hAnsi="Times New Roman"/>
          <w:b/>
          <w:i w:val="0"/>
          <w:u w:val="none"/>
        </w:rPr>
        <w:t>derecho de inspección</w:t>
      </w:r>
      <w:r>
        <w:rPr>
          <w:rFonts w:ascii="Times New Roman" w:hAnsi="Times New Roman"/>
          <w:b w:val="0"/>
          <w:i w:val="0"/>
          <w:u w:val="none"/>
        </w:rPr>
        <w:t xml:space="preserve"> sobre los libros y papeles sociales durante los </w:t>
      </w:r>
      <w:r>
        <w:rPr>
          <w:rFonts w:ascii="Times New Roman" w:hAnsi="Times New Roman"/>
          <w:b/>
          <w:i w:val="0"/>
          <w:u w:val="none"/>
        </w:rPr>
        <w:t>quince (15) días hábiles</w:t>
      </w:r>
      <w:r>
        <w:rPr>
          <w:rFonts w:ascii="Times New Roman" w:hAnsi="Times New Roman"/>
          <w:b w:val="0"/>
          <w:i w:val="0"/>
          <w:u w:val="none"/>
        </w:rPr>
        <w:t xml:space="preserve"> anteriores a la reunión de la asamblea general de accionistas en que se examinen los estados financieros de fin de ejercicio o se considere una transformación, fusión o escisión —término que coincide con el de la convocatoria previsto en el parágrafo primero del artículo 20 de estos estatutos— y durante los </w:t>
      </w:r>
      <w:r>
        <w:rPr>
          <w:rFonts w:ascii="Times New Roman" w:hAnsi="Times New Roman"/>
          <w:b/>
          <w:i w:val="0"/>
          <w:u w:val="none"/>
        </w:rPr>
        <w:t>cinco (5) días hábiles</w:t>
      </w:r>
      <w:r>
        <w:rPr>
          <w:rFonts w:ascii="Times New Roman" w:hAnsi="Times New Roman"/>
          <w:b w:val="0"/>
          <w:i w:val="0"/>
          <w:u w:val="none"/>
        </w:rPr>
        <w:t xml:space="preserve"> anteriores a las demás reuniones. El ejercicio de este derecho se sujetará a las reglas del artículo 48 de la Ley 222 de 1995 y no podrá extenderse a documentos que versen sobre secretos industriales o cuya divulgación pueda ser utilizada en detrimento de la sociedad.</w:t>
      </w:r>
    </w:p>
    <w:p>
      <w:pPr>
        <w:keepNext/>
        <w:spacing w:before="320" w:after="160"/>
        <w:jc w:val="center"/>
      </w:pPr>
      <w:r>
        <w:rPr>
          <w:rFonts w:ascii="Times New Roman" w:hAnsi="Times New Roman"/>
          <w:b/>
          <w:i w:val="0"/>
          <w:sz w:val="24"/>
          <w:u w:val="none"/>
        </w:rPr>
        <w:t>CAPÍTULO VI. EJERCICIO SOCIAL, ESTADOS FINANCIEROS, RESERVAS Y UTILIDADES</w:t>
      </w:r>
    </w:p>
    <w:p>
      <w:pPr>
        <w:keepNext/>
        <w:spacing w:before="240" w:after="80"/>
        <w:jc w:val="left"/>
      </w:pPr>
      <w:r>
        <w:rPr>
          <w:rFonts w:ascii="Times New Roman" w:hAnsi="Times New Roman"/>
          <w:b/>
          <w:i w:val="0"/>
          <w:sz w:val="24"/>
          <w:u w:val="none"/>
        </w:rPr>
        <w:t>Artículo 32 — Ejercicio social y estados financieros</w:t>
      </w:r>
    </w:p>
    <w:p>
      <w:r>
        <w:rPr>
          <w:rFonts w:ascii="Times New Roman" w:hAnsi="Times New Roman"/>
          <w:b w:val="0"/>
          <w:i w:val="0"/>
          <w:u w:val="none"/>
        </w:rPr>
        <w:t xml:space="preserve">El </w:t>
      </w:r>
      <w:r>
        <w:rPr>
          <w:rFonts w:ascii="Times New Roman" w:hAnsi="Times New Roman"/>
          <w:b/>
          <w:i w:val="0"/>
          <w:u w:val="none"/>
        </w:rPr>
        <w:t>ejercicio social</w:t>
      </w:r>
      <w:r>
        <w:rPr>
          <w:rFonts w:ascii="Times New Roman" w:hAnsi="Times New Roman"/>
          <w:b w:val="0"/>
          <w:i w:val="0"/>
          <w:u w:val="none"/>
        </w:rPr>
        <w:t xml:space="preserve"> será anual y se cerrará el </w:t>
      </w:r>
      <w:r>
        <w:rPr>
          <w:rFonts w:ascii="Times New Roman" w:hAnsi="Times New Roman"/>
          <w:b/>
          <w:i w:val="0"/>
          <w:u w:val="none"/>
        </w:rPr>
        <w:t>treinta y uno (31) de diciembre</w:t>
      </w:r>
      <w:r>
        <w:rPr>
          <w:rFonts w:ascii="Times New Roman" w:hAnsi="Times New Roman"/>
          <w:b w:val="0"/>
          <w:i w:val="0"/>
          <w:u w:val="none"/>
        </w:rPr>
        <w:t xml:space="preserve"> de cada año. A esa fecha, la sociedad elaborará y difundirá </w:t>
      </w:r>
      <w:r>
        <w:rPr>
          <w:rFonts w:ascii="Times New Roman" w:hAnsi="Times New Roman"/>
          <w:b/>
          <w:i w:val="0"/>
          <w:u w:val="none"/>
        </w:rPr>
        <w:t>estados financieros de propósito general</w:t>
      </w:r>
      <w:r>
        <w:rPr>
          <w:rFonts w:ascii="Times New Roman" w:hAnsi="Times New Roman"/>
          <w:b w:val="0"/>
          <w:i w:val="0"/>
          <w:u w:val="none"/>
        </w:rPr>
        <w:t>, debidamente certificados y acompañados del informe de gestión del representante legal, los cuales serán sometidos a consideración de la asamblea general de accionistas en su reunión ordinaria. La contabilidad se llevará conforme a las Normas de Contabilidad y de Información Financiera aceptadas en Colombia (Ley 1314 de 2009 y decretos reglamentarios), en el grupo que corresponda según el tamaño de la sociedad.</w:t>
      </w:r>
    </w:p>
    <w:p>
      <w:pPr>
        <w:keepNext/>
        <w:spacing w:before="240" w:after="80"/>
        <w:jc w:val="left"/>
      </w:pPr>
      <w:r>
        <w:rPr>
          <w:rFonts w:ascii="Times New Roman" w:hAnsi="Times New Roman"/>
          <w:b/>
          <w:i w:val="0"/>
          <w:sz w:val="24"/>
          <w:u w:val="none"/>
        </w:rPr>
        <w:t>Artículo 33 — Reserva legal y reservas ocasionales</w:t>
      </w:r>
    </w:p>
    <w:p>
      <w:r>
        <w:rPr>
          <w:rFonts w:ascii="Times New Roman" w:hAnsi="Times New Roman"/>
          <w:b w:val="0"/>
          <w:i w:val="0"/>
          <w:u w:val="none"/>
        </w:rPr>
        <w:t xml:space="preserve">De conformidad con el criterio de la Superintendencia de Sociedades (Oficio 220-069664 del 27 de marzo de 2017), la sociedad por acciones simplificada </w:t>
      </w:r>
      <w:r>
        <w:rPr>
          <w:rFonts w:ascii="Times New Roman" w:hAnsi="Times New Roman"/>
          <w:b/>
          <w:i w:val="0"/>
          <w:u w:val="none"/>
        </w:rPr>
        <w:t>no está legalmente obligada</w:t>
      </w:r>
      <w:r>
        <w:rPr>
          <w:rFonts w:ascii="Times New Roman" w:hAnsi="Times New Roman"/>
          <w:b w:val="0"/>
          <w:i w:val="0"/>
          <w:u w:val="none"/>
        </w:rPr>
        <w:t xml:space="preserve"> a constituir reserva legal, por tratarse de una norma imperativa propia de la sociedad anónima que no se traslada por vía del artículo 45 de la Ley 1258 de 2008. No obstante, </w:t>
      </w:r>
      <w:r>
        <w:rPr>
          <w:rFonts w:ascii="Times New Roman" w:hAnsi="Times New Roman"/>
          <w:b/>
          <w:i w:val="0"/>
          <w:u w:val="none"/>
        </w:rPr>
        <w:t>los accionistas convienen expresamente en estos estatutos</w:t>
      </w:r>
      <w:r>
        <w:rPr>
          <w:rFonts w:ascii="Times New Roman" w:hAnsi="Times New Roman"/>
          <w:b w:val="0"/>
          <w:i w:val="0"/>
          <w:u w:val="none"/>
        </w:rPr>
        <w:t xml:space="preserve"> que la sociedad constituirá una </w:t>
      </w:r>
      <w:r>
        <w:rPr>
          <w:rFonts w:ascii="Times New Roman" w:hAnsi="Times New Roman"/>
          <w:b/>
          <w:i w:val="0"/>
          <w:u w:val="none"/>
        </w:rPr>
        <w:t>reserva legal</w:t>
      </w:r>
      <w:r>
        <w:rPr>
          <w:rFonts w:ascii="Times New Roman" w:hAnsi="Times New Roman"/>
          <w:b w:val="0"/>
          <w:i w:val="0"/>
          <w:u w:val="none"/>
        </w:rPr>
        <w:t xml:space="preserve"> que ascenderá por lo menos al </w:t>
      </w:r>
      <w:r>
        <w:rPr>
          <w:rFonts w:ascii="Times New Roman" w:hAnsi="Times New Roman"/>
          <w:b/>
          <w:i w:val="0"/>
          <w:u w:val="none"/>
        </w:rPr>
        <w:t>cincuenta por ciento (50 %) del capital suscrito</w:t>
      </w:r>
      <w:r>
        <w:rPr>
          <w:rFonts w:ascii="Times New Roman" w:hAnsi="Times New Roman"/>
          <w:b w:val="0"/>
          <w:i w:val="0"/>
          <w:u w:val="none"/>
        </w:rPr>
        <w:t xml:space="preserve">, formada con el </w:t>
      </w:r>
      <w:r>
        <w:rPr>
          <w:rFonts w:ascii="Times New Roman" w:hAnsi="Times New Roman"/>
          <w:b/>
          <w:i w:val="0"/>
          <w:u w:val="none"/>
        </w:rPr>
        <w:t>diez por ciento (10 %) de las utilidades líquidas</w:t>
      </w:r>
      <w:r>
        <w:rPr>
          <w:rFonts w:ascii="Times New Roman" w:hAnsi="Times New Roman"/>
          <w:b w:val="0"/>
          <w:i w:val="0"/>
          <w:u w:val="none"/>
        </w:rPr>
        <w:t xml:space="preserve"> de cada ejercicio. Alcanzado dicho límite, la sociedad no estará obligada a continuar incrementándola, pero si disminuyere volverá a apropiarse el mismo diez por ciento hasta cuando la reserva llegue nuevamente al límite fijado.</w:t>
      </w:r>
    </w:p>
    <w:p>
      <w:r>
        <w:rPr>
          <w:rFonts w:ascii="Times New Roman" w:hAnsi="Times New Roman"/>
          <w:b/>
          <w:i w:val="0"/>
          <w:u w:val="none"/>
        </w:rPr>
        <w:t>Parágrafo.</w:t>
      </w:r>
      <w:r>
        <w:rPr>
          <w:rFonts w:ascii="Times New Roman" w:hAnsi="Times New Roman"/>
          <w:b w:val="0"/>
          <w:i w:val="0"/>
          <w:u w:val="none"/>
        </w:rPr>
        <w:t xml:space="preserve"> La asamblea general de accionistas podrá constituir </w:t>
      </w:r>
      <w:r>
        <w:rPr>
          <w:rFonts w:ascii="Times New Roman" w:hAnsi="Times New Roman"/>
          <w:b/>
          <w:i w:val="0"/>
          <w:u w:val="none"/>
        </w:rPr>
        <w:t>reservas ocasionales</w:t>
      </w:r>
      <w:r>
        <w:rPr>
          <w:rFonts w:ascii="Times New Roman" w:hAnsi="Times New Roman"/>
          <w:b w:val="0"/>
          <w:i w:val="0"/>
          <w:u w:val="none"/>
        </w:rPr>
        <w:t>, siempre que tengan una destinación específica y estén justificadas; dichas reservas serán obligatorias para el ejercicio en el cual se creen, y la misma asamblea podrá cambiar su destinación o distribuirlas cuando resulten innecesarias.</w:t>
      </w:r>
    </w:p>
    <w:p>
      <w:pPr>
        <w:keepNext/>
        <w:spacing w:before="240" w:after="80"/>
        <w:jc w:val="left"/>
      </w:pPr>
      <w:r>
        <w:rPr>
          <w:rFonts w:ascii="Times New Roman" w:hAnsi="Times New Roman"/>
          <w:b/>
          <w:i w:val="0"/>
          <w:sz w:val="24"/>
          <w:u w:val="none"/>
        </w:rPr>
        <w:t>Artículo 34 — Distribución de utilidades</w:t>
      </w:r>
    </w:p>
    <w:p>
      <w:r>
        <w:rPr>
          <w:rFonts w:ascii="Times New Roman" w:hAnsi="Times New Roman"/>
          <w:b w:val="0"/>
          <w:i w:val="0"/>
          <w:u w:val="none"/>
        </w:rPr>
        <w:t xml:space="preserve">Aprobados los estados financieros de fin de ejercicio y hechas las apropiaciones para reservas legales y ocasionales, así como las provisiones para el pago de impuestos, la asamblea general de accionistas dispondrá de las </w:t>
      </w:r>
      <w:r>
        <w:rPr>
          <w:rFonts w:ascii="Times New Roman" w:hAnsi="Times New Roman"/>
          <w:b/>
          <w:i w:val="0"/>
          <w:u w:val="none"/>
        </w:rPr>
        <w:t>utilidades líquidas</w:t>
      </w:r>
      <w:r>
        <w:rPr>
          <w:rFonts w:ascii="Times New Roman" w:hAnsi="Times New Roman"/>
          <w:b w:val="0"/>
          <w:i w:val="0"/>
          <w:u w:val="none"/>
        </w:rPr>
        <w:t xml:space="preserve">, las cuales se distribuirán entre los accionistas </w:t>
      </w:r>
      <w:r>
        <w:rPr>
          <w:rFonts w:ascii="Times New Roman" w:hAnsi="Times New Roman"/>
          <w:b/>
          <w:i w:val="0"/>
          <w:u w:val="none"/>
        </w:rPr>
        <w:t>a prorrata de las acciones suscritas</w:t>
      </w:r>
      <w:r>
        <w:rPr>
          <w:rFonts w:ascii="Times New Roman" w:hAnsi="Times New Roman"/>
          <w:b w:val="0"/>
          <w:i w:val="0"/>
          <w:u w:val="none"/>
        </w:rPr>
        <w:t xml:space="preserve"> por cada uno. La sociedad distribuirá como dividendo no menos del </w:t>
      </w:r>
      <w:r>
        <w:rPr>
          <w:rFonts w:ascii="Times New Roman" w:hAnsi="Times New Roman"/>
          <w:b/>
          <w:i w:val="0"/>
          <w:u w:val="none"/>
        </w:rPr>
        <w:t>cincuenta por ciento (50 %)</w:t>
      </w:r>
      <w:r>
        <w:rPr>
          <w:rFonts w:ascii="Times New Roman" w:hAnsi="Times New Roman"/>
          <w:b w:val="0"/>
          <w:i w:val="0"/>
          <w:u w:val="none"/>
        </w:rPr>
        <w:t xml:space="preserve"> de las utilidades líquidas del ejercicio o del saldo de las mismas, salvo que la asamblea, con el voto favorable de accionistas titulares de por lo menos el </w:t>
      </w:r>
      <w:r>
        <w:rPr>
          <w:rFonts w:ascii="Times New Roman" w:hAnsi="Times New Roman"/>
          <w:b/>
          <w:i w:val="0"/>
          <w:u w:val="none"/>
        </w:rPr>
        <w:t>setenta y ocho por ciento (78 %) de las acciones representadas</w:t>
      </w:r>
      <w:r>
        <w:rPr>
          <w:rFonts w:ascii="Times New Roman" w:hAnsi="Times New Roman"/>
          <w:b w:val="0"/>
          <w:i w:val="0"/>
          <w:u w:val="none"/>
        </w:rPr>
        <w:t xml:space="preserve"> en la reunión, decida distribuir un porcentaje menor, conforme al artículo 155 del Código de Comercio.</w:t>
      </w:r>
    </w:p>
    <w:p>
      <w:r>
        <w:rPr>
          <w:rFonts w:ascii="Times New Roman" w:hAnsi="Times New Roman"/>
          <w:b/>
          <w:i w:val="0"/>
          <w:u w:val="none"/>
        </w:rPr>
        <w:t>Parágrafo.</w:t>
      </w:r>
      <w:r>
        <w:rPr>
          <w:rFonts w:ascii="Times New Roman" w:hAnsi="Times New Roman"/>
          <w:b w:val="0"/>
          <w:i w:val="0"/>
          <w:u w:val="none"/>
        </w:rPr>
        <w:t xml:space="preserve"> No podrá distribuirse suma alguna por concepto de utilidades si estas no se hallan justificadas por balances reales y fidedignos, ni mientras no se hayan enjugado las pérdidas de ejercicios anteriores que afecten el capital, en los términos del artículo 151 del Código de Comercio.</w:t>
      </w:r>
    </w:p>
    <w:p>
      <w:pPr>
        <w:keepNext/>
        <w:spacing w:before="320" w:after="160"/>
        <w:jc w:val="center"/>
      </w:pPr>
      <w:r>
        <w:rPr>
          <w:rFonts w:ascii="Times New Roman" w:hAnsi="Times New Roman"/>
          <w:b/>
          <w:i w:val="0"/>
          <w:sz w:val="24"/>
          <w:u w:val="none"/>
        </w:rPr>
        <w:t>CAPÍTULO VII. RESOLUCIÓN DE CONFLICTOS</w:t>
      </w:r>
    </w:p>
    <w:p>
      <w:pPr>
        <w:keepNext/>
        <w:spacing w:before="240" w:after="80"/>
        <w:jc w:val="left"/>
      </w:pPr>
      <w:r>
        <w:rPr>
          <w:rFonts w:ascii="Times New Roman" w:hAnsi="Times New Roman"/>
          <w:b/>
          <w:i w:val="0"/>
          <w:sz w:val="24"/>
          <w:u w:val="none"/>
        </w:rPr>
        <w:t>Artículo 35 — Cláusula compromisoria</w:t>
      </w:r>
    </w:p>
    <w:p>
      <w:r>
        <w:rPr>
          <w:rFonts w:ascii="Times New Roman" w:hAnsi="Times New Roman"/>
          <w:b w:val="0"/>
          <w:i w:val="0"/>
          <w:u w:val="none"/>
        </w:rPr>
        <w:t xml:space="preserve">Toda </w:t>
      </w:r>
      <w:r>
        <w:rPr>
          <w:rFonts w:ascii="Times New Roman" w:hAnsi="Times New Roman"/>
          <w:b/>
          <w:i w:val="0"/>
          <w:u w:val="none"/>
        </w:rPr>
        <w:t>diferencia, controversia o conflicto</w:t>
      </w:r>
      <w:r>
        <w:rPr>
          <w:rFonts w:ascii="Times New Roman" w:hAnsi="Times New Roman"/>
          <w:b w:val="0"/>
          <w:i w:val="0"/>
          <w:u w:val="none"/>
        </w:rPr>
        <w:t xml:space="preserve"> que surja entre los accionistas, o entre estos y la sociedad o sus administradores, con ocasión del contrato social o de la existencia, validez, interpretación, ejecución, cumplimiento, terminación o liquidación de la sociedad —incluida la impugnación de decisiones de la asamblea general de accionistas— se resolverá mediante </w:t>
      </w:r>
      <w:r>
        <w:rPr>
          <w:rFonts w:ascii="Times New Roman" w:hAnsi="Times New Roman"/>
          <w:b/>
          <w:i w:val="0"/>
          <w:u w:val="none"/>
        </w:rPr>
        <w:t>arbitraje en derecho</w:t>
      </w:r>
      <w:r>
        <w:rPr>
          <w:rFonts w:ascii="Times New Roman" w:hAnsi="Times New Roman"/>
          <w:b w:val="0"/>
          <w:i w:val="0"/>
          <w:u w:val="none"/>
        </w:rPr>
        <w:t xml:space="preserve">, administrado por el </w:t>
      </w:r>
      <w:r>
        <w:rPr>
          <w:rFonts w:ascii="Times New Roman" w:hAnsi="Times New Roman"/>
          <w:b/>
          <w:i w:val="0"/>
          <w:u w:val="none"/>
        </w:rPr>
        <w:t>Centro de Conciliación y Arbitraje de la Cámara de Comercio de Medellín para Antioquia</w:t>
      </w:r>
      <w:r>
        <w:rPr>
          <w:rFonts w:ascii="Times New Roman" w:hAnsi="Times New Roman"/>
          <w:b w:val="0"/>
          <w:i w:val="0"/>
          <w:u w:val="none"/>
        </w:rPr>
        <w:t>, conforme a su reglamento y a la Ley 1563 de 2012.</w:t>
      </w:r>
    </w:p>
    <w:p>
      <w:r>
        <w:rPr>
          <w:rFonts w:ascii="Times New Roman" w:hAnsi="Times New Roman"/>
          <w:b w:val="0"/>
          <w:i w:val="0"/>
          <w:u w:val="none"/>
        </w:rPr>
        <w:t xml:space="preserve">El tribunal estará integrado por </w:t>
      </w:r>
      <w:r>
        <w:rPr>
          <w:rFonts w:ascii="Times New Roman" w:hAnsi="Times New Roman"/>
          <w:b/>
          <w:i w:val="0"/>
          <w:u w:val="none"/>
        </w:rPr>
        <w:t>un (1) árbitro</w:t>
      </w:r>
      <w:r>
        <w:rPr>
          <w:rFonts w:ascii="Times New Roman" w:hAnsi="Times New Roman"/>
          <w:b w:val="0"/>
          <w:i w:val="0"/>
          <w:u w:val="none"/>
        </w:rPr>
        <w:t xml:space="preserve">, designado de común acuerdo por las partes y, a falta de acuerdo dentro de los diez (10) días hábiles siguientes, por sorteo del referido Centro. El tribunal decidirá </w:t>
      </w:r>
      <w:r>
        <w:rPr>
          <w:rFonts w:ascii="Times New Roman" w:hAnsi="Times New Roman"/>
          <w:b/>
          <w:i w:val="0"/>
          <w:u w:val="none"/>
        </w:rPr>
        <w:t>en derecho</w:t>
      </w:r>
      <w:r>
        <w:rPr>
          <w:rFonts w:ascii="Times New Roman" w:hAnsi="Times New Roman"/>
          <w:b w:val="0"/>
          <w:i w:val="0"/>
          <w:u w:val="none"/>
        </w:rPr>
        <w:t>, tendrá sede en la ciudad de Medellín y el idioma del proceso será el castellano.</w:t>
      </w:r>
    </w:p>
    <w:p>
      <w:r>
        <w:rPr>
          <w:rFonts w:ascii="Times New Roman" w:hAnsi="Times New Roman"/>
          <w:b/>
          <w:i w:val="0"/>
          <w:u w:val="none"/>
        </w:rPr>
        <w:t>Parágrafo primero.</w:t>
      </w:r>
      <w:r>
        <w:rPr>
          <w:rFonts w:ascii="Times New Roman" w:hAnsi="Times New Roman"/>
          <w:b w:val="0"/>
          <w:i w:val="0"/>
          <w:u w:val="none"/>
        </w:rPr>
        <w:t xml:space="preserve"> La introducción, modificación o supresión de esta cláusula requerirá el </w:t>
      </w:r>
      <w:r>
        <w:rPr>
          <w:rFonts w:ascii="Times New Roman" w:hAnsi="Times New Roman"/>
          <w:b/>
          <w:i w:val="0"/>
          <w:u w:val="none"/>
        </w:rPr>
        <w:t>voto unánime</w:t>
      </w:r>
      <w:r>
        <w:rPr>
          <w:rFonts w:ascii="Times New Roman" w:hAnsi="Times New Roman"/>
          <w:b w:val="0"/>
          <w:i w:val="0"/>
          <w:u w:val="none"/>
        </w:rPr>
        <w:t xml:space="preserve"> de la totalidad de los accionistas, conforme al artículo 41 de la Ley 1258 de 2008. Los accionistas que no consientan en dicha modificación tendrán derecho a retirarse de la sociedad en los términos del artículo 39 de la misma ley.</w:t>
      </w:r>
    </w:p>
    <w:p>
      <w:r>
        <w:rPr>
          <w:rFonts w:ascii="Times New Roman" w:hAnsi="Times New Roman"/>
          <w:b/>
          <w:i w:val="0"/>
          <w:u w:val="none"/>
        </w:rPr>
        <w:t>Parágrafo segundo.</w:t>
      </w:r>
      <w:r>
        <w:rPr>
          <w:rFonts w:ascii="Times New Roman" w:hAnsi="Times New Roman"/>
          <w:b w:val="0"/>
          <w:i w:val="0"/>
          <w:u w:val="none"/>
        </w:rPr>
        <w:t xml:space="preserve"> Lo dispuesto en este artículo se entiende sin perjuicio de las </w:t>
      </w:r>
      <w:r>
        <w:rPr>
          <w:rFonts w:ascii="Times New Roman" w:hAnsi="Times New Roman"/>
          <w:b/>
          <w:i w:val="0"/>
          <w:u w:val="none"/>
        </w:rPr>
        <w:t>funciones jurisdiccionales</w:t>
      </w:r>
      <w:r>
        <w:rPr>
          <w:rFonts w:ascii="Times New Roman" w:hAnsi="Times New Roman"/>
          <w:b w:val="0"/>
          <w:i w:val="0"/>
          <w:u w:val="none"/>
        </w:rPr>
        <w:t xml:space="preserve"> atribuidas a la Superintendencia de Sociedades por los artículos 24 del Código General del Proceso, 40, 42 y 43 de la Ley 1258 de 2008 y 252 de la Ley 1450 de 2011, en los asuntos de su competencia privativa o a prevención.</w:t>
      </w:r>
    </w:p>
    <w:p>
      <w:pPr>
        <w:keepNext/>
        <w:spacing w:before="320" w:after="160"/>
        <w:jc w:val="center"/>
      </w:pPr>
      <w:r>
        <w:rPr>
          <w:rFonts w:ascii="Times New Roman" w:hAnsi="Times New Roman"/>
          <w:b/>
          <w:i w:val="0"/>
          <w:sz w:val="24"/>
          <w:u w:val="none"/>
        </w:rPr>
        <w:t>CAPÍTULO VIII. DISOLUCIÓN Y LIQUIDACIÓN</w:t>
      </w:r>
    </w:p>
    <w:p>
      <w:pPr>
        <w:keepNext/>
        <w:spacing w:before="240" w:after="80"/>
        <w:jc w:val="left"/>
      </w:pPr>
      <w:r>
        <w:rPr>
          <w:rFonts w:ascii="Times New Roman" w:hAnsi="Times New Roman"/>
          <w:b/>
          <w:i w:val="0"/>
          <w:sz w:val="24"/>
          <w:u w:val="none"/>
        </w:rPr>
        <w:t>Artículo 36 — Causales de disolución</w:t>
      </w:r>
    </w:p>
    <w:p>
      <w:r>
        <w:rPr>
          <w:rFonts w:ascii="Times New Roman" w:hAnsi="Times New Roman"/>
          <w:b w:val="0"/>
          <w:i w:val="0"/>
          <w:u w:val="none"/>
        </w:rPr>
        <w:t xml:space="preserve">La sociedad se disolverá por la ocurrencia de cualquiera de las siguientes causales, de conformidad con el </w:t>
      </w:r>
      <w:r>
        <w:rPr>
          <w:rFonts w:ascii="Times New Roman" w:hAnsi="Times New Roman"/>
          <w:b/>
          <w:i w:val="0"/>
          <w:u w:val="none"/>
        </w:rPr>
        <w:t>artículo 34 de la Ley 1258 de 2008</w:t>
      </w:r>
      <w:r>
        <w:rPr>
          <w:rFonts w:ascii="Times New Roman" w:hAnsi="Times New Roman"/>
          <w:b w:val="0"/>
          <w:i w:val="0"/>
          <w:u w:val="none"/>
        </w:rPr>
        <w:t>:</w:t>
      </w:r>
    </w:p>
    <w:p>
      <w:pPr>
        <w:ind w:left="567" w:hanging="567"/>
      </w:pPr>
      <w:r>
        <w:rPr>
          <w:rFonts w:ascii="Times New Roman" w:hAnsi="Times New Roman"/>
          <w:b w:val="0"/>
          <w:i w:val="0"/>
          <w:u w:val="none"/>
        </w:rPr>
        <w:t>1. Por voluntad de los accionistas adoptada en la asamblea general, con la mayoría prevista en el parágrafo primero del artículo 23 de estos estatutos.</w:t>
      </w:r>
    </w:p>
    <w:p>
      <w:pPr>
        <w:ind w:left="567" w:hanging="567"/>
      </w:pPr>
      <w:r>
        <w:rPr>
          <w:rFonts w:ascii="Times New Roman" w:hAnsi="Times New Roman"/>
          <w:b w:val="0"/>
          <w:i w:val="0"/>
          <w:u w:val="none"/>
        </w:rPr>
        <w:t>2. Por imposibilidad de desarrollar las actividades previstas en su objeto social.</w:t>
      </w:r>
    </w:p>
    <w:p>
      <w:pPr>
        <w:ind w:left="567" w:hanging="567"/>
      </w:pPr>
      <w:r>
        <w:rPr>
          <w:rFonts w:ascii="Times New Roman" w:hAnsi="Times New Roman"/>
          <w:b w:val="0"/>
          <w:i w:val="0"/>
          <w:u w:val="none"/>
        </w:rPr>
        <w:t>3. Por la iniciación del trámite de liquidación judicial.</w:t>
      </w:r>
    </w:p>
    <w:p>
      <w:pPr>
        <w:ind w:left="567" w:hanging="567"/>
      </w:pPr>
      <w:r>
        <w:rPr>
          <w:rFonts w:ascii="Times New Roman" w:hAnsi="Times New Roman"/>
          <w:b w:val="0"/>
          <w:i w:val="0"/>
          <w:u w:val="none"/>
        </w:rPr>
        <w:t>4. Por las causales previstas en la ley o en estos estatutos.</w:t>
      </w:r>
    </w:p>
    <w:p>
      <w:pPr>
        <w:ind w:left="567" w:hanging="567"/>
      </w:pPr>
      <w:r>
        <w:rPr>
          <w:rFonts w:ascii="Times New Roman" w:hAnsi="Times New Roman"/>
          <w:b w:val="0"/>
          <w:i w:val="0"/>
          <w:u w:val="none"/>
        </w:rPr>
        <w:t>5. Por orden de autoridad competente.</w:t>
      </w:r>
    </w:p>
    <w:p>
      <w:pPr>
        <w:ind w:left="567" w:hanging="567"/>
      </w:pPr>
      <w:r>
        <w:rPr>
          <w:rFonts w:ascii="Times New Roman" w:hAnsi="Times New Roman"/>
          <w:b w:val="0"/>
          <w:i w:val="0"/>
          <w:u w:val="none"/>
        </w:rPr>
        <w:t xml:space="preserve">6. Por </w:t>
      </w:r>
      <w:r>
        <w:rPr>
          <w:rFonts w:ascii="Times New Roman" w:hAnsi="Times New Roman"/>
          <w:b/>
          <w:i w:val="0"/>
          <w:u w:val="none"/>
        </w:rPr>
        <w:t>no cumplimiento de la hipótesis de negocio en marcha</w:t>
      </w:r>
      <w:r>
        <w:rPr>
          <w:rFonts w:ascii="Times New Roman" w:hAnsi="Times New Roman"/>
          <w:b w:val="0"/>
          <w:i w:val="0"/>
          <w:u w:val="none"/>
        </w:rPr>
        <w:t xml:space="preserve"> al cierre del ejercicio, de conformidad con el </w:t>
      </w:r>
      <w:r>
        <w:rPr>
          <w:rFonts w:ascii="Times New Roman" w:hAnsi="Times New Roman"/>
          <w:b/>
          <w:i w:val="0"/>
          <w:u w:val="none"/>
        </w:rPr>
        <w:t>artículo 4.º de la Ley 2069 de 2020</w:t>
      </w:r>
      <w:r>
        <w:rPr>
          <w:rFonts w:ascii="Times New Roman" w:hAnsi="Times New Roman"/>
          <w:b w:val="0"/>
          <w:i w:val="0"/>
          <w:u w:val="none"/>
        </w:rPr>
        <w:t>, norma que derogó expresamente el numeral 7.º del artículo 34 de la Ley 1258 de 2008 (disolución por pérdidas) y dispuso que toda mención a la causal de disolución por pérdidas se entiende referida a esta nueva causal.</w:t>
      </w:r>
    </w:p>
    <w:p>
      <w:r>
        <w:rPr>
          <w:rFonts w:ascii="Times New Roman" w:hAnsi="Times New Roman"/>
          <w:b/>
          <w:i w:val="0"/>
          <w:u w:val="none"/>
        </w:rPr>
        <w:t>Parágrafo.</w:t>
      </w:r>
      <w:r>
        <w:rPr>
          <w:rFonts w:ascii="Times New Roman" w:hAnsi="Times New Roman"/>
          <w:b w:val="0"/>
          <w:i w:val="0"/>
          <w:u w:val="none"/>
        </w:rPr>
        <w:t xml:space="preserve"> Cuando los administradores detecten el acaecimiento de la causal prevista en el numeral 6.º, deberán abstenerse de iniciar nuevas operaciones distintas del giro ordinario y convocar de inmediato a la asamblea general de accionistas para informar completa y documentadamente dicha situación, so pena de responder solidariamente por los perjuicios que causen a los accionistas o a terceros.</w:t>
      </w:r>
    </w:p>
    <w:p>
      <w:pPr>
        <w:keepNext/>
        <w:spacing w:before="240" w:after="80"/>
        <w:jc w:val="left"/>
      </w:pPr>
      <w:r>
        <w:rPr>
          <w:rFonts w:ascii="Times New Roman" w:hAnsi="Times New Roman"/>
          <w:b/>
          <w:i w:val="0"/>
          <w:sz w:val="24"/>
          <w:u w:val="none"/>
        </w:rPr>
        <w:t>Artículo 37 — Enervamiento de las causales</w:t>
      </w:r>
    </w:p>
    <w:p>
      <w:r>
        <w:rPr>
          <w:rFonts w:ascii="Times New Roman" w:hAnsi="Times New Roman"/>
          <w:b w:val="0"/>
          <w:i w:val="0"/>
          <w:u w:val="none"/>
        </w:rPr>
        <w:t xml:space="preserve">Podrá evitarse la disolución de la sociedad mediante la adopción de las medidas a que hubiere lugar según la causal ocurrida, siempre que el enervamiento se produzca dentro de los </w:t>
      </w:r>
      <w:r>
        <w:rPr>
          <w:rFonts w:ascii="Times New Roman" w:hAnsi="Times New Roman"/>
          <w:b/>
          <w:i w:val="0"/>
          <w:u w:val="none"/>
        </w:rPr>
        <w:t>seis (6) meses</w:t>
      </w:r>
      <w:r>
        <w:rPr>
          <w:rFonts w:ascii="Times New Roman" w:hAnsi="Times New Roman"/>
          <w:b w:val="0"/>
          <w:i w:val="0"/>
          <w:u w:val="none"/>
        </w:rPr>
        <w:t xml:space="preserve"> siguientes a la fecha en que la asamblea general de accionistas reconozca su acaecimiento. Ese plazo será de </w:t>
      </w:r>
      <w:r>
        <w:rPr>
          <w:rFonts w:ascii="Times New Roman" w:hAnsi="Times New Roman"/>
          <w:b/>
          <w:i w:val="0"/>
          <w:u w:val="none"/>
        </w:rPr>
        <w:t>dieciocho (18) meses</w:t>
      </w:r>
      <w:r>
        <w:rPr>
          <w:rFonts w:ascii="Times New Roman" w:hAnsi="Times New Roman"/>
          <w:b w:val="0"/>
          <w:i w:val="0"/>
          <w:u w:val="none"/>
        </w:rPr>
        <w:t xml:space="preserve"> tratándose de la causal de </w:t>
      </w:r>
      <w:r>
        <w:rPr>
          <w:rFonts w:ascii="Times New Roman" w:hAnsi="Times New Roman"/>
          <w:b/>
          <w:i w:val="0"/>
          <w:u w:val="none"/>
        </w:rPr>
        <w:t>no cumplimiento de la hipótesis de negocio en marcha</w:t>
      </w:r>
      <w:r>
        <w:rPr>
          <w:rFonts w:ascii="Times New Roman" w:hAnsi="Times New Roman"/>
          <w:b w:val="0"/>
          <w:i w:val="0"/>
          <w:u w:val="none"/>
        </w:rPr>
        <w:t xml:space="preserve"> prevista en el numeral 6.º del artículo anterior, por remisión del inciso segundo del artículo 35 de la Ley 1258 de 2008, cuyo supuesto original —la disolución por pérdidas del derogado numeral 7.º del artículo 34— se entiende hoy referido a aquella causal en virtud del parágrafo primero del artículo 4.º de la Ley 2069 de 2020. En todo caso, el acuerdo deberá adoptarse con las mayorías previstas en estos estatutos y sin afectar los derechos de terceros.</w:t>
      </w:r>
    </w:p>
    <w:p>
      <w:pPr>
        <w:keepNext/>
        <w:spacing w:before="240" w:after="80"/>
        <w:jc w:val="left"/>
      </w:pPr>
      <w:r>
        <w:rPr>
          <w:rFonts w:ascii="Times New Roman" w:hAnsi="Times New Roman"/>
          <w:b/>
          <w:i w:val="0"/>
          <w:sz w:val="24"/>
          <w:u w:val="none"/>
        </w:rPr>
        <w:t>Artículo 38 — Liquidación</w:t>
      </w:r>
    </w:p>
    <w:p>
      <w:r>
        <w:rPr>
          <w:rFonts w:ascii="Times New Roman" w:hAnsi="Times New Roman"/>
          <w:b w:val="0"/>
          <w:i w:val="0"/>
          <w:u w:val="none"/>
        </w:rPr>
        <w:t xml:space="preserve">La liquidación del patrimonio social se realizará conforme al procedimiento señalado para la </w:t>
      </w:r>
      <w:r>
        <w:rPr>
          <w:rFonts w:ascii="Times New Roman" w:hAnsi="Times New Roman"/>
          <w:b/>
          <w:i w:val="0"/>
          <w:u w:val="none"/>
        </w:rPr>
        <w:t>liquidación de las sociedades de responsabilidad limitada</w:t>
      </w:r>
      <w:r>
        <w:rPr>
          <w:rFonts w:ascii="Times New Roman" w:hAnsi="Times New Roman"/>
          <w:b w:val="0"/>
          <w:i w:val="0"/>
          <w:u w:val="none"/>
        </w:rPr>
        <w:t xml:space="preserve"> (artículos 225 y siguientes del Código de Comercio), con las particularidades del artículo 36 de la Ley 1258 de 2008. Actuará como </w:t>
      </w:r>
      <w:r>
        <w:rPr>
          <w:rFonts w:ascii="Times New Roman" w:hAnsi="Times New Roman"/>
          <w:b/>
          <w:i w:val="0"/>
          <w:u w:val="none"/>
        </w:rPr>
        <w:t>liquidador</w:t>
      </w:r>
      <w:r>
        <w:rPr>
          <w:rFonts w:ascii="Times New Roman" w:hAnsi="Times New Roman"/>
          <w:b w:val="0"/>
          <w:i w:val="0"/>
          <w:u w:val="none"/>
        </w:rPr>
        <w:t xml:space="preserve"> el representante legal en ejercicio o la persona que designe la asamblea general de accionistas, cuyo nombramiento se inscribirá en el registro mercantil. Pagado el pasivo externo, el remanente se distribuirá entre los accionistas a prorrata de sus acciones.</w:t>
      </w:r>
    </w:p>
    <w:p>
      <w:pPr>
        <w:keepNext/>
        <w:spacing w:before="320" w:after="160"/>
        <w:jc w:val="center"/>
      </w:pPr>
      <w:r>
        <w:rPr>
          <w:rFonts w:ascii="Times New Roman" w:hAnsi="Times New Roman"/>
          <w:b/>
          <w:i w:val="0"/>
          <w:sz w:val="24"/>
          <w:u w:val="none"/>
        </w:rPr>
        <w:t>CAPÍTULO IX. DISPOSICIONES VARIAS</w:t>
      </w:r>
    </w:p>
    <w:p>
      <w:pPr>
        <w:keepNext/>
        <w:spacing w:before="240" w:after="80"/>
        <w:jc w:val="left"/>
      </w:pPr>
      <w:r>
        <w:rPr>
          <w:rFonts w:ascii="Times New Roman" w:hAnsi="Times New Roman"/>
          <w:b/>
          <w:i w:val="0"/>
          <w:sz w:val="24"/>
          <w:u w:val="none"/>
        </w:rPr>
        <w:t>Artículo 39 — Exclusión de accionistas</w:t>
      </w:r>
    </w:p>
    <w:p>
      <w:r>
        <w:rPr>
          <w:rFonts w:ascii="Times New Roman" w:hAnsi="Times New Roman"/>
          <w:b w:val="0"/>
          <w:i w:val="0"/>
          <w:u w:val="none"/>
        </w:rPr>
        <w:t xml:space="preserve">La asamblea general de accionistas podrá decidir la </w:t>
      </w:r>
      <w:r>
        <w:rPr>
          <w:rFonts w:ascii="Times New Roman" w:hAnsi="Times New Roman"/>
          <w:b/>
          <w:i w:val="0"/>
          <w:u w:val="none"/>
        </w:rPr>
        <w:t>exclusión</w:t>
      </w:r>
      <w:r>
        <w:rPr>
          <w:rFonts w:ascii="Times New Roman" w:hAnsi="Times New Roman"/>
          <w:b w:val="0"/>
          <w:i w:val="0"/>
          <w:u w:val="none"/>
        </w:rPr>
        <w:t xml:space="preserve"> de un accionista, con el voto favorable de accionistas titulares de por lo menos el </w:t>
      </w:r>
      <w:r>
        <w:rPr>
          <w:rFonts w:ascii="Times New Roman" w:hAnsi="Times New Roman"/>
          <w:b/>
          <w:i w:val="0"/>
          <w:u w:val="none"/>
        </w:rPr>
        <w:t>setenta por ciento (70 %) de las acciones suscritas restantes</w:t>
      </w:r>
      <w:r>
        <w:rPr>
          <w:rFonts w:ascii="Times New Roman" w:hAnsi="Times New Roman"/>
          <w:b w:val="0"/>
          <w:i w:val="0"/>
          <w:u w:val="none"/>
        </w:rPr>
        <w:t>, esto es, excluidas del cómputo tanto el voto como las acciones del accionista destinatario de la medida, en los siguientes casos: (i) incumplimiento grave y reiterado de las obligaciones derivadas de estos estatutos o de acuerdos de accionistas debidamente depositados; (ii) realización de actos de competencia desleal frente a la sociedad; (iii) incumplimiento del deber de información sobre cambio de control previsto en el artículo 16 de estos estatutos; y (iv) condena penal ejecutoriada por delitos contra el patrimonio económico, la administración pública, el orden económico y social o el sistema financiero. El reembolso de la participación del accionista excluido se hará conforme al artículo 39 de la Ley 1258 de 2008 y a las reglas de valoración del artículo 14, literal e), de estos estatutos.</w:t>
      </w:r>
    </w:p>
    <w:p>
      <w:pPr>
        <w:keepNext/>
        <w:spacing w:before="240" w:after="80"/>
        <w:jc w:val="left"/>
      </w:pPr>
      <w:r>
        <w:rPr>
          <w:rFonts w:ascii="Times New Roman" w:hAnsi="Times New Roman"/>
          <w:b/>
          <w:i w:val="0"/>
          <w:sz w:val="24"/>
          <w:u w:val="none"/>
        </w:rPr>
        <w:t>Artículo 40 — Acuerdos de accionistas</w:t>
      </w:r>
    </w:p>
    <w:p>
      <w:r>
        <w:rPr>
          <w:rFonts w:ascii="Times New Roman" w:hAnsi="Times New Roman"/>
          <w:b w:val="0"/>
          <w:i w:val="0"/>
          <w:u w:val="none"/>
        </w:rPr>
        <w:t xml:space="preserve">Los </w:t>
      </w:r>
      <w:r>
        <w:rPr>
          <w:rFonts w:ascii="Times New Roman" w:hAnsi="Times New Roman"/>
          <w:b/>
          <w:i w:val="0"/>
          <w:u w:val="none"/>
        </w:rPr>
        <w:t>acuerdos de accionistas</w:t>
      </w:r>
      <w:r>
        <w:rPr>
          <w:rFonts w:ascii="Times New Roman" w:hAnsi="Times New Roman"/>
          <w:b w:val="0"/>
          <w:i w:val="0"/>
          <w:u w:val="none"/>
        </w:rPr>
        <w:t xml:space="preserve"> que se celebren sobre la compra o venta de acciones, la preferencia para adquirirlas, las restricciones para transferirlas, el ejercicio del derecho de voto, la persona que habrá de representar las acciones en la asamblea o cualquier otro asunto lícito, serán </w:t>
      </w:r>
      <w:r>
        <w:rPr>
          <w:rFonts w:ascii="Times New Roman" w:hAnsi="Times New Roman"/>
          <w:b/>
          <w:i w:val="0"/>
          <w:u w:val="none"/>
        </w:rPr>
        <w:t>oponibles a la sociedad</w:t>
      </w:r>
      <w:r>
        <w:rPr>
          <w:rFonts w:ascii="Times New Roman" w:hAnsi="Times New Roman"/>
          <w:b w:val="0"/>
          <w:i w:val="0"/>
          <w:u w:val="none"/>
        </w:rPr>
        <w:t xml:space="preserve"> siempre que consten por escrito y que se entregue un ejemplar al representante legal para su depósito en las oficinas donde funcione la administración, en los términos del </w:t>
      </w:r>
      <w:r>
        <w:rPr>
          <w:rFonts w:ascii="Times New Roman" w:hAnsi="Times New Roman"/>
          <w:b/>
          <w:i w:val="0"/>
          <w:u w:val="none"/>
        </w:rPr>
        <w:t>artículo 24 de la Ley 1258 de 2008</w:t>
      </w:r>
      <w:r>
        <w:rPr>
          <w:rFonts w:ascii="Times New Roman" w:hAnsi="Times New Roman"/>
          <w:b w:val="0"/>
          <w:i w:val="0"/>
          <w:u w:val="none"/>
        </w:rPr>
        <w:t>. Su término de duración no podrá exceder de diez (10) años, prorrogables por voluntad unánime de sus suscriptores.</w:t>
      </w:r>
    </w:p>
    <w:p>
      <w:pPr>
        <w:keepNext/>
        <w:spacing w:before="240" w:after="80"/>
        <w:jc w:val="left"/>
      </w:pPr>
      <w:r>
        <w:rPr>
          <w:rFonts w:ascii="Times New Roman" w:hAnsi="Times New Roman"/>
          <w:b/>
          <w:i w:val="0"/>
          <w:sz w:val="24"/>
          <w:u w:val="none"/>
        </w:rPr>
        <w:t>Artículo 41 — Tratamiento de datos personales y cumplimiento normativo</w:t>
      </w:r>
    </w:p>
    <w:p>
      <w:r>
        <w:rPr>
          <w:rFonts w:ascii="Times New Roman" w:hAnsi="Times New Roman"/>
          <w:b w:val="0"/>
          <w:i w:val="0"/>
          <w:u w:val="none"/>
        </w:rPr>
        <w:t xml:space="preserve">La sociedad adoptará una </w:t>
      </w:r>
      <w:r>
        <w:rPr>
          <w:rFonts w:ascii="Times New Roman" w:hAnsi="Times New Roman"/>
          <w:b/>
          <w:i w:val="0"/>
          <w:u w:val="none"/>
        </w:rPr>
        <w:t>política de tratamiento de la información</w:t>
      </w:r>
      <w:r>
        <w:rPr>
          <w:rFonts w:ascii="Times New Roman" w:hAnsi="Times New Roman"/>
          <w:b w:val="0"/>
          <w:i w:val="0"/>
          <w:u w:val="none"/>
        </w:rPr>
        <w:t xml:space="preserve"> y los mecanismos necesarios para el cumplimiento de la Ley 1581 de 2012 y sus decretos reglamentarios, así como los sistemas de gestión que le sean exigibles en materia de </w:t>
      </w:r>
      <w:r>
        <w:rPr>
          <w:rFonts w:ascii="Times New Roman" w:hAnsi="Times New Roman"/>
          <w:b/>
          <w:i w:val="0"/>
          <w:u w:val="none"/>
        </w:rPr>
        <w:t>seguridad y salud en el trabajo</w:t>
      </w:r>
      <w:r>
        <w:rPr>
          <w:rFonts w:ascii="Times New Roman" w:hAnsi="Times New Roman"/>
          <w:b w:val="0"/>
          <w:i w:val="0"/>
          <w:u w:val="none"/>
        </w:rPr>
        <w:t xml:space="preserve"> (Decreto 1072 de 2015 y Resolución 0312 de 2019), teniendo en cuenta que la sociedad iniciará operaciones con nueve (9) trabajadores. Igualmente, cuando la sociedad supere los umbrales previstos en la Circular Externa 100-000016 de 2020 de la Superintendencia de Sociedades, implementará el </w:t>
      </w:r>
      <w:r>
        <w:rPr>
          <w:rFonts w:ascii="Times New Roman" w:hAnsi="Times New Roman"/>
          <w:b/>
          <w:i w:val="0"/>
          <w:u w:val="none"/>
        </w:rPr>
        <w:t>Sistema de Autocontrol y Gestión del Riesgo LA/FT/FPADM (SAGRILAFT)</w:t>
      </w:r>
      <w:r>
        <w:rPr>
          <w:rFonts w:ascii="Times New Roman" w:hAnsi="Times New Roman"/>
          <w:b w:val="0"/>
          <w:i w:val="0"/>
          <w:u w:val="none"/>
        </w:rPr>
        <w:t xml:space="preserve"> y el </w:t>
      </w:r>
      <w:r>
        <w:rPr>
          <w:rFonts w:ascii="Times New Roman" w:hAnsi="Times New Roman"/>
          <w:b/>
          <w:i w:val="0"/>
          <w:u w:val="none"/>
        </w:rPr>
        <w:t>Programa de Transparencia y Ética Empresarial</w:t>
      </w:r>
      <w:r>
        <w:rPr>
          <w:rFonts w:ascii="Times New Roman" w:hAnsi="Times New Roman"/>
          <w:b w:val="0"/>
          <w:i w:val="0"/>
          <w:u w:val="none"/>
        </w:rPr>
        <w:t xml:space="preserve"> que corresponda.</w:t>
      </w:r>
    </w:p>
    <w:p>
      <w:pPr>
        <w:keepNext/>
        <w:spacing w:before="240" w:after="80"/>
        <w:jc w:val="left"/>
      </w:pPr>
      <w:r>
        <w:rPr>
          <w:rFonts w:ascii="Times New Roman" w:hAnsi="Times New Roman"/>
          <w:b/>
          <w:i w:val="0"/>
          <w:sz w:val="24"/>
          <w:u w:val="none"/>
        </w:rPr>
        <w:t>Artículo 42 — Remisión normativa</w:t>
      </w:r>
    </w:p>
    <w:p>
      <w:r>
        <w:rPr>
          <w:rFonts w:ascii="Times New Roman" w:hAnsi="Times New Roman"/>
          <w:b w:val="0"/>
          <w:i w:val="0"/>
          <w:u w:val="none"/>
        </w:rPr>
        <w:t xml:space="preserve">En lo no previsto en estos estatutos, la sociedad se regirá por las disposiciones de la </w:t>
      </w:r>
      <w:r>
        <w:rPr>
          <w:rFonts w:ascii="Times New Roman" w:hAnsi="Times New Roman"/>
          <w:b/>
          <w:i w:val="0"/>
          <w:u w:val="none"/>
        </w:rPr>
        <w:t>Ley 1258 de 2008</w:t>
      </w:r>
      <w:r>
        <w:rPr>
          <w:rFonts w:ascii="Times New Roman" w:hAnsi="Times New Roman"/>
          <w:b w:val="0"/>
          <w:i w:val="0"/>
          <w:u w:val="none"/>
        </w:rPr>
        <w:t xml:space="preserve">, por las normas legales que rigen a la </w:t>
      </w:r>
      <w:r>
        <w:rPr>
          <w:rFonts w:ascii="Times New Roman" w:hAnsi="Times New Roman"/>
          <w:b/>
          <w:i w:val="0"/>
          <w:u w:val="none"/>
        </w:rPr>
        <w:t>sociedad anónima</w:t>
      </w:r>
      <w:r>
        <w:rPr>
          <w:rFonts w:ascii="Times New Roman" w:hAnsi="Times New Roman"/>
          <w:b w:val="0"/>
          <w:i w:val="0"/>
          <w:u w:val="none"/>
        </w:rPr>
        <w:t xml:space="preserve"> y, en su defecto, en cuanto no resulten contradictorias, por las disposiciones generales que rigen a las sociedades previstas en el </w:t>
      </w:r>
      <w:r>
        <w:rPr>
          <w:rFonts w:ascii="Times New Roman" w:hAnsi="Times New Roman"/>
          <w:b/>
          <w:i w:val="0"/>
          <w:u w:val="none"/>
        </w:rPr>
        <w:t>Código de Comercio</w:t>
      </w:r>
      <w:r>
        <w:rPr>
          <w:rFonts w:ascii="Times New Roman" w:hAnsi="Times New Roman"/>
          <w:b w:val="0"/>
          <w:i w:val="0"/>
          <w:u w:val="none"/>
        </w:rPr>
        <w:t>, conforme al artículo 45 de la Ley 1258 de 2008.</w:t>
      </w:r>
    </w:p>
    <w:p>
      <w:pPr>
        <w:keepNext/>
        <w:spacing w:before="320" w:after="160"/>
        <w:jc w:val="center"/>
      </w:pPr>
      <w:r>
        <w:rPr>
          <w:rFonts w:ascii="Times New Roman" w:hAnsi="Times New Roman"/>
          <w:b/>
          <w:i w:val="0"/>
          <w:sz w:val="24"/>
          <w:u w:val="none"/>
        </w:rPr>
        <w:t>CAPÍTULO X. DISPOSICIONES TRANSITORIAS</w:t>
      </w:r>
    </w:p>
    <w:p>
      <w:pPr>
        <w:keepNext/>
        <w:spacing w:before="240" w:after="80"/>
        <w:jc w:val="left"/>
      </w:pPr>
      <w:r>
        <w:rPr>
          <w:rFonts w:ascii="Times New Roman" w:hAnsi="Times New Roman"/>
          <w:b/>
          <w:i w:val="0"/>
          <w:sz w:val="24"/>
          <w:u w:val="none"/>
        </w:rPr>
        <w:t>Artículo transitorio 1.º — Nombramientos</w:t>
      </w:r>
    </w:p>
    <w:p>
      <w:r>
        <w:rPr>
          <w:rFonts w:ascii="Times New Roman" w:hAnsi="Times New Roman"/>
          <w:b w:val="0"/>
          <w:i w:val="0"/>
          <w:u w:val="none"/>
        </w:rPr>
        <w:t>Los accionistas constituyentes, actuando como asamblea general de accionistas y por unanimidad, designan:</w:t>
      </w:r>
    </w:p>
    <w:tbl>
      <w:tblPr>
        <w:tblStyle w:val="TableGrid"/>
        <w:tblW w:type="auto" w:w="0"/>
        <w:jc w:val="center"/>
        <w:tblLayout w:type="fixed"/>
        <w:tblLook w:firstColumn="1" w:firstRow="1" w:lastColumn="0" w:lastRow="0" w:noHBand="0" w:noVBand="1" w:val="04A0"/>
        <w:tblW w:w="9122" w:type="dxa"/>
        <w:tblLayout w:type="fixed"/>
      </w:tblPr>
      <w:tblGrid>
        <w:gridCol w:w="3101"/>
        <w:gridCol w:w="4014"/>
        <w:gridCol w:w="2007"/>
      </w:tblGrid>
      <w:tr>
        <w:tc>
          <w:tcPr>
            <w:tcW w:type="dxa" w:w="3101"/>
            <w:shd w:val="clear" w:color="auto" w:fill="D9D9D9"/>
          </w:tcPr>
          <w:p>
            <w:pPr>
              <w:spacing w:after="40" w:before="40" w:line="240" w:lineRule="auto"/>
              <w:jc w:val="center"/>
            </w:pPr>
            <w:r>
              <w:rPr>
                <w:rFonts w:ascii="Times New Roman" w:hAnsi="Times New Roman"/>
                <w:b/>
                <w:i w:val="0"/>
                <w:sz w:val="20"/>
                <w:u w:val="none"/>
              </w:rPr>
              <w:t>Cargo</w:t>
            </w:r>
          </w:p>
        </w:tc>
        <w:tc>
          <w:tcPr>
            <w:tcW w:type="dxa" w:w="4014"/>
            <w:shd w:val="clear" w:color="auto" w:fill="D9D9D9"/>
          </w:tcPr>
          <w:p>
            <w:pPr>
              <w:spacing w:after="40" w:before="40" w:line="240" w:lineRule="auto"/>
              <w:jc w:val="center"/>
            </w:pPr>
            <w:r>
              <w:rPr>
                <w:rFonts w:ascii="Times New Roman" w:hAnsi="Times New Roman"/>
                <w:b/>
                <w:i w:val="0"/>
                <w:sz w:val="20"/>
                <w:u w:val="none"/>
              </w:rPr>
              <w:t>Persona designada</w:t>
            </w:r>
          </w:p>
        </w:tc>
        <w:tc>
          <w:tcPr>
            <w:tcW w:type="dxa" w:w="2007"/>
            <w:shd w:val="clear" w:color="auto" w:fill="D9D9D9"/>
          </w:tcPr>
          <w:p>
            <w:pPr>
              <w:spacing w:after="40" w:before="40" w:line="240" w:lineRule="auto"/>
              <w:jc w:val="center"/>
            </w:pPr>
            <w:r>
              <w:rPr>
                <w:rFonts w:ascii="Times New Roman" w:hAnsi="Times New Roman"/>
                <w:b/>
                <w:i w:val="0"/>
                <w:sz w:val="20"/>
                <w:u w:val="none"/>
              </w:rPr>
              <w:t>Documento de identidad</w:t>
            </w:r>
          </w:p>
        </w:tc>
      </w:tr>
      <w:tr>
        <w:tc>
          <w:tcPr>
            <w:tcW w:type="dxa" w:w="3101"/>
          </w:tcPr>
          <w:p>
            <w:pPr>
              <w:spacing w:after="40" w:before="40" w:line="240" w:lineRule="auto"/>
              <w:jc w:val="left"/>
            </w:pPr>
            <w:r>
              <w:rPr>
                <w:rFonts w:ascii="Times New Roman" w:hAnsi="Times New Roman"/>
                <w:b w:val="0"/>
                <w:i w:val="0"/>
                <w:sz w:val="20"/>
                <w:u w:val="none"/>
              </w:rPr>
              <w:t>Representante legal principal</w:t>
            </w:r>
          </w:p>
        </w:tc>
        <w:tc>
          <w:tcPr>
            <w:tcW w:type="dxa" w:w="4014"/>
          </w:tcPr>
          <w:p>
            <w:pPr>
              <w:spacing w:after="40" w:before="40" w:line="240" w:lineRule="auto"/>
              <w:jc w:val="left"/>
            </w:pPr>
            <w:r>
              <w:rPr>
                <w:rFonts w:ascii="Times New Roman" w:hAnsi="Times New Roman"/>
                <w:b w:val="0"/>
                <w:i w:val="0"/>
                <w:sz w:val="20"/>
                <w:u w:val="none"/>
              </w:rPr>
              <w:t>Mariana López Castaño</w:t>
            </w:r>
          </w:p>
        </w:tc>
        <w:tc>
          <w:tcPr>
            <w:tcW w:type="dxa" w:w="2007"/>
          </w:tcPr>
          <w:p>
            <w:pPr>
              <w:spacing w:after="40" w:before="40" w:line="240" w:lineRule="auto"/>
              <w:jc w:val="left"/>
            </w:pPr>
            <w:r>
              <w:rPr>
                <w:rFonts w:ascii="Times New Roman" w:hAnsi="Times New Roman"/>
                <w:b w:val="0"/>
                <w:i w:val="0"/>
                <w:sz w:val="20"/>
                <w:u w:val="none"/>
              </w:rPr>
              <w:t>C.C. 1.039.672.481 de Medellín</w:t>
            </w:r>
          </w:p>
        </w:tc>
      </w:tr>
      <w:tr>
        <w:tc>
          <w:tcPr>
            <w:tcW w:type="dxa" w:w="3101"/>
          </w:tcPr>
          <w:p>
            <w:pPr>
              <w:spacing w:after="40" w:before="40" w:line="240" w:lineRule="auto"/>
              <w:jc w:val="left"/>
            </w:pPr>
            <w:r>
              <w:rPr>
                <w:rFonts w:ascii="Times New Roman" w:hAnsi="Times New Roman"/>
                <w:b w:val="0"/>
                <w:i w:val="0"/>
                <w:sz w:val="20"/>
                <w:u w:val="none"/>
              </w:rPr>
              <w:t>Representante legal suplente</w:t>
            </w:r>
          </w:p>
        </w:tc>
        <w:tc>
          <w:tcPr>
            <w:tcW w:type="dxa" w:w="4014"/>
          </w:tcPr>
          <w:p>
            <w:pPr>
              <w:spacing w:after="40" w:before="40" w:line="240" w:lineRule="auto"/>
              <w:jc w:val="left"/>
            </w:pPr>
            <w:r>
              <w:rPr>
                <w:rFonts w:ascii="Times New Roman" w:hAnsi="Times New Roman"/>
                <w:b w:val="0"/>
                <w:i w:val="0"/>
                <w:sz w:val="20"/>
                <w:u w:val="none"/>
              </w:rPr>
              <w:t>Felipe Andrés Gómez Vélez</w:t>
            </w:r>
          </w:p>
        </w:tc>
        <w:tc>
          <w:tcPr>
            <w:tcW w:type="dxa" w:w="2007"/>
          </w:tcPr>
          <w:p>
            <w:pPr>
              <w:spacing w:after="40" w:before="40" w:line="240" w:lineRule="auto"/>
              <w:jc w:val="left"/>
            </w:pPr>
            <w:r>
              <w:rPr>
                <w:rFonts w:ascii="Times New Roman" w:hAnsi="Times New Roman"/>
                <w:b w:val="0"/>
                <w:i w:val="0"/>
                <w:sz w:val="20"/>
                <w:u w:val="none"/>
              </w:rPr>
              <w:t>C.C. 1.152.846.390 de Envigado</w:t>
            </w:r>
          </w:p>
        </w:tc>
      </w:tr>
    </w:tbl>
    <w:p>
      <w:pPr>
        <w:spacing w:after="80"/>
      </w:pPr>
    </w:p>
    <w:p>
      <w:r>
        <w:rPr>
          <w:rFonts w:ascii="Times New Roman" w:hAnsi="Times New Roman"/>
          <w:b w:val="0"/>
          <w:i w:val="0"/>
          <w:u w:val="none"/>
        </w:rPr>
        <w:t xml:space="preserve">Las personas designadas manifiestan por separado, mediante los documentos de </w:t>
      </w:r>
      <w:r>
        <w:rPr>
          <w:rFonts w:ascii="Times New Roman" w:hAnsi="Times New Roman"/>
          <w:b/>
          <w:i w:val="0"/>
          <w:u w:val="none"/>
        </w:rPr>
        <w:t>aceptación de cargo</w:t>
      </w:r>
      <w:r>
        <w:rPr>
          <w:rFonts w:ascii="Times New Roman" w:hAnsi="Times New Roman"/>
          <w:b w:val="0"/>
          <w:i w:val="0"/>
          <w:u w:val="none"/>
        </w:rPr>
        <w:t xml:space="preserve"> que se anexan a este documento, que aceptan los nombramientos y que no se encuentran incursas en causal alguna de inhabilidad o incompatibilidad, de conformidad con el artículo 42 del Decreto Ley 2150 de 1995.</w:t>
      </w:r>
    </w:p>
    <w:p>
      <w:r>
        <w:rPr>
          <w:rFonts w:ascii="Times New Roman" w:hAnsi="Times New Roman"/>
          <w:b w:val="0"/>
          <w:i w:val="0"/>
          <w:u w:val="none"/>
        </w:rPr>
        <w:t>No se designa revisor fiscal por no ser obligatorio, conforme al artículo 30 de estos estatutos.</w:t>
      </w:r>
    </w:p>
    <w:p>
      <w:pPr>
        <w:keepNext/>
        <w:spacing w:before="240" w:after="80"/>
        <w:jc w:val="left"/>
      </w:pPr>
      <w:r>
        <w:rPr>
          <w:rFonts w:ascii="Times New Roman" w:hAnsi="Times New Roman"/>
          <w:b/>
          <w:i w:val="0"/>
          <w:sz w:val="24"/>
          <w:u w:val="none"/>
        </w:rPr>
        <w:t>Artículo transitorio 2.º — Establecimiento de comercio</w:t>
      </w:r>
    </w:p>
    <w:p>
      <w:r>
        <w:rPr>
          <w:rFonts w:ascii="Times New Roman" w:hAnsi="Times New Roman"/>
          <w:b w:val="0"/>
          <w:i w:val="0"/>
          <w:u w:val="none"/>
        </w:rPr>
        <w:t xml:space="preserve">La sociedad abrirá y explotará, en la dirección de su domicilio principal, un </w:t>
      </w:r>
      <w:r>
        <w:rPr>
          <w:rFonts w:ascii="Times New Roman" w:hAnsi="Times New Roman"/>
          <w:b/>
          <w:i w:val="0"/>
          <w:u w:val="none"/>
        </w:rPr>
        <w:t>establecimiento de comercio</w:t>
      </w:r>
      <w:r>
        <w:rPr>
          <w:rFonts w:ascii="Times New Roman" w:hAnsi="Times New Roman"/>
          <w:b w:val="0"/>
          <w:i w:val="0"/>
          <w:u w:val="none"/>
        </w:rPr>
        <w:t xml:space="preserve"> que girará bajo el nombre comercial </w:t>
      </w:r>
      <w:r>
        <w:rPr>
          <w:rFonts w:ascii="Times New Roman" w:hAnsi="Times New Roman"/>
          <w:b/>
          <w:i w:val="0"/>
          <w:u w:val="none"/>
        </w:rPr>
        <w:t>"NOVA BIENESTAR"</w:t>
      </w:r>
      <w:r>
        <w:rPr>
          <w:rFonts w:ascii="Times New Roman" w:hAnsi="Times New Roman"/>
          <w:b w:val="0"/>
          <w:i w:val="0"/>
          <w:u w:val="none"/>
        </w:rPr>
        <w:t xml:space="preserve">, destinado al desarrollo del objeto social, con activos vinculados por valor de </w:t>
      </w:r>
      <w:r>
        <w:rPr>
          <w:rFonts w:ascii="Times New Roman" w:hAnsi="Times New Roman"/>
          <w:b/>
          <w:i w:val="0"/>
          <w:u w:val="none"/>
        </w:rPr>
        <w:t>CINCUENTA Y CINCO MILLONES DE PESOS ($55.000.000) moneda corriente</w:t>
      </w:r>
      <w:r>
        <w:rPr>
          <w:rFonts w:ascii="Times New Roman" w:hAnsi="Times New Roman"/>
          <w:b w:val="0"/>
          <w:i w:val="0"/>
          <w:u w:val="none"/>
        </w:rPr>
        <w:t xml:space="preserve">. El representante legal queda facultado para solicitar su </w:t>
      </w:r>
      <w:r>
        <w:rPr>
          <w:rFonts w:ascii="Times New Roman" w:hAnsi="Times New Roman"/>
          <w:b/>
          <w:i w:val="0"/>
          <w:u w:val="none"/>
        </w:rPr>
        <w:t>matrícula mercantil</w:t>
      </w:r>
      <w:r>
        <w:rPr>
          <w:rFonts w:ascii="Times New Roman" w:hAnsi="Times New Roman"/>
          <w:b w:val="0"/>
          <w:i w:val="0"/>
          <w:u w:val="none"/>
        </w:rPr>
        <w:t xml:space="preserve"> ante la Cámara de Comercio de Medellín para Antioquia, en los términos de los artículos 28, numeral 6.º, y 515 y siguientes del Código de Comercio.</w:t>
      </w:r>
    </w:p>
    <w:p>
      <w:pPr>
        <w:keepNext/>
        <w:spacing w:before="240" w:after="80"/>
        <w:jc w:val="left"/>
      </w:pPr>
      <w:r>
        <w:rPr>
          <w:rFonts w:ascii="Times New Roman" w:hAnsi="Times New Roman"/>
          <w:b/>
          <w:i w:val="0"/>
          <w:sz w:val="24"/>
          <w:u w:val="none"/>
        </w:rPr>
        <w:t>Artículo transitorio 3.º — Autorización para el trámite de registro</w:t>
      </w:r>
    </w:p>
    <w:p>
      <w:r>
        <w:rPr>
          <w:rFonts w:ascii="Times New Roman" w:hAnsi="Times New Roman"/>
          <w:b w:val="0"/>
          <w:i w:val="0"/>
          <w:u w:val="none"/>
        </w:rPr>
        <w:t xml:space="preserve">Los accionistas facultan expresamente a la representante legal designada, </w:t>
      </w:r>
      <w:r>
        <w:rPr>
          <w:rFonts w:ascii="Times New Roman" w:hAnsi="Times New Roman"/>
          <w:b/>
          <w:i w:val="0"/>
          <w:u w:val="none"/>
        </w:rPr>
        <w:t>MARIANA LÓPEZ CASTAÑO</w:t>
      </w:r>
      <w:r>
        <w:rPr>
          <w:rFonts w:ascii="Times New Roman" w:hAnsi="Times New Roman"/>
          <w:b w:val="0"/>
          <w:i w:val="0"/>
          <w:u w:val="none"/>
        </w:rPr>
        <w:t xml:space="preserve">, para realizar todos los trámites necesarios ante la </w:t>
      </w:r>
      <w:r>
        <w:rPr>
          <w:rFonts w:ascii="Times New Roman" w:hAnsi="Times New Roman"/>
          <w:b/>
          <w:i w:val="0"/>
          <w:u w:val="none"/>
        </w:rPr>
        <w:t>Cámara de Comercio de Medellín para Antioquia</w:t>
      </w:r>
      <w:r>
        <w:rPr>
          <w:rFonts w:ascii="Times New Roman" w:hAnsi="Times New Roman"/>
          <w:b w:val="0"/>
          <w:i w:val="0"/>
          <w:u w:val="none"/>
        </w:rPr>
        <w:t xml:space="preserve">, la </w:t>
      </w:r>
      <w:r>
        <w:rPr>
          <w:rFonts w:ascii="Times New Roman" w:hAnsi="Times New Roman"/>
          <w:b/>
          <w:i w:val="0"/>
          <w:u w:val="none"/>
        </w:rPr>
        <w:t>Dirección de Impuestos y Aduanas Nacionales (DIAN)</w:t>
      </w:r>
      <w:r>
        <w:rPr>
          <w:rFonts w:ascii="Times New Roman" w:hAnsi="Times New Roman"/>
          <w:b w:val="0"/>
          <w:i w:val="0"/>
          <w:u w:val="none"/>
        </w:rPr>
        <w:t xml:space="preserve">, la </w:t>
      </w:r>
      <w:r>
        <w:rPr>
          <w:rFonts w:ascii="Times New Roman" w:hAnsi="Times New Roman"/>
          <w:b/>
          <w:i w:val="0"/>
          <w:u w:val="none"/>
        </w:rPr>
        <w:t>Secretaría de Hacienda del Municipio de Medellín</w:t>
      </w:r>
      <w:r>
        <w:rPr>
          <w:rFonts w:ascii="Times New Roman" w:hAnsi="Times New Roman"/>
          <w:b w:val="0"/>
          <w:i w:val="0"/>
          <w:u w:val="none"/>
        </w:rPr>
        <w:t xml:space="preserve">, la </w:t>
      </w:r>
      <w:r>
        <w:rPr>
          <w:rFonts w:ascii="Times New Roman" w:hAnsi="Times New Roman"/>
          <w:b/>
          <w:i w:val="0"/>
          <w:u w:val="none"/>
        </w:rPr>
        <w:t>Gobernación de Antioquia</w:t>
      </w:r>
      <w:r>
        <w:rPr>
          <w:rFonts w:ascii="Times New Roman" w:hAnsi="Times New Roman"/>
          <w:b w:val="0"/>
          <w:i w:val="0"/>
          <w:u w:val="none"/>
        </w:rPr>
        <w:t xml:space="preserve"> y demás entidades públicas o privadas, con el fin de obtener la matrícula mercantil de la sociedad y del establecimiento de comercio, la asignación del Número de Identificación Tributaria (NIT), la formalización del Registro Único Tributario (RUT), la inscripción en el Registro de Información Tributaria (RIT) del Municipio de Medellín, la liquidación y pago del impuesto de registro, y la inscripción de los libros de comercio.</w:t>
      </w:r>
    </w:p>
    <w:p>
      <w:pPr>
        <w:keepNext/>
        <w:spacing w:before="240" w:after="80"/>
        <w:jc w:val="left"/>
      </w:pPr>
      <w:r>
        <w:rPr>
          <w:rFonts w:ascii="Times New Roman" w:hAnsi="Times New Roman"/>
          <w:b/>
          <w:i w:val="0"/>
          <w:sz w:val="24"/>
          <w:u w:val="none"/>
        </w:rPr>
        <w:t>Artículo transitorio 4.º — Declaración sobre beneficios de la Ley 1780 de 2016</w:t>
      </w:r>
    </w:p>
    <w:p>
      <w:r>
        <w:rPr>
          <w:rFonts w:ascii="Times New Roman" w:hAnsi="Times New Roman"/>
          <w:b w:val="0"/>
          <w:i w:val="0"/>
          <w:u w:val="none"/>
        </w:rPr>
        <w:t xml:space="preserve">Los accionistas declaran, </w:t>
      </w:r>
      <w:r>
        <w:rPr>
          <w:rFonts w:ascii="Times New Roman" w:hAnsi="Times New Roman"/>
          <w:b/>
          <w:i w:val="0"/>
          <w:u w:val="none"/>
        </w:rPr>
        <w:t>bajo la gravedad del juramento</w:t>
      </w:r>
      <w:r>
        <w:rPr>
          <w:rFonts w:ascii="Times New Roman" w:hAnsi="Times New Roman"/>
          <w:b w:val="0"/>
          <w:i w:val="0"/>
          <w:u w:val="none"/>
        </w:rPr>
        <w:t xml:space="preserve">, que la sociedad reúne los requisitos para ser considerada </w:t>
      </w:r>
      <w:r>
        <w:rPr>
          <w:rFonts w:ascii="Times New Roman" w:hAnsi="Times New Roman"/>
          <w:b/>
          <w:i w:val="0"/>
          <w:u w:val="none"/>
        </w:rPr>
        <w:t>"pequeña empresa joven"</w:t>
      </w:r>
      <w:r>
        <w:rPr>
          <w:rFonts w:ascii="Times New Roman" w:hAnsi="Times New Roman"/>
          <w:b w:val="0"/>
          <w:i w:val="0"/>
          <w:u w:val="none"/>
        </w:rPr>
        <w:t xml:space="preserve"> en los términos del artículo 2.º de la Ley 1780 de 2016 y del Decreto 639 de 2017, toda vez que: (i) la accionista </w:t>
      </w:r>
      <w:r>
        <w:rPr>
          <w:rFonts w:ascii="Times New Roman" w:hAnsi="Times New Roman"/>
          <w:b/>
          <w:i w:val="0"/>
          <w:u w:val="none"/>
        </w:rPr>
        <w:t>Mariana López Castaño</w:t>
      </w:r>
      <w:r>
        <w:rPr>
          <w:rFonts w:ascii="Times New Roman" w:hAnsi="Times New Roman"/>
          <w:b w:val="0"/>
          <w:i w:val="0"/>
          <w:u w:val="none"/>
        </w:rPr>
        <w:t xml:space="preserve">, de treinta (30) años de edad, es titular del </w:t>
      </w:r>
      <w:r>
        <w:rPr>
          <w:rFonts w:ascii="Times New Roman" w:hAnsi="Times New Roman"/>
          <w:b/>
          <w:i w:val="0"/>
          <w:u w:val="none"/>
        </w:rPr>
        <w:t>sesenta y cinco por ciento (65 %)</w:t>
      </w:r>
      <w:r>
        <w:rPr>
          <w:rFonts w:ascii="Times New Roman" w:hAnsi="Times New Roman"/>
          <w:b w:val="0"/>
          <w:i w:val="0"/>
          <w:u w:val="none"/>
        </w:rPr>
        <w:t xml:space="preserve"> de las acciones suscritas, esto es, de más de la mitad más uno de las acciones; (ii) el personal de la sociedad no será superior a cincuenta (50) trabajadores, pues iniciará operaciones con nueve (9); y (iii) sus activos totales no superan los cinco mil (5.000) salarios mínimos legales mensuales vigentes. En consecuencia, solicitan a la Cámara de Comercio de Medellín para Antioquia la aplicación del beneficio de </w:t>
      </w:r>
      <w:r>
        <w:rPr>
          <w:rFonts w:ascii="Times New Roman" w:hAnsi="Times New Roman"/>
          <w:b/>
          <w:i w:val="0"/>
          <w:u w:val="none"/>
        </w:rPr>
        <w:t>exención del pago de los derechos de matrícula mercantil y de su primera renovación</w:t>
      </w:r>
      <w:r>
        <w:rPr>
          <w:rFonts w:ascii="Times New Roman" w:hAnsi="Times New Roman"/>
          <w:b w:val="0"/>
          <w:i w:val="0"/>
          <w:u w:val="none"/>
        </w:rPr>
        <w:t>, previsto en el artículo 3.º de la citada ley, sin perjuicio del pago del impuesto de registro y de los demás derechos que no se encuentren cobijados por la exención.</w:t>
      </w:r>
    </w:p>
    <w:p>
      <w:pPr>
        <w:keepNext/>
        <w:spacing w:before="240" w:after="80"/>
        <w:jc w:val="left"/>
      </w:pPr>
      <w:r>
        <w:rPr>
          <w:rFonts w:ascii="Times New Roman" w:hAnsi="Times New Roman"/>
          <w:b/>
          <w:i w:val="0"/>
          <w:sz w:val="24"/>
          <w:u w:val="none"/>
        </w:rPr>
        <w:t>Artículo transitorio 5.º — Declaración sobre el origen de los recursos</w:t>
      </w:r>
    </w:p>
    <w:p>
      <w:r>
        <w:rPr>
          <w:rFonts w:ascii="Times New Roman" w:hAnsi="Times New Roman"/>
          <w:b w:val="0"/>
          <w:i w:val="0"/>
          <w:u w:val="none"/>
        </w:rPr>
        <w:t xml:space="preserve">Los accionistas declaran, bajo la gravedad del juramento, que los recursos aportados al capital de la sociedad provienen de </w:t>
      </w:r>
      <w:r>
        <w:rPr>
          <w:rFonts w:ascii="Times New Roman" w:hAnsi="Times New Roman"/>
          <w:b/>
          <w:i w:val="0"/>
          <w:u w:val="none"/>
        </w:rPr>
        <w:t>actividades lícitas</w:t>
      </w:r>
      <w:r>
        <w:rPr>
          <w:rFonts w:ascii="Times New Roman" w:hAnsi="Times New Roman"/>
          <w:b w:val="0"/>
          <w:i w:val="0"/>
          <w:u w:val="none"/>
        </w:rPr>
        <w:t xml:space="preserve"> y no se encuentran relacionados con el lavado de activos, la financiación del terrorismo ni con actividad delictiva alguna, y autorizan a la sociedad y a las autoridades competentes a verificar dicha información.</w:t>
      </w:r>
    </w:p>
    <w:p>
      <w:pPr>
        <w:keepNext/>
        <w:spacing w:before="240" w:after="80"/>
        <w:jc w:val="left"/>
      </w:pPr>
      <w:r>
        <w:rPr>
          <w:rFonts w:ascii="Times New Roman" w:hAnsi="Times New Roman"/>
          <w:b/>
          <w:i w:val="0"/>
          <w:sz w:val="24"/>
          <w:u w:val="none"/>
        </w:rPr>
        <w:t>Artículo transitorio 6.º — Información estadística para el Registro Único Empresarial y Social</w:t>
      </w:r>
    </w:p>
    <w:p>
      <w:r>
        <w:rPr>
          <w:rFonts w:ascii="Times New Roman" w:hAnsi="Times New Roman"/>
          <w:b w:val="0"/>
          <w:i w:val="0"/>
          <w:u w:val="none"/>
        </w:rPr>
        <w:t xml:space="preserve">Para efectos del diligenciamiento de los formularios del Registro Único Empresarial y Social (RUES), los accionistas dejan constancia de la siguiente información: </w:t>
      </w:r>
      <w:r>
        <w:rPr>
          <w:rFonts w:ascii="Times New Roman" w:hAnsi="Times New Roman"/>
          <w:b/>
          <w:i w:val="0"/>
          <w:u w:val="none"/>
        </w:rPr>
        <w:t>actividad económica principal</w:t>
      </w:r>
      <w:r>
        <w:rPr>
          <w:rFonts w:ascii="Times New Roman" w:hAnsi="Times New Roman"/>
          <w:b w:val="0"/>
          <w:i w:val="0"/>
          <w:u w:val="none"/>
        </w:rPr>
        <w:t xml:space="preserve"> — CIIU 8692 (actividades de apoyo terapéutico); </w:t>
      </w:r>
      <w:r>
        <w:rPr>
          <w:rFonts w:ascii="Times New Roman" w:hAnsi="Times New Roman"/>
          <w:b/>
          <w:i w:val="0"/>
          <w:u w:val="none"/>
        </w:rPr>
        <w:t>actividades secundarias</w:t>
      </w:r>
      <w:r>
        <w:rPr>
          <w:rFonts w:ascii="Times New Roman" w:hAnsi="Times New Roman"/>
          <w:b w:val="0"/>
          <w:i w:val="0"/>
          <w:u w:val="none"/>
        </w:rPr>
        <w:t xml:space="preserve"> — CIIU 9311 (gestión de instalaciones deportivas) y CIIU 9609 (otras actividades de servicios personales n.c.p.); </w:t>
      </w:r>
      <w:r>
        <w:rPr>
          <w:rFonts w:ascii="Times New Roman" w:hAnsi="Times New Roman"/>
          <w:b/>
          <w:i w:val="0"/>
          <w:u w:val="none"/>
        </w:rPr>
        <w:t>número total de trabajadores</w:t>
      </w:r>
      <w:r>
        <w:rPr>
          <w:rFonts w:ascii="Times New Roman" w:hAnsi="Times New Roman"/>
          <w:b w:val="0"/>
          <w:i w:val="0"/>
          <w:u w:val="none"/>
        </w:rPr>
        <w:t xml:space="preserve"> — nueve (9); </w:t>
      </w:r>
      <w:r>
        <w:rPr>
          <w:rFonts w:ascii="Times New Roman" w:hAnsi="Times New Roman"/>
          <w:b/>
          <w:i w:val="0"/>
          <w:u w:val="none"/>
        </w:rPr>
        <w:t>número de trabajadoras mujeres</w:t>
      </w:r>
      <w:r>
        <w:rPr>
          <w:rFonts w:ascii="Times New Roman" w:hAnsi="Times New Roman"/>
          <w:b w:val="0"/>
          <w:i w:val="0"/>
          <w:u w:val="none"/>
        </w:rPr>
        <w:t xml:space="preserve"> — cinco (5); </w:t>
      </w:r>
      <w:r>
        <w:rPr>
          <w:rFonts w:ascii="Times New Roman" w:hAnsi="Times New Roman"/>
          <w:b/>
          <w:i w:val="0"/>
          <w:u w:val="none"/>
        </w:rPr>
        <w:t>número de mujeres en cargos directivos</w:t>
      </w:r>
      <w:r>
        <w:rPr>
          <w:rFonts w:ascii="Times New Roman" w:hAnsi="Times New Roman"/>
          <w:b w:val="0"/>
          <w:i w:val="0"/>
          <w:u w:val="none"/>
        </w:rPr>
        <w:t xml:space="preserve"> — dos (2); </w:t>
      </w:r>
      <w:r>
        <w:rPr>
          <w:rFonts w:ascii="Times New Roman" w:hAnsi="Times New Roman"/>
          <w:b/>
          <w:i w:val="0"/>
          <w:u w:val="none"/>
        </w:rPr>
        <w:t>porcentaje de empleados temporales</w:t>
      </w:r>
      <w:r>
        <w:rPr>
          <w:rFonts w:ascii="Times New Roman" w:hAnsi="Times New Roman"/>
          <w:b w:val="0"/>
          <w:i w:val="0"/>
          <w:u w:val="none"/>
        </w:rPr>
        <w:t xml:space="preserve"> — cero por ciento (0 %); </w:t>
      </w:r>
      <w:r>
        <w:rPr>
          <w:rFonts w:ascii="Times New Roman" w:hAnsi="Times New Roman"/>
          <w:b/>
          <w:i w:val="0"/>
          <w:u w:val="none"/>
        </w:rPr>
        <w:t>procesos de innovación implementados</w:t>
      </w:r>
      <w:r>
        <w:rPr>
          <w:rFonts w:ascii="Times New Roman" w:hAnsi="Times New Roman"/>
          <w:b w:val="0"/>
          <w:i w:val="0"/>
          <w:u w:val="none"/>
        </w:rPr>
        <w:t xml:space="preserve"> — no; </w:t>
      </w:r>
      <w:r>
        <w:rPr>
          <w:rFonts w:ascii="Times New Roman" w:hAnsi="Times New Roman"/>
          <w:b/>
          <w:i w:val="0"/>
          <w:u w:val="none"/>
        </w:rPr>
        <w:t>condición de importador, exportador o usuario aduanero</w:t>
      </w:r>
      <w:r>
        <w:rPr>
          <w:rFonts w:ascii="Times New Roman" w:hAnsi="Times New Roman"/>
          <w:b w:val="0"/>
          <w:i w:val="0"/>
          <w:u w:val="none"/>
        </w:rPr>
        <w:t xml:space="preserve"> — no aplica.</w:t>
      </w:r>
    </w:p>
    <w:p>
      <w:pPr>
        <w:spacing w:after="160"/>
        <w:pBdr>
          <w:bottom w:val="single" w:sz="6" w:space="1" w:color="000000"/>
        </w:pBdr>
      </w:pPr>
    </w:p>
    <w:p>
      <w:r>
        <w:rPr>
          <w:rFonts w:ascii="Times New Roman" w:hAnsi="Times New Roman"/>
          <w:b w:val="0"/>
          <w:i w:val="0"/>
          <w:u w:val="none"/>
        </w:rPr>
        <w:t xml:space="preserve">En constancia de lo anterior, los comparecientes suscriben el presente documento privado en dos (2) ejemplares del mismo tenor, en la ciudad de Medellín, a primero (1) de octubre de dos mil veintiséis (2026), el cual será presentado personalmente ante el secretario de la Cámara de Comercio de Medellín para Antioquia o autenticado ante notario público, en cumplimiento de lo dispuesto en el </w:t>
      </w:r>
      <w:r>
        <w:rPr>
          <w:rFonts w:ascii="Times New Roman" w:hAnsi="Times New Roman"/>
          <w:b/>
          <w:i w:val="0"/>
          <w:u w:val="none"/>
        </w:rPr>
        <w:t>artículo 40 del Código de Comercio</w:t>
      </w:r>
      <w:r>
        <w:rPr>
          <w:rFonts w:ascii="Times New Roman" w:hAnsi="Times New Roman"/>
          <w:b w:val="0"/>
          <w:i w:val="0"/>
          <w:u w:val="none"/>
        </w:rPr>
        <w:t>, para efectos de su inscripción en el registro mercantil.</w:t>
      </w:r>
    </w:p>
    <w:p>
      <w:pPr>
        <w:spacing w:after="0"/>
      </w:pPr>
    </w:p>
    <w:p>
      <w:pPr>
        <w:spacing w:after="0"/>
      </w:pPr>
    </w:p>
    <w:tbl>
      <w:tblPr>
        <w:tblW w:type="auto" w:w="0"/>
        <w:tblLayout w:type="fixed"/>
        <w:tblLook w:firstColumn="1" w:firstRow="1" w:lastColumn="0" w:lastRow="0" w:noHBand="0" w:noVBand="1" w:val="04A0"/>
      </w:tblPr>
      <w:tblGrid>
        <w:gridCol w:w="4561"/>
        <w:gridCol w:w="4561"/>
      </w:tblGrid>
      <w:tr>
        <w:tc>
          <w:tcPr>
            <w:tcW w:type="dxa" w:w="4535"/>
          </w:tcPr>
          <w:p>
            <w:pPr>
              <w:spacing w:after="0"/>
            </w:pPr>
            <w:r>
              <w:rPr>
                <w:rFonts w:ascii="Times New Roman" w:hAnsi="Times New Roman"/>
                <w:b w:val="0"/>
                <w:i w:val="0"/>
                <w:u w:val="none"/>
              </w:rPr>
              <w:t>____________________________</w:t>
            </w:r>
          </w:p>
          <w:p>
            <w:pPr>
              <w:spacing w:after="0"/>
            </w:pPr>
            <w:r>
              <w:rPr>
                <w:rFonts w:ascii="Times New Roman" w:hAnsi="Times New Roman"/>
                <w:b/>
                <w:i w:val="0"/>
                <w:sz w:val="20"/>
                <w:u w:val="none"/>
              </w:rPr>
              <w:t>MARIANA LÓPEZ CASTAÑO</w:t>
            </w:r>
          </w:p>
          <w:p>
            <w:pPr>
              <w:spacing w:after="0"/>
            </w:pPr>
            <w:r>
              <w:rPr>
                <w:rFonts w:ascii="Times New Roman" w:hAnsi="Times New Roman"/>
                <w:b w:val="0"/>
                <w:i w:val="0"/>
                <w:sz w:val="20"/>
                <w:u w:val="none"/>
              </w:rPr>
              <w:t>C.C. 1.039.672.481 de Medellín</w:t>
            </w:r>
          </w:p>
          <w:p>
            <w:pPr>
              <w:spacing w:after="0"/>
            </w:pPr>
            <w:r>
              <w:rPr>
                <w:rFonts w:ascii="Times New Roman" w:hAnsi="Times New Roman"/>
                <w:b w:val="0"/>
                <w:i w:val="0"/>
                <w:sz w:val="20"/>
                <w:u w:val="none"/>
              </w:rPr>
              <w:t>Accionista y representante legal</w:t>
            </w:r>
          </w:p>
        </w:tc>
        <w:tc>
          <w:tcPr>
            <w:tcW w:type="dxa" w:w="4535"/>
          </w:tcPr>
          <w:p>
            <w:pPr>
              <w:spacing w:after="0"/>
            </w:pPr>
            <w:r>
              <w:rPr>
                <w:rFonts w:ascii="Times New Roman" w:hAnsi="Times New Roman"/>
                <w:b w:val="0"/>
                <w:i w:val="0"/>
                <w:u w:val="none"/>
              </w:rPr>
              <w:t>____________________________</w:t>
            </w:r>
          </w:p>
          <w:p>
            <w:pPr>
              <w:spacing w:after="0"/>
            </w:pPr>
            <w:r>
              <w:rPr>
                <w:rFonts w:ascii="Times New Roman" w:hAnsi="Times New Roman"/>
                <w:b/>
                <w:i w:val="0"/>
                <w:sz w:val="20"/>
                <w:u w:val="none"/>
              </w:rPr>
              <w:t>FELIPE ANDRÉS GÓMEZ VÉLEZ</w:t>
            </w:r>
          </w:p>
          <w:p>
            <w:pPr>
              <w:spacing w:after="0"/>
            </w:pPr>
            <w:r>
              <w:rPr>
                <w:rFonts w:ascii="Times New Roman" w:hAnsi="Times New Roman"/>
                <w:b w:val="0"/>
                <w:i w:val="0"/>
                <w:sz w:val="20"/>
                <w:u w:val="none"/>
              </w:rPr>
              <w:t>C.C. 1.152.846.390 de Envigado</w:t>
            </w:r>
          </w:p>
          <w:p>
            <w:pPr>
              <w:spacing w:after="0"/>
            </w:pPr>
            <w:r>
              <w:rPr>
                <w:rFonts w:ascii="Times New Roman" w:hAnsi="Times New Roman"/>
                <w:b w:val="0"/>
                <w:i w:val="0"/>
                <w:sz w:val="20"/>
                <w:u w:val="none"/>
              </w:rPr>
              <w:t>Accionista y representante legal suplente</w:t>
            </w:r>
          </w:p>
        </w:tc>
      </w:tr>
    </w:tbl>
    <w:p/>
    <w:p>
      <w:pPr>
        <w:spacing w:after="0"/>
      </w:pPr>
    </w:p>
    <w:p>
      <w:pPr>
        <w:spacing w:after="160"/>
        <w:pBdr>
          <w:bottom w:val="single" w:sz="6" w:space="1" w:color="000000"/>
        </w:pBdr>
      </w:pPr>
    </w:p>
    <w:p>
      <w:r>
        <w:rPr>
          <w:rFonts w:ascii="Times New Roman" w:hAnsi="Times New Roman"/>
          <w:b/>
          <w:i w:val="0"/>
          <w:u w:val="none"/>
        </w:rPr>
        <w:t>NOTA DE PRESENTACIÓN PERSONAL.</w:t>
      </w:r>
      <w:r>
        <w:rPr>
          <w:rFonts w:ascii="Times New Roman" w:hAnsi="Times New Roman"/>
          <w:b w:val="0"/>
          <w:i w:val="0"/>
          <w:u w:val="none"/>
        </w:rPr>
        <w:t xml:space="preserve"> Espacio reservado para la constancia de presentación personal ante el secretario de la Cámara de Comercio de Medellín para Antioquia o para la diligencia de reconocimiento de contenido y firma ante notario público (artículo 40 del Código de Comercio).</w:t>
      </w: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Documento privado de constitución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NOVA BIENESTAR INTEGRAL S.A.S. — Documento privado de constitución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