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IMPUESTO DE REGISTRO Y PLANILLA DE RADICACIÓN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NOVA BIENESTAR INTEGRAL S.A.S.</w:t>
      </w:r>
    </w:p>
    <w:p>
      <w:pPr>
        <w:keepNext/>
        <w:spacing w:before="320" w:after="16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1. NATURALEZA DEL IMPUESTO DE REGISTRO</w:t>
      </w:r>
    </w:p>
    <w:p>
      <w:r>
        <w:rPr>
          <w:rFonts w:ascii="Times New Roman" w:hAnsi="Times New Roman"/>
          <w:b w:val="0"/>
          <w:i w:val="0"/>
          <w:u w:val="none"/>
        </w:rPr>
        <w:t xml:space="preserve">El impuesto de registro es un </w:t>
      </w:r>
      <w:r>
        <w:rPr>
          <w:rFonts w:ascii="Times New Roman" w:hAnsi="Times New Roman"/>
          <w:b/>
          <w:i w:val="0"/>
          <w:u w:val="none"/>
        </w:rPr>
        <w:t>tributo departamental</w:t>
      </w:r>
      <w:r>
        <w:rPr>
          <w:rFonts w:ascii="Times New Roman" w:hAnsi="Times New Roman"/>
          <w:b w:val="0"/>
          <w:i w:val="0"/>
          <w:u w:val="none"/>
        </w:rPr>
        <w:t xml:space="preserve">, no un derecho cameral. Fue creado por los artículos 226 a 235 de la </w:t>
      </w:r>
      <w:r>
        <w:rPr>
          <w:rFonts w:ascii="Times New Roman" w:hAnsi="Times New Roman"/>
          <w:b/>
          <w:i w:val="0"/>
          <w:u w:val="none"/>
        </w:rPr>
        <w:t>Ley 223 de 1995</w:t>
      </w:r>
      <w:r>
        <w:rPr>
          <w:rFonts w:ascii="Times New Roman" w:hAnsi="Times New Roman"/>
          <w:b w:val="0"/>
          <w:i w:val="0"/>
          <w:u w:val="none"/>
        </w:rPr>
        <w:t xml:space="preserve"> y reglamentado por el </w:t>
      </w:r>
      <w:r>
        <w:rPr>
          <w:rFonts w:ascii="Times New Roman" w:hAnsi="Times New Roman"/>
          <w:b/>
          <w:i w:val="0"/>
          <w:u w:val="none"/>
        </w:rPr>
        <w:t>Decreto 650 de 1996</w:t>
      </w:r>
      <w:r>
        <w:rPr>
          <w:rFonts w:ascii="Times New Roman" w:hAnsi="Times New Roman"/>
          <w:b w:val="0"/>
          <w:i w:val="0"/>
          <w:u w:val="none"/>
        </w:rPr>
        <w:t>. Grava la inscripción de actos, contratos o negocios jurídicos documentales en los que sean parte o beneficiarios los particulares y que deban registrarse en las cámaras de comercio o en las oficinas de registro de instrumentos públicos.</w:t>
      </w:r>
    </w:p>
    <w:p>
      <w:r>
        <w:rPr>
          <w:rFonts w:ascii="Times New Roman" w:hAnsi="Times New Roman"/>
          <w:b w:val="0"/>
          <w:i w:val="0"/>
          <w:u w:val="none"/>
        </w:rPr>
        <w:t>Tres consecuencias prácticas se derivan de esa naturaleza:</w:t>
      </w:r>
    </w:p>
    <w:p>
      <w:pPr>
        <w:pStyle w:val="ListBullet"/>
        <w:spacing w:after="80"/>
        <w:ind w:left="567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El titular del tributo es el </w:t>
      </w:r>
      <w:r>
        <w:rPr>
          <w:rFonts w:ascii="Times New Roman" w:hAnsi="Times New Roman"/>
          <w:b/>
          <w:i w:val="0"/>
          <w:u w:val="none"/>
        </w:rPr>
        <w:t>departamento de Antioquia</w:t>
      </w:r>
      <w:r>
        <w:rPr>
          <w:rFonts w:ascii="Times New Roman" w:hAnsi="Times New Roman"/>
          <w:b w:val="0"/>
          <w:i w:val="0"/>
          <w:u w:val="none"/>
        </w:rPr>
        <w:t xml:space="preserve">, no la Cámara de Comercio. Esta actúa únicamente como </w:t>
      </w:r>
      <w:r>
        <w:rPr>
          <w:rFonts w:ascii="Times New Roman" w:hAnsi="Times New Roman"/>
          <w:b/>
          <w:i w:val="0"/>
          <w:u w:val="none"/>
        </w:rPr>
        <w:t>recaudadora por convenio</w:t>
      </w:r>
      <w:r>
        <w:rPr>
          <w:rFonts w:ascii="Times New Roman" w:hAnsi="Times New Roman"/>
          <w:b w:val="0"/>
          <w:i w:val="0"/>
          <w:u w:val="none"/>
        </w:rPr>
        <w:t>, cuando el convenio existe.</w:t>
      </w:r>
    </w:p>
    <w:p>
      <w:pPr>
        <w:pStyle w:val="ListBullet"/>
        <w:spacing w:after="80"/>
        <w:ind w:left="567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La </w:t>
      </w:r>
      <w:r>
        <w:rPr>
          <w:rFonts w:ascii="Times New Roman" w:hAnsi="Times New Roman"/>
          <w:b/>
          <w:i w:val="0"/>
          <w:u w:val="none"/>
        </w:rPr>
        <w:t>exención de la Ley 1780 de 2016 no lo cubre</w:t>
      </w:r>
      <w:r>
        <w:rPr>
          <w:rFonts w:ascii="Times New Roman" w:hAnsi="Times New Roman"/>
          <w:b w:val="0"/>
          <w:i w:val="0"/>
          <w:u w:val="none"/>
        </w:rPr>
        <w:t>. Ese beneficio recae exclusivamente sobre los derechos de matrícula mercantil que percibe la Cámara. Ninguna norma de la Ley 1780 exonera del impuesto de registro.</w:t>
      </w:r>
    </w:p>
    <w:p>
      <w:pPr>
        <w:pStyle w:val="ListBullet"/>
        <w:spacing w:after="80"/>
        <w:ind w:left="567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La Cámara </w:t>
      </w:r>
      <w:r>
        <w:rPr>
          <w:rFonts w:ascii="Times New Roman" w:hAnsi="Times New Roman"/>
          <w:b/>
          <w:i w:val="0"/>
          <w:u w:val="none"/>
        </w:rPr>
        <w:t>verifica previamente el pago</w:t>
      </w:r>
      <w:r>
        <w:rPr>
          <w:rFonts w:ascii="Times New Roman" w:hAnsi="Times New Roman"/>
          <w:b w:val="0"/>
          <w:i w:val="0"/>
          <w:u w:val="none"/>
        </w:rPr>
        <w:t xml:space="preserve"> antes de inscribir el acto. Sin comprobante de pago o de exención, no hay inscripción.</w:t>
      </w:r>
    </w:p>
    <w:p>
      <w:pPr>
        <w:keepNext/>
        <w:spacing w:before="320" w:after="16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2. BASE GRAVABLE EN LA CONSTITUCIÓN DE ESTA SOCIEDAD</w:t>
      </w:r>
    </w:p>
    <w:p>
      <w:r>
        <w:rPr>
          <w:rFonts w:ascii="Times New Roman" w:hAnsi="Times New Roman"/>
          <w:b w:val="0"/>
          <w:i w:val="0"/>
          <w:u w:val="none"/>
        </w:rPr>
        <w:t xml:space="preserve">El artículo 6.º del Decreto 650 de 1996 establece que, tratándose de la </w:t>
      </w:r>
      <w:r>
        <w:rPr>
          <w:rFonts w:ascii="Times New Roman" w:hAnsi="Times New Roman"/>
          <w:b/>
          <w:i w:val="0"/>
          <w:u w:val="none"/>
        </w:rPr>
        <w:t>constitución de sociedades por acciones</w:t>
      </w:r>
      <w:r>
        <w:rPr>
          <w:rFonts w:ascii="Times New Roman" w:hAnsi="Times New Roman"/>
          <w:b w:val="0"/>
          <w:i w:val="0"/>
          <w:u w:val="none"/>
        </w:rPr>
        <w:t xml:space="preserve">, la base gravable está constituida por el </w:t>
      </w:r>
      <w:r>
        <w:rPr>
          <w:rFonts w:ascii="Times New Roman" w:hAnsi="Times New Roman"/>
          <w:b/>
          <w:i w:val="0"/>
          <w:u w:val="none"/>
        </w:rPr>
        <w:t>capital suscrito</w:t>
      </w:r>
      <w:r>
        <w:rPr>
          <w:rFonts w:ascii="Times New Roman" w:hAnsi="Times New Roman"/>
          <w:b w:val="0"/>
          <w:i w:val="0"/>
          <w:u w:val="none"/>
        </w:rPr>
        <w:t>. No por el capital autorizado ni por el capital pagado.</w:t>
      </w:r>
    </w:p>
    <w:p>
      <w:r>
        <w:rPr>
          <w:rFonts w:ascii="Times New Roman" w:hAnsi="Times New Roman"/>
          <w:b w:val="0"/>
          <w:i w:val="0"/>
          <w:u w:val="none"/>
        </w:rPr>
        <w:t xml:space="preserve">Esta precisión importa en el caso concreto: si se tomara el capital autorizado de $1.200.000.000 como base, el impuesto se duplicaría indebidamente. La base correcta es el capital suscrito de </w:t>
      </w:r>
      <w:r>
        <w:rPr>
          <w:rFonts w:ascii="Times New Roman" w:hAnsi="Times New Roman"/>
          <w:b/>
          <w:i w:val="0"/>
          <w:u w:val="none"/>
        </w:rPr>
        <w:t>$600.000.000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r>
        <w:rPr>
          <w:rFonts w:ascii="Times New Roman" w:hAnsi="Times New Roman"/>
          <w:b w:val="0"/>
          <w:i w:val="0"/>
          <w:u w:val="none"/>
        </w:rPr>
        <w:t xml:space="preserve">Debe verificarse además que </w:t>
      </w:r>
      <w:r>
        <w:rPr>
          <w:rFonts w:ascii="Times New Roman" w:hAnsi="Times New Roman"/>
          <w:b/>
          <w:i w:val="0"/>
          <w:u w:val="none"/>
        </w:rPr>
        <w:t>no exista prima en colocación de acciones</w:t>
      </w:r>
      <w:r>
        <w:rPr>
          <w:rFonts w:ascii="Times New Roman" w:hAnsi="Times New Roman"/>
          <w:b w:val="0"/>
          <w:i w:val="0"/>
          <w:u w:val="none"/>
        </w:rPr>
        <w:t xml:space="preserve">. Cuando el acto implica la constitución o el incremento de la prima, la ley prevé una tarifa especial reducida para esa porción. En este caso las acciones se emitieron </w:t>
      </w:r>
      <w:r>
        <w:rPr>
          <w:rFonts w:ascii="Times New Roman" w:hAnsi="Times New Roman"/>
          <w:b/>
          <w:i w:val="0"/>
          <w:u w:val="none"/>
        </w:rPr>
        <w:t>a la par</w:t>
      </w:r>
      <w:r>
        <w:rPr>
          <w:rFonts w:ascii="Times New Roman" w:hAnsi="Times New Roman"/>
          <w:b w:val="0"/>
          <w:i w:val="0"/>
          <w:u w:val="none"/>
        </w:rPr>
        <w:t>, por su valor nominal de $1.000, de modo que no hay prima y toda la base tributa a la tarifa ordinaria.</w:t>
      </w:r>
    </w:p>
    <w:p>
      <w:pPr>
        <w:keepNext/>
        <w:spacing w:before="320" w:after="16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3. LIQUIDACIÓN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4105"/>
        <w:gridCol w:w="2737"/>
        <w:gridCol w:w="2280"/>
      </w:tblGrid>
      <w:tr>
        <w:tc>
          <w:tcPr>
            <w:tcW w:type="dxa" w:w="4105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2737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Determinación</w:t>
            </w:r>
          </w:p>
        </w:tc>
        <w:tc>
          <w:tcPr>
            <w:tcW w:type="dxa" w:w="228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Valor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Naturaleza del acto</w:t>
            </w: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Acto con cuantía sujeto a registro en cámara de comercio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—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Base gravable</w:t>
            </w: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Capital suscrito (artículo 6.º del Decreto 650 de 1996)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$600.000.000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Tarifa aplicable</w:t>
            </w: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0,7 %, dentro del rango de 0,3 % a 0,7 % del artículo 230 de la Ley 223 de 1995, según la ordenanza departamental de Antioquia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0,7 %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Prima en colocación de acciones</w:t>
            </w: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 existe; acciones emitidas a la par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$0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Impuesto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sin cuantía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por la inscripción del nombramiento de los representantes legales</w:t>
            </w: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Entre 2 y 4 salarios mínimos diarios legales vigentes, según ordenanza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≈ $93.000 a $187.000</w:t>
            </w:r>
          </w:p>
        </w:tc>
      </w:tr>
      <w:tr>
        <w:tc>
          <w:tcPr>
            <w:tcW w:type="dxa" w:w="4105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IMPUESTO DE REGISTRO A PAGAR</w:t>
            </w:r>
          </w:p>
        </w:tc>
        <w:tc>
          <w:tcPr>
            <w:tcW w:type="dxa" w:w="2737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 cuantía más sin cuantía</w:t>
            </w:r>
          </w:p>
        </w:tc>
        <w:tc>
          <w:tcPr>
            <w:tcW w:type="dxa" w:w="228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≈ $4.293.000 a $4.387.000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/>
          <w:i w:val="0"/>
          <w:u w:val="none"/>
        </w:rPr>
        <w:t>Verificación aritmética del componente con cuantía:</w:t>
      </w:r>
      <w:r>
        <w:rPr>
          <w:rFonts w:ascii="Times New Roman" w:hAnsi="Times New Roman"/>
          <w:b w:val="0"/>
          <w:i w:val="0"/>
          <w:u w:val="none"/>
        </w:rPr>
        <w:t xml:space="preserve"> $600.000.000 × 0,007 = $4.200.000.</w:t>
      </w:r>
    </w:p>
    <w:p>
      <w:r>
        <w:rPr>
          <w:rFonts w:ascii="Times New Roman" w:hAnsi="Times New Roman"/>
          <w:b/>
          <w:i w:val="0"/>
          <w:u w:val="none"/>
        </w:rPr>
        <w:t>El impuesto sin cuantía.</w:t>
      </w:r>
      <w:r>
        <w:rPr>
          <w:rFonts w:ascii="Times New Roman" w:hAnsi="Times New Roman"/>
          <w:b w:val="0"/>
          <w:i w:val="0"/>
          <w:u w:val="none"/>
        </w:rPr>
        <w:t xml:space="preserve"> El numeral 5.2.2 de la guía registral de la Cámara precisa que el trámite causa </w:t>
      </w:r>
      <w:r>
        <w:rPr>
          <w:rFonts w:ascii="Times New Roman" w:hAnsi="Times New Roman"/>
          <w:b/>
          <w:i w:val="0"/>
          <w:u w:val="none"/>
        </w:rPr>
        <w:t>dos</w:t>
      </w:r>
      <w:r>
        <w:rPr>
          <w:rFonts w:ascii="Times New Roman" w:hAnsi="Times New Roman"/>
          <w:b w:val="0"/>
          <w:i w:val="0"/>
          <w:u w:val="none"/>
        </w:rPr>
        <w:t xml:space="preserve"> impuestos de registro y no uno: el de cuantía por la constitución, y </w:t>
      </w:r>
      <w:r>
        <w:rPr>
          <w:rFonts w:ascii="Times New Roman" w:hAnsi="Times New Roman"/>
          <w:b/>
          <w:i w:val="0"/>
          <w:u w:val="none"/>
        </w:rPr>
        <w:t>uno sin cuantía por la inscripción de cada órgano nombrado</w:t>
      </w:r>
      <w:r>
        <w:rPr>
          <w:rFonts w:ascii="Times New Roman" w:hAnsi="Times New Roman"/>
          <w:b w:val="0"/>
          <w:i w:val="0"/>
          <w:u w:val="none"/>
        </w:rPr>
        <w:t xml:space="preserve"> —representantes legales, junta directiva y revisores fiscales—. Aquí solo se nombra el órgano de representación legal, con principal y suplente, de modo que se causa un único acto sin cuantía. El artículo 230 de la Ley 223 de 1995 lo tasa entre dos y cuatro salarios mínimos diarios legales vigentes; la ordenanza departamental fija el valor exacto dentro de ese rango.</w:t>
      </w:r>
    </w:p>
    <w:p>
      <w:r>
        <w:rPr>
          <w:rFonts w:ascii="Times New Roman" w:hAnsi="Times New Roman"/>
          <w:b/>
          <w:i w:val="0"/>
          <w:u w:val="none"/>
        </w:rPr>
        <w:t>Tarifa a confirmar.</w:t>
      </w:r>
      <w:r>
        <w:rPr>
          <w:rFonts w:ascii="Times New Roman" w:hAnsi="Times New Roman"/>
          <w:b w:val="0"/>
          <w:i w:val="0"/>
          <w:u w:val="none"/>
        </w:rPr>
        <w:t xml:space="preserve"> El rango legal es de 0,3 % a 0,7 % y corresponde a la asamblea departamental fijar la tarifa dentro de ese rango mediante ordenanza. La liquidación anterior asume el tope de 0,7 %, que es el aplicado en Antioquia. Antes de pagar, conviene confirmar la tarifa vigente en el portal tributario de la Gobernación de Antioquia o en la liquidación que expida la propia Cámara, porque una tarifa menor reduciría el valor a pagar.</w:t>
      </w:r>
    </w:p>
    <w:p>
      <w:pPr>
        <w:keepNext/>
        <w:spacing w:before="320" w:after="16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4. DÓNDE Y CÓMO SE PAGA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2737"/>
        <w:gridCol w:w="6385"/>
      </w:tblGrid>
      <w:tr>
        <w:tc>
          <w:tcPr>
            <w:tcW w:type="dxa" w:w="2737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Vía</w:t>
            </w:r>
          </w:p>
        </w:tc>
        <w:tc>
          <w:tcPr>
            <w:tcW w:type="dxa" w:w="6385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Procedimiento</w:t>
            </w:r>
          </w:p>
        </w:tc>
      </w:tr>
      <w:tr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 través de la Cámara de Comercio</w:t>
            </w:r>
          </w:p>
        </w:tc>
        <w:tc>
          <w:tcPr>
            <w:tcW w:type="dxa" w:w="638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Cuando existe convenio de recaudo, la Cámara liquida el impuesto en el mismo acto de radicación y lo cobra junto con los derechos de registro. Es la vía más simple y la que evita errores de liquidación.</w:t>
            </w:r>
          </w:p>
        </w:tc>
      </w:tr>
      <w:tr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Directamente ante la Gobernación de Antioquia</w:t>
            </w:r>
          </w:p>
        </w:tc>
        <w:tc>
          <w:tcPr>
            <w:tcW w:type="dxa" w:w="638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 través del portal tributario del departamento, generando la liquidación en línea y pagando por los canales autorizados; o en una notaría del departamento habilitada para el recaudo.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/>
          <w:i w:val="0"/>
          <w:u w:val="none"/>
        </w:rPr>
        <w:t>Plazo.</w:t>
      </w:r>
      <w:r>
        <w:rPr>
          <w:rFonts w:ascii="Times New Roman" w:hAnsi="Times New Roman"/>
          <w:b w:val="0"/>
          <w:i w:val="0"/>
          <w:u w:val="none"/>
        </w:rPr>
        <w:t xml:space="preserve"> El impuesto debe pagarse </w:t>
      </w:r>
      <w:r>
        <w:rPr>
          <w:rFonts w:ascii="Times New Roman" w:hAnsi="Times New Roman"/>
          <w:b/>
          <w:i w:val="0"/>
          <w:u w:val="none"/>
        </w:rPr>
        <w:t>antes</w:t>
      </w:r>
      <w:r>
        <w:rPr>
          <w:rFonts w:ascii="Times New Roman" w:hAnsi="Times New Roman"/>
          <w:b w:val="0"/>
          <w:i w:val="0"/>
          <w:u w:val="none"/>
        </w:rPr>
        <w:t xml:space="preserve"> de la inscripción, porque la Cámara verifica su pago como condición para registrar. En la práctica se paga el mismo día de la radicación.</w:t>
      </w:r>
    </w:p>
    <w:p>
      <w:r>
        <w:rPr>
          <w:rFonts w:ascii="Times New Roman" w:hAnsi="Times New Roman"/>
          <w:b/>
          <w:i w:val="0"/>
          <w:u w:val="none"/>
        </w:rPr>
        <w:t>Documento a conservar.</w:t>
      </w:r>
      <w:r>
        <w:rPr>
          <w:rFonts w:ascii="Times New Roman" w:hAnsi="Times New Roman"/>
          <w:b w:val="0"/>
          <w:i w:val="0"/>
          <w:u w:val="none"/>
        </w:rPr>
        <w:t xml:space="preserve"> El recibo o comprobante de pago debe archivarse en el expediente societario: es el soporte del gasto para efectos contables y tributarios, y el documento que se exhibe si la autoridad departamental cuestiona la liquidación.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FORMATO DE LIQUIDACIÓN DEL IMPUESTO DE REGISTRO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Hoja de trabajo para la radicación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4105"/>
        <w:gridCol w:w="5017"/>
      </w:tblGrid>
      <w:tr>
        <w:tc>
          <w:tcPr>
            <w:tcW w:type="dxa" w:w="4105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Campo</w:t>
            </w:r>
          </w:p>
        </w:tc>
        <w:tc>
          <w:tcPr>
            <w:tcW w:type="dxa" w:w="5017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Contenido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Departamento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ANTIOQUIA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Entidad recaudadora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Cámara de Comercio de Medellín para Antioquia (por convenio) o Gobernación de Antioquia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Sujeto pasivo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NOVA BIENESTAR INTEGRAL S.A.S. (en constitución)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NIT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El asignado en el RUT provisional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Dirección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Carrera 37 n.º 10A-58, oficina 804, Medellín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Acto sujeto a registro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Constitución de sociedad por acciones simplificada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Documento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Documento privado del 1.º de octubre de 2026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Registro en que se inscribe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Registro mercantil — libro IX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Clase de acto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 cuantía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Base gravable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$600.000.000 (capital suscrito)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Tarifa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0,7 %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 del impuesto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$4.200.000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Impuesto sin cuantía por nombramientos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Un (1) acto: órgano de representación legal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Exenciones aplicables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Ninguna. La exención de la Ley 1780 de 2016 no cubre el impuesto de registro, ni el de cuantía ni el sin cuantía.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 de pago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 / ____ / 2026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de recibo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____________</w:t>
            </w:r>
          </w:p>
        </w:tc>
      </w:tr>
    </w:tbl>
    <w:p>
      <w:pPr>
        <w:spacing w:after="80"/>
      </w:pPr>
    </w:p>
    <w:p>
      <w:pPr>
        <w:spacing w:after="0"/>
      </w:pPr>
    </w:p>
    <w:p>
      <w:pPr>
        <w:spacing w:after="0"/>
      </w:pP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u w:val="none"/>
        </w:rPr>
        <w:t>________________________________________</w:t>
      </w:r>
    </w:p>
    <w:p>
      <w:pPr>
        <w:spacing w:after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MARIANA LÓPEZ CASTAÑO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C.C. 1.039.672.481 de Medellín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Representante legal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NOVA BIENESTAR INTEGRAL S.A.S.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PLANILLA DE CONTROL DE RADICACIÓN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Lista de chequeo para la ventanilla</w:t>
      </w:r>
    </w:p>
    <w:p>
      <w:r>
        <w:rPr>
          <w:rFonts w:ascii="Times New Roman" w:hAnsi="Times New Roman"/>
          <w:b w:val="0"/>
          <w:i w:val="0"/>
          <w:u w:val="none"/>
        </w:rPr>
        <w:t>Esta planilla se lleva impresa a la radicación. Cada casilla se marca en el momento de verificar el documento; ninguna debe quedar en blanco al llegar a la ventanilla.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A. Documentos que se radican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1" w:type="dxa"/>
        <w:tblLayout w:type="fixed"/>
      </w:tblPr>
      <w:tblGrid>
        <w:gridCol w:w="730"/>
        <w:gridCol w:w="4743"/>
        <w:gridCol w:w="912"/>
        <w:gridCol w:w="912"/>
        <w:gridCol w:w="1824"/>
      </w:tblGrid>
      <w:tr>
        <w:tc>
          <w:tcPr>
            <w:tcW w:type="dxa" w:w="73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N.º</w:t>
            </w:r>
          </w:p>
        </w:tc>
        <w:tc>
          <w:tcPr>
            <w:tcW w:type="dxa" w:w="474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Documento</w:t>
            </w:r>
          </w:p>
        </w:tc>
        <w:tc>
          <w:tcPr>
            <w:tcW w:type="dxa" w:w="912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Folios</w:t>
            </w:r>
          </w:p>
        </w:tc>
        <w:tc>
          <w:tcPr>
            <w:tcW w:type="dxa" w:w="912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✓</w:t>
            </w:r>
          </w:p>
        </w:tc>
        <w:tc>
          <w:tcPr>
            <w:tcW w:type="dxa" w:w="1824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Observación</w:t>
            </w: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Documento privado de constitución, con presentación personal o reconocimiento notarial de las dos firmas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Carta de aceptación del cargo de representante legal principal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Carta de aceptación del cargo de representante legal suplente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Fotocopia ampliada de la cédula de Mariana López Castaño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Fotocopia ampliada de la cédula de Felipe Andrés Gómez Vélez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Certificación de pago del capital suscrito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Declaración juramentada Ley 1780 de 2016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RUT provisional (pre-RUT) impreso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9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Carátula única empresarial (dos páginas), firmada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Anexo de matrícula de persona jurídica, firmado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11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Anexo de matrícula de establecimiento de comercio, firmado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12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Formulario adicional de registro con otras entidades, firmado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13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Comprobante de pago del impuesto de registro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14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Solicitud de inscripción de libros (formato 7 de la Cámara)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15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Manifestación de desarrollo de emprendimientos sociales, Ley 2234 de 2022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16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Formato de la Cámara que acredita las condiciones de pequeña empresa joven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17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Anexo de reporte de información con enfoque diferencial étnico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73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18</w:t>
            </w:r>
          </w:p>
        </w:tc>
        <w:tc>
          <w:tcPr>
            <w:tcW w:type="dxa" w:w="474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Poder especial, si radica un tercero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1824"/>
          </w:tcPr>
          <w:p>
            <w:pPr>
              <w:spacing w:after="40" w:before="40" w:line="240" w:lineRule="auto"/>
              <w:jc w:val="left"/>
            </w:pPr>
          </w:p>
        </w:tc>
      </w:tr>
    </w:tbl>
    <w:p>
      <w:pPr>
        <w:spacing w:after="8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B. Verificaciones antes de entregar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5473"/>
        <w:gridCol w:w="912"/>
        <w:gridCol w:w="2737"/>
      </w:tblGrid>
      <w:tr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Verificación</w:t>
            </w:r>
          </w:p>
        </w:tc>
        <w:tc>
          <w:tcPr>
            <w:tcW w:type="dxa" w:w="912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✓</w:t>
            </w:r>
          </w:p>
        </w:tc>
        <w:tc>
          <w:tcPr>
            <w:tcW w:type="dxa" w:w="2737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Responsable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La razón social es idéntica en los tres formularios y en el documento de constitución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El teléfono es idéntico en los tres formularios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El número del formulario 001 de la DIAN quedó transcrito en el formulario de otras entidades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Los tres capitales indican valor, número de acciones y valor nominal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El capital suscrito indica además la clase de acciones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La suma de acciones de los accionistas es 600.000 y coincide con el capital suscrito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Se marcó la casilla de beneficio de la Ley 1780 y se anexó la declaración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Los formularios están firmados y, si el formato lo exige, con huella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 hay tachones ni enmendaduras en ningún formulario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La consulta de homonimia se realizó y no arrojó coincidencias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El anexo de responsabilidades tributarias tiene presentación personal ante la Cámara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El documento de constitución indica de manera expresa el término para el pago del capital suscrito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  <w:tr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Se anexó la relación de nombre e identificación de los nueve trabajadores</w:t>
            </w:r>
          </w:p>
        </w:tc>
        <w:tc>
          <w:tcPr>
            <w:tcW w:type="dxa" w:w="912"/>
          </w:tcPr>
          <w:p>
            <w:pPr>
              <w:spacing w:after="40" w:before="40" w:line="240" w:lineRule="auto"/>
              <w:jc w:val="left"/>
            </w:pPr>
          </w:p>
        </w:tc>
        <w:tc>
          <w:tcPr>
            <w:tcW w:type="dxa" w:w="273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</w:tbl>
    <w:p>
      <w:pPr>
        <w:spacing w:after="8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C. Resultado de la radicación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4105"/>
        <w:gridCol w:w="5017"/>
      </w:tblGrid>
      <w:tr>
        <w:tc>
          <w:tcPr>
            <w:tcW w:type="dxa" w:w="4105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017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Contenido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 de radicación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 / ____ / 2026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de recibo de caja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____________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 total pagado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$____________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 estimada de entrega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 / ____ / 2026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de matrícula mercantil de la sociedad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____________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de matrícula del establecimiento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____________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y libro de inscripción del documento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 del libro IX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NIT definitivo asignado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____________</w:t>
            </w:r>
          </w:p>
        </w:tc>
      </w:tr>
      <w:tr>
        <w:tc>
          <w:tcPr>
            <w:tcW w:type="dxa" w:w="4105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¿Hubo devolución? Causa</w:t>
            </w:r>
          </w:p>
        </w:tc>
        <w:tc>
          <w:tcPr>
            <w:tcW w:type="dxa" w:w="5017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____________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6"/>
      </w:rPr>
      <w:t xml:space="preserve">Impuesto de registro y control de radicación  |  </w:t>
    </w:r>
    <w:r>
      <w:rPr>
        <w:rFonts w:ascii="Times New Roman" w:hAnsi="Times New Roman"/>
        <w:color w:val="555555"/>
        <w:sz w:val="16"/>
      </w:rPr>
      <w:t xml:space="preserve">Página </w:t>
    </w:r>
    <w:r>
      <w:rPr>
        <w:rFonts w:ascii="Times New Roman" w:hAnsi="Times New Roman"/>
        <w:color w:val="555555"/>
        <w:sz w:val="16"/>
      </w:rPr>
      <w:fldChar w:fldCharType="begin"/>
      <w:instrText xml:space="preserve"> PAGE </w:instrText>
      <w:fldChar w:fldCharType="end"/>
    </w:r>
    <w:r>
      <w:rPr>
        <w:rFonts w:ascii="Times New Roman" w:hAnsi="Times New Roman"/>
        <w:color w:val="555555"/>
        <w:sz w:val="16"/>
      </w:rPr>
      <w:t xml:space="preserve"> de </w:t>
    </w:r>
    <w:r>
      <w:rPr>
        <w:rFonts w:ascii="Times New Roman" w:hAnsi="Times New Roman"/>
        <w:color w:val="555555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AAAAAA"/>
      </w:pBdr>
    </w:pPr>
    <w:r>
      <w:rPr>
        <w:rFonts w:ascii="Times New Roman" w:hAnsi="Times New Roman"/>
        <w:i/>
        <w:color w:val="555555"/>
        <w:sz w:val="16"/>
      </w:rPr>
      <w:t>NOVA BIENESTAR INTEGRAL S.A.S. — Impuesto de registro y planilla de radicación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