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i w:val="0"/>
          <w:sz w:val="28"/>
          <w:u w:val="none"/>
        </w:rPr>
        <w:t>INFORME FINAL DE AUDITORÍA Y ESTADO DEL EXPEDIENTE</w:t>
      </w:r>
    </w:p>
    <w:p>
      <w:pPr>
        <w:spacing w:after="280"/>
        <w:jc w:val="center"/>
      </w:pPr>
      <w:r>
        <w:rPr>
          <w:rFonts w:ascii="Times New Roman" w:hAnsi="Times New Roman"/>
          <w:b/>
          <w:i w:val="0"/>
          <w:sz w:val="24"/>
          <w:u w:val="none"/>
        </w:rPr>
        <w:t>Constitución de NOVA BIENESTAR INTEGRAL S.A.S. — Cámara de Comercio de Medellín para Antioquia</w:t>
      </w:r>
    </w:p>
    <w:p>
      <w:pPr>
        <w:keepNext/>
        <w:spacing w:before="320" w:after="160"/>
        <w:jc w:val="center"/>
      </w:pPr>
      <w:r>
        <w:rPr>
          <w:rFonts w:ascii="Times New Roman" w:hAnsi="Times New Roman"/>
          <w:b/>
          <w:i w:val="0"/>
          <w:sz w:val="24"/>
          <w:u w:val="none"/>
        </w:rPr>
        <w:t>I. ALCANCE DE LA REVISIÓN</w:t>
      </w:r>
    </w:p>
    <w:p>
      <w:r>
        <w:rPr>
          <w:rFonts w:ascii="Times New Roman" w:hAnsi="Times New Roman"/>
          <w:b w:val="0"/>
          <w:i w:val="0"/>
          <w:u w:val="none"/>
        </w:rPr>
        <w:t xml:space="preserve">Se sometió el expediente completo a cuatro verificaciones: </w:t>
      </w:r>
      <w:r>
        <w:rPr>
          <w:rFonts w:ascii="Times New Roman" w:hAnsi="Times New Roman"/>
          <w:b/>
          <w:i w:val="0"/>
          <w:u w:val="none"/>
        </w:rPr>
        <w:t>coherencia de cifras</w:t>
      </w:r>
      <w:r>
        <w:rPr>
          <w:rFonts w:ascii="Times New Roman" w:hAnsi="Times New Roman"/>
          <w:b w:val="0"/>
          <w:i w:val="0"/>
          <w:u w:val="none"/>
        </w:rPr>
        <w:t xml:space="preserve"> entre los quince documentos; </w:t>
      </w:r>
      <w:r>
        <w:rPr>
          <w:rFonts w:ascii="Times New Roman" w:hAnsi="Times New Roman"/>
          <w:b/>
          <w:i w:val="0"/>
          <w:u w:val="none"/>
        </w:rPr>
        <w:t>integridad de las referencias cruzadas</w:t>
      </w:r>
      <w:r>
        <w:rPr>
          <w:rFonts w:ascii="Times New Roman" w:hAnsi="Times New Roman"/>
          <w:b w:val="0"/>
          <w:i w:val="0"/>
          <w:u w:val="none"/>
        </w:rPr>
        <w:t xml:space="preserve"> a los artículos de los estatutos; </w:t>
      </w:r>
      <w:r>
        <w:rPr>
          <w:rFonts w:ascii="Times New Roman" w:hAnsi="Times New Roman"/>
          <w:b/>
          <w:i w:val="0"/>
          <w:u w:val="none"/>
        </w:rPr>
        <w:t>operatividad aritmética de las cláusulas de mayoría</w:t>
      </w:r>
      <w:r>
        <w:rPr>
          <w:rFonts w:ascii="Times New Roman" w:hAnsi="Times New Roman"/>
          <w:b w:val="0"/>
          <w:i w:val="0"/>
          <w:u w:val="none"/>
        </w:rPr>
        <w:t xml:space="preserve"> aplicadas a la composición accionaria real del caso; y </w:t>
      </w:r>
      <w:r>
        <w:rPr>
          <w:rFonts w:ascii="Times New Roman" w:hAnsi="Times New Roman"/>
          <w:b/>
          <w:i w:val="0"/>
          <w:u w:val="none"/>
        </w:rPr>
        <w:t>vigencia de las normas invocadas</w:t>
      </w:r>
      <w:r>
        <w:rPr>
          <w:rFonts w:ascii="Times New Roman" w:hAnsi="Times New Roman"/>
          <w:b w:val="0"/>
          <w:i w:val="0"/>
          <w:u w:val="none"/>
        </w:rPr>
        <w:t>.</w:t>
      </w:r>
    </w:p>
    <w:p>
      <w:r>
        <w:rPr>
          <w:rFonts w:ascii="Times New Roman" w:hAnsi="Times New Roman"/>
          <w:b w:val="0"/>
          <w:i w:val="0"/>
          <w:u w:val="none"/>
        </w:rPr>
        <w:t>La tercera verificación es la que produjo hallazgos. Una cláusula puede estar impecablemente redactada y ser inaplicable cuando se le introducen los números concretos de la sociedad. Cinco lo estaban.</w:t>
      </w:r>
    </w:p>
    <w:p>
      <w:pPr>
        <w:keepNext/>
        <w:spacing w:before="240" w:after="80"/>
        <w:jc w:val="left"/>
      </w:pPr>
      <w:r>
        <w:rPr>
          <w:rFonts w:ascii="Times New Roman" w:hAnsi="Times New Roman"/>
          <w:b/>
          <w:i w:val="0"/>
          <w:sz w:val="24"/>
          <w:u w:val="none"/>
        </w:rPr>
        <w:t>Resumen de la verificación</w:t>
      </w:r>
    </w:p>
    <w:tbl>
      <w:tblPr>
        <w:tblStyle w:val="TableGrid"/>
        <w:tblW w:type="auto" w:w="0"/>
        <w:jc w:val="center"/>
        <w:tblLayout w:type="fixed"/>
        <w:tblLook w:firstColumn="1" w:firstRow="1" w:lastColumn="0" w:lastRow="0" w:noHBand="0" w:noVBand="1" w:val="04A0"/>
        <w:tblW w:w="9122" w:type="dxa"/>
        <w:tblLayout w:type="fixed"/>
      </w:tblPr>
      <w:tblGrid>
        <w:gridCol w:w="4196"/>
        <w:gridCol w:w="1642"/>
        <w:gridCol w:w="3284"/>
      </w:tblGrid>
      <w:tr>
        <w:tc>
          <w:tcPr>
            <w:tcW w:type="dxa" w:w="4196"/>
            <w:shd w:val="clear" w:color="auto" w:fill="D9D9D9"/>
          </w:tcPr>
          <w:p>
            <w:pPr>
              <w:spacing w:after="40" w:before="40" w:line="240" w:lineRule="auto"/>
              <w:jc w:val="center"/>
            </w:pPr>
            <w:r>
              <w:rPr>
                <w:rFonts w:ascii="Times New Roman" w:hAnsi="Times New Roman"/>
                <w:b/>
                <w:i w:val="0"/>
                <w:sz w:val="20"/>
                <w:u w:val="none"/>
              </w:rPr>
              <w:t>Control aplicado</w:t>
            </w:r>
          </w:p>
        </w:tc>
        <w:tc>
          <w:tcPr>
            <w:tcW w:type="dxa" w:w="1642"/>
            <w:shd w:val="clear" w:color="auto" w:fill="D9D9D9"/>
          </w:tcPr>
          <w:p>
            <w:pPr>
              <w:spacing w:after="40" w:before="40" w:line="240" w:lineRule="auto"/>
              <w:jc w:val="center"/>
            </w:pPr>
            <w:r>
              <w:rPr>
                <w:rFonts w:ascii="Times New Roman" w:hAnsi="Times New Roman"/>
                <w:b/>
                <w:i w:val="0"/>
                <w:sz w:val="20"/>
                <w:u w:val="none"/>
              </w:rPr>
              <w:t>Resultado</w:t>
            </w:r>
          </w:p>
        </w:tc>
        <w:tc>
          <w:tcPr>
            <w:tcW w:type="dxa" w:w="3284"/>
            <w:shd w:val="clear" w:color="auto" w:fill="D9D9D9"/>
          </w:tcPr>
          <w:p>
            <w:pPr>
              <w:spacing w:after="40" w:before="40" w:line="240" w:lineRule="auto"/>
              <w:jc w:val="center"/>
            </w:pPr>
            <w:r>
              <w:rPr>
                <w:rFonts w:ascii="Times New Roman" w:hAnsi="Times New Roman"/>
                <w:b/>
                <w:i w:val="0"/>
                <w:sz w:val="20"/>
                <w:u w:val="none"/>
              </w:rPr>
              <w:t>Observación</w:t>
            </w:r>
          </w:p>
        </w:tc>
      </w:tr>
      <w:tr>
        <w:tc>
          <w:tcPr>
            <w:tcW w:type="dxa" w:w="4196"/>
          </w:tcPr>
          <w:p>
            <w:pPr>
              <w:spacing w:after="40" w:before="40" w:line="240" w:lineRule="auto"/>
              <w:jc w:val="left"/>
            </w:pPr>
            <w:r>
              <w:rPr>
                <w:rFonts w:ascii="Times New Roman" w:hAnsi="Times New Roman"/>
                <w:b w:val="0"/>
                <w:i w:val="0"/>
                <w:sz w:val="20"/>
                <w:u w:val="none"/>
              </w:rPr>
              <w:t>Numeración de los artículos de los estatutos</w:t>
            </w:r>
          </w:p>
        </w:tc>
        <w:tc>
          <w:tcPr>
            <w:tcW w:type="dxa" w:w="1642"/>
          </w:tcPr>
          <w:p>
            <w:pPr>
              <w:spacing w:after="40" w:before="40" w:line="240" w:lineRule="auto"/>
              <w:jc w:val="left"/>
            </w:pPr>
            <w:r>
              <w:rPr>
                <w:rFonts w:ascii="Times New Roman" w:hAnsi="Times New Roman"/>
                <w:b w:val="0"/>
                <w:i w:val="0"/>
                <w:sz w:val="20"/>
                <w:u w:val="none"/>
              </w:rPr>
              <w:t>Conforme</w:t>
            </w:r>
          </w:p>
        </w:tc>
        <w:tc>
          <w:tcPr>
            <w:tcW w:type="dxa" w:w="3284"/>
          </w:tcPr>
          <w:p>
            <w:pPr>
              <w:spacing w:after="40" w:before="40" w:line="240" w:lineRule="auto"/>
              <w:jc w:val="left"/>
            </w:pPr>
            <w:r>
              <w:rPr>
                <w:rFonts w:ascii="Times New Roman" w:hAnsi="Times New Roman"/>
                <w:b w:val="0"/>
                <w:i w:val="0"/>
                <w:sz w:val="20"/>
                <w:u w:val="none"/>
              </w:rPr>
              <w:t>42 artículos y 6 transitorios, continuos y sin saltos</w:t>
            </w:r>
          </w:p>
        </w:tc>
      </w:tr>
      <w:tr>
        <w:tc>
          <w:tcPr>
            <w:tcW w:type="dxa" w:w="4196"/>
          </w:tcPr>
          <w:p>
            <w:pPr>
              <w:spacing w:after="40" w:before="40" w:line="240" w:lineRule="auto"/>
              <w:jc w:val="left"/>
            </w:pPr>
            <w:r>
              <w:rPr>
                <w:rFonts w:ascii="Times New Roman" w:hAnsi="Times New Roman"/>
                <w:b w:val="0"/>
                <w:i w:val="0"/>
                <w:sz w:val="20"/>
                <w:u w:val="none"/>
              </w:rPr>
              <w:t>Referencias cruzadas a artículos de los estatutos</w:t>
            </w:r>
          </w:p>
        </w:tc>
        <w:tc>
          <w:tcPr>
            <w:tcW w:type="dxa" w:w="1642"/>
          </w:tcPr>
          <w:p>
            <w:pPr>
              <w:spacing w:after="40" w:before="40" w:line="240" w:lineRule="auto"/>
              <w:jc w:val="left"/>
            </w:pPr>
            <w:r>
              <w:rPr>
                <w:rFonts w:ascii="Times New Roman" w:hAnsi="Times New Roman"/>
                <w:b w:val="0"/>
                <w:i w:val="0"/>
                <w:sz w:val="20"/>
                <w:u w:val="none"/>
              </w:rPr>
              <w:t>Conforme</w:t>
            </w:r>
          </w:p>
        </w:tc>
        <w:tc>
          <w:tcPr>
            <w:tcW w:type="dxa" w:w="3284"/>
          </w:tcPr>
          <w:p>
            <w:pPr>
              <w:spacing w:after="40" w:before="40" w:line="240" w:lineRule="auto"/>
              <w:jc w:val="left"/>
            </w:pPr>
            <w:r>
              <w:rPr>
                <w:rFonts w:ascii="Times New Roman" w:hAnsi="Times New Roman"/>
                <w:b w:val="0"/>
                <w:i w:val="0"/>
                <w:sz w:val="20"/>
                <w:u w:val="none"/>
              </w:rPr>
              <w:t>54 referencias en 10 documentos; todas apuntan al artículo correcto</w:t>
            </w:r>
          </w:p>
        </w:tc>
      </w:tr>
      <w:tr>
        <w:tc>
          <w:tcPr>
            <w:tcW w:type="dxa" w:w="4196"/>
          </w:tcPr>
          <w:p>
            <w:pPr>
              <w:spacing w:after="40" w:before="40" w:line="240" w:lineRule="auto"/>
              <w:jc w:val="left"/>
            </w:pPr>
            <w:r>
              <w:rPr>
                <w:rFonts w:ascii="Times New Roman" w:hAnsi="Times New Roman"/>
                <w:b w:val="0"/>
                <w:i w:val="0"/>
                <w:sz w:val="20"/>
                <w:u w:val="none"/>
              </w:rPr>
              <w:t>Coherencia de cifras entre documentos</w:t>
            </w:r>
          </w:p>
        </w:tc>
        <w:tc>
          <w:tcPr>
            <w:tcW w:type="dxa" w:w="1642"/>
          </w:tcPr>
          <w:p>
            <w:pPr>
              <w:spacing w:after="40" w:before="40" w:line="240" w:lineRule="auto"/>
              <w:jc w:val="left"/>
            </w:pPr>
            <w:r>
              <w:rPr>
                <w:rFonts w:ascii="Times New Roman" w:hAnsi="Times New Roman"/>
                <w:b w:val="0"/>
                <w:i w:val="0"/>
                <w:sz w:val="20"/>
                <w:u w:val="none"/>
              </w:rPr>
              <w:t>Conforme</w:t>
            </w:r>
          </w:p>
        </w:tc>
        <w:tc>
          <w:tcPr>
            <w:tcW w:type="dxa" w:w="3284"/>
          </w:tcPr>
          <w:p>
            <w:pPr>
              <w:spacing w:after="40" w:before="40" w:line="240" w:lineRule="auto"/>
              <w:jc w:val="left"/>
            </w:pPr>
            <w:r>
              <w:rPr>
                <w:rFonts w:ascii="Times New Roman" w:hAnsi="Times New Roman"/>
                <w:b w:val="0"/>
                <w:i w:val="0"/>
                <w:sz w:val="20"/>
                <w:u w:val="none"/>
              </w:rPr>
              <w:t>Capital, acciones, porcentajes, cédulas, dirección, teléfono, correo y códigos CIIU coinciden en los 15 documentos</w:t>
            </w:r>
          </w:p>
        </w:tc>
      </w:tr>
      <w:tr>
        <w:tc>
          <w:tcPr>
            <w:tcW w:type="dxa" w:w="4196"/>
          </w:tcPr>
          <w:p>
            <w:pPr>
              <w:spacing w:after="40" w:before="40" w:line="240" w:lineRule="auto"/>
              <w:jc w:val="left"/>
            </w:pPr>
            <w:r>
              <w:rPr>
                <w:rFonts w:ascii="Times New Roman" w:hAnsi="Times New Roman"/>
                <w:b w:val="0"/>
                <w:i w:val="0"/>
                <w:sz w:val="20"/>
                <w:u w:val="none"/>
              </w:rPr>
              <w:t>Aritmética del capital</w:t>
            </w:r>
          </w:p>
        </w:tc>
        <w:tc>
          <w:tcPr>
            <w:tcW w:type="dxa" w:w="1642"/>
          </w:tcPr>
          <w:p>
            <w:pPr>
              <w:spacing w:after="40" w:before="40" w:line="240" w:lineRule="auto"/>
              <w:jc w:val="left"/>
            </w:pPr>
            <w:r>
              <w:rPr>
                <w:rFonts w:ascii="Times New Roman" w:hAnsi="Times New Roman"/>
                <w:b w:val="0"/>
                <w:i w:val="0"/>
                <w:sz w:val="20"/>
                <w:u w:val="none"/>
              </w:rPr>
              <w:t>Conforme</w:t>
            </w:r>
          </w:p>
        </w:tc>
        <w:tc>
          <w:tcPr>
            <w:tcW w:type="dxa" w:w="3284"/>
          </w:tcPr>
          <w:p>
            <w:pPr>
              <w:spacing w:after="40" w:before="40" w:line="240" w:lineRule="auto"/>
              <w:jc w:val="left"/>
            </w:pPr>
            <w:r>
              <w:rPr>
                <w:rFonts w:ascii="Times New Roman" w:hAnsi="Times New Roman"/>
                <w:b w:val="0"/>
                <w:i w:val="0"/>
                <w:sz w:val="20"/>
                <w:u w:val="none"/>
              </w:rPr>
              <w:t>390.000 + 210.000 = 600.000 acciones = $600.000.000; 65 % / 35 % exactos, sin residuos</w:t>
            </w:r>
          </w:p>
        </w:tc>
      </w:tr>
      <w:tr>
        <w:tc>
          <w:tcPr>
            <w:tcW w:type="dxa" w:w="4196"/>
          </w:tcPr>
          <w:p>
            <w:pPr>
              <w:spacing w:after="40" w:before="40" w:line="240" w:lineRule="auto"/>
              <w:jc w:val="left"/>
            </w:pPr>
            <w:r>
              <w:rPr>
                <w:rFonts w:ascii="Times New Roman" w:hAnsi="Times New Roman"/>
                <w:b w:val="0"/>
                <w:i w:val="0"/>
                <w:sz w:val="20"/>
                <w:u w:val="none"/>
              </w:rPr>
              <w:t>Liquidación de derechos e impuestos</w:t>
            </w:r>
          </w:p>
        </w:tc>
        <w:tc>
          <w:tcPr>
            <w:tcW w:type="dxa" w:w="1642"/>
          </w:tcPr>
          <w:p>
            <w:pPr>
              <w:spacing w:after="40" w:before="40" w:line="240" w:lineRule="auto"/>
              <w:jc w:val="left"/>
            </w:pPr>
            <w:r>
              <w:rPr>
                <w:rFonts w:ascii="Times New Roman" w:hAnsi="Times New Roman"/>
                <w:b w:val="0"/>
                <w:i w:val="0"/>
                <w:sz w:val="20"/>
                <w:u w:val="none"/>
              </w:rPr>
              <w:t>Conforme</w:t>
            </w:r>
          </w:p>
        </w:tc>
        <w:tc>
          <w:tcPr>
            <w:tcW w:type="dxa" w:w="3284"/>
          </w:tcPr>
          <w:p>
            <w:pPr>
              <w:spacing w:after="40" w:before="40" w:line="240" w:lineRule="auto"/>
              <w:jc w:val="left"/>
            </w:pPr>
            <w:r>
              <w:rPr>
                <w:rFonts w:ascii="Times New Roman" w:hAnsi="Times New Roman"/>
                <w:b w:val="0"/>
                <w:i w:val="0"/>
                <w:sz w:val="20"/>
                <w:u w:val="none"/>
              </w:rPr>
              <w:t>$4.200.000 + $72.660 + $48.440 = $4.321.100; el impuesto pesa el 97,2 %</w:t>
            </w:r>
          </w:p>
        </w:tc>
      </w:tr>
      <w:tr>
        <w:tc>
          <w:tcPr>
            <w:tcW w:type="dxa" w:w="4196"/>
          </w:tcPr>
          <w:p>
            <w:pPr>
              <w:spacing w:after="40" w:before="40" w:line="240" w:lineRule="auto"/>
              <w:jc w:val="left"/>
            </w:pPr>
            <w:r>
              <w:rPr>
                <w:rFonts w:ascii="Times New Roman" w:hAnsi="Times New Roman"/>
                <w:b w:val="0"/>
                <w:i w:val="0"/>
                <w:sz w:val="20"/>
                <w:u w:val="none"/>
              </w:rPr>
              <w:t>Umbral de cuantía del artículo 28</w:t>
            </w:r>
          </w:p>
        </w:tc>
        <w:tc>
          <w:tcPr>
            <w:tcW w:type="dxa" w:w="1642"/>
          </w:tcPr>
          <w:p>
            <w:pPr>
              <w:spacing w:after="40" w:before="40" w:line="240" w:lineRule="auto"/>
              <w:jc w:val="left"/>
            </w:pPr>
            <w:r>
              <w:rPr>
                <w:rFonts w:ascii="Times New Roman" w:hAnsi="Times New Roman"/>
                <w:b/>
                <w:i w:val="0"/>
                <w:sz w:val="20"/>
                <w:u w:val="none"/>
              </w:rPr>
              <w:t>Corregido</w:t>
            </w:r>
          </w:p>
        </w:tc>
        <w:tc>
          <w:tcPr>
            <w:tcW w:type="dxa" w:w="3284"/>
          </w:tcPr>
          <w:p>
            <w:pPr>
              <w:spacing w:after="40" w:before="40" w:line="240" w:lineRule="auto"/>
              <w:jc w:val="left"/>
            </w:pPr>
            <w:r>
              <w:rPr>
                <w:rFonts w:ascii="Times New Roman" w:hAnsi="Times New Roman"/>
                <w:b w:val="0"/>
                <w:i w:val="0"/>
                <w:sz w:val="20"/>
                <w:u w:val="none"/>
              </w:rPr>
              <w:t>El límite fijado superaba el capital de la sociedad</w:t>
            </w:r>
          </w:p>
        </w:tc>
      </w:tr>
      <w:tr>
        <w:tc>
          <w:tcPr>
            <w:tcW w:type="dxa" w:w="4196"/>
          </w:tcPr>
          <w:p>
            <w:pPr>
              <w:spacing w:after="40" w:before="40" w:line="240" w:lineRule="auto"/>
              <w:jc w:val="left"/>
            </w:pPr>
            <w:r>
              <w:rPr>
                <w:rFonts w:ascii="Times New Roman" w:hAnsi="Times New Roman"/>
                <w:b w:val="0"/>
                <w:i w:val="0"/>
                <w:sz w:val="20"/>
                <w:u w:val="none"/>
              </w:rPr>
              <w:t>Base de cómputo de las mayorías de los artículos 15 y 39</w:t>
            </w:r>
          </w:p>
        </w:tc>
        <w:tc>
          <w:tcPr>
            <w:tcW w:type="dxa" w:w="1642"/>
          </w:tcPr>
          <w:p>
            <w:pPr>
              <w:spacing w:after="40" w:before="40" w:line="240" w:lineRule="auto"/>
              <w:jc w:val="left"/>
            </w:pPr>
            <w:r>
              <w:rPr>
                <w:rFonts w:ascii="Times New Roman" w:hAnsi="Times New Roman"/>
                <w:b/>
                <w:i w:val="0"/>
                <w:sz w:val="20"/>
                <w:u w:val="none"/>
              </w:rPr>
              <w:t>Corregido</w:t>
            </w:r>
          </w:p>
        </w:tc>
        <w:tc>
          <w:tcPr>
            <w:tcW w:type="dxa" w:w="3284"/>
          </w:tcPr>
          <w:p>
            <w:pPr>
              <w:spacing w:after="40" w:before="40" w:line="240" w:lineRule="auto"/>
              <w:jc w:val="left"/>
            </w:pPr>
            <w:r>
              <w:rPr>
                <w:rFonts w:ascii="Times New Roman" w:hAnsi="Times New Roman"/>
                <w:b w:val="0"/>
                <w:i w:val="0"/>
                <w:sz w:val="20"/>
                <w:u w:val="none"/>
              </w:rPr>
              <w:t>Ambas cláusulas resultaban matemáticamente inaplicables</w:t>
            </w:r>
          </w:p>
        </w:tc>
      </w:tr>
      <w:tr>
        <w:tc>
          <w:tcPr>
            <w:tcW w:type="dxa" w:w="4196"/>
          </w:tcPr>
          <w:p>
            <w:pPr>
              <w:spacing w:after="40" w:before="40" w:line="240" w:lineRule="auto"/>
              <w:jc w:val="left"/>
            </w:pPr>
            <w:r>
              <w:rPr>
                <w:rFonts w:ascii="Times New Roman" w:hAnsi="Times New Roman"/>
                <w:b w:val="0"/>
                <w:i w:val="0"/>
                <w:sz w:val="20"/>
                <w:u w:val="none"/>
              </w:rPr>
              <w:t>Plazo de enervamiento de causales de disolución</w:t>
            </w:r>
          </w:p>
        </w:tc>
        <w:tc>
          <w:tcPr>
            <w:tcW w:type="dxa" w:w="1642"/>
          </w:tcPr>
          <w:p>
            <w:pPr>
              <w:spacing w:after="40" w:before="40" w:line="240" w:lineRule="auto"/>
              <w:jc w:val="left"/>
            </w:pPr>
            <w:r>
              <w:rPr>
                <w:rFonts w:ascii="Times New Roman" w:hAnsi="Times New Roman"/>
                <w:b/>
                <w:i w:val="0"/>
                <w:sz w:val="20"/>
                <w:u w:val="none"/>
              </w:rPr>
              <w:t>Corregido</w:t>
            </w:r>
          </w:p>
        </w:tc>
        <w:tc>
          <w:tcPr>
            <w:tcW w:type="dxa" w:w="3284"/>
          </w:tcPr>
          <w:p>
            <w:pPr>
              <w:spacing w:after="40" w:before="40" w:line="240" w:lineRule="auto"/>
              <w:jc w:val="left"/>
            </w:pPr>
            <w:r>
              <w:rPr>
                <w:rFonts w:ascii="Times New Roman" w:hAnsi="Times New Roman"/>
                <w:b w:val="0"/>
                <w:i w:val="0"/>
                <w:sz w:val="20"/>
                <w:u w:val="none"/>
              </w:rPr>
              <w:t>Se aplicaba el plazo especial a causales que tienen el ordinario</w:t>
            </w:r>
          </w:p>
        </w:tc>
      </w:tr>
      <w:tr>
        <w:tc>
          <w:tcPr>
            <w:tcW w:type="dxa" w:w="4196"/>
          </w:tcPr>
          <w:p>
            <w:pPr>
              <w:spacing w:after="40" w:before="40" w:line="240" w:lineRule="auto"/>
              <w:jc w:val="left"/>
            </w:pPr>
            <w:r>
              <w:rPr>
                <w:rFonts w:ascii="Times New Roman" w:hAnsi="Times New Roman"/>
                <w:b w:val="0"/>
                <w:i w:val="0"/>
                <w:sz w:val="20"/>
                <w:u w:val="none"/>
              </w:rPr>
              <w:t>Plazo del derecho de inspección</w:t>
            </w:r>
          </w:p>
        </w:tc>
        <w:tc>
          <w:tcPr>
            <w:tcW w:type="dxa" w:w="1642"/>
          </w:tcPr>
          <w:p>
            <w:pPr>
              <w:spacing w:after="40" w:before="40" w:line="240" w:lineRule="auto"/>
              <w:jc w:val="left"/>
            </w:pPr>
            <w:r>
              <w:rPr>
                <w:rFonts w:ascii="Times New Roman" w:hAnsi="Times New Roman"/>
                <w:b/>
                <w:i w:val="0"/>
                <w:sz w:val="20"/>
                <w:u w:val="none"/>
              </w:rPr>
              <w:t>Corregido</w:t>
            </w:r>
          </w:p>
        </w:tc>
        <w:tc>
          <w:tcPr>
            <w:tcW w:type="dxa" w:w="3284"/>
          </w:tcPr>
          <w:p>
            <w:pPr>
              <w:spacing w:after="40" w:before="40" w:line="240" w:lineRule="auto"/>
              <w:jc w:val="left"/>
            </w:pPr>
            <w:r>
              <w:rPr>
                <w:rFonts w:ascii="Times New Roman" w:hAnsi="Times New Roman"/>
                <w:b w:val="0"/>
                <w:i w:val="0"/>
                <w:sz w:val="20"/>
                <w:u w:val="none"/>
              </w:rPr>
              <w:t>Dos artículos fijaban términos distintos</w:t>
            </w:r>
          </w:p>
        </w:tc>
      </w:tr>
      <w:tr>
        <w:tc>
          <w:tcPr>
            <w:tcW w:type="dxa" w:w="4196"/>
          </w:tcPr>
          <w:p>
            <w:pPr>
              <w:spacing w:after="40" w:before="40" w:line="240" w:lineRule="auto"/>
              <w:jc w:val="left"/>
            </w:pPr>
            <w:r>
              <w:rPr>
                <w:rFonts w:ascii="Times New Roman" w:hAnsi="Times New Roman"/>
                <w:b w:val="0"/>
                <w:i w:val="0"/>
                <w:sz w:val="20"/>
                <w:u w:val="none"/>
              </w:rPr>
              <w:t>Fundamento normativo de la reunión universal</w:t>
            </w:r>
          </w:p>
        </w:tc>
        <w:tc>
          <w:tcPr>
            <w:tcW w:type="dxa" w:w="1642"/>
          </w:tcPr>
          <w:p>
            <w:pPr>
              <w:spacing w:after="40" w:before="40" w:line="240" w:lineRule="auto"/>
              <w:jc w:val="left"/>
            </w:pPr>
            <w:r>
              <w:rPr>
                <w:rFonts w:ascii="Times New Roman" w:hAnsi="Times New Roman"/>
                <w:b/>
                <w:i w:val="0"/>
                <w:sz w:val="20"/>
                <w:u w:val="none"/>
              </w:rPr>
              <w:t>Corregido</w:t>
            </w:r>
          </w:p>
        </w:tc>
        <w:tc>
          <w:tcPr>
            <w:tcW w:type="dxa" w:w="3284"/>
          </w:tcPr>
          <w:p>
            <w:pPr>
              <w:spacing w:after="40" w:before="40" w:line="240" w:lineRule="auto"/>
              <w:jc w:val="left"/>
            </w:pPr>
            <w:r>
              <w:rPr>
                <w:rFonts w:ascii="Times New Roman" w:hAnsi="Times New Roman"/>
                <w:b w:val="0"/>
                <w:i w:val="0"/>
                <w:sz w:val="20"/>
                <w:u w:val="none"/>
              </w:rPr>
              <w:t>Cita a artículo equivocado del Código de Comercio</w:t>
            </w:r>
          </w:p>
        </w:tc>
      </w:tr>
      <w:tr>
        <w:tc>
          <w:tcPr>
            <w:tcW w:type="dxa" w:w="4196"/>
          </w:tcPr>
          <w:p>
            <w:pPr>
              <w:spacing w:after="40" w:before="40" w:line="240" w:lineRule="auto"/>
              <w:jc w:val="left"/>
            </w:pPr>
            <w:r>
              <w:rPr>
                <w:rFonts w:ascii="Times New Roman" w:hAnsi="Times New Roman"/>
                <w:b w:val="0"/>
                <w:i w:val="0"/>
                <w:sz w:val="20"/>
                <w:u w:val="none"/>
              </w:rPr>
              <w:t>Formato de las líneas de firma y espacios en blanco</w:t>
            </w:r>
          </w:p>
        </w:tc>
        <w:tc>
          <w:tcPr>
            <w:tcW w:type="dxa" w:w="1642"/>
          </w:tcPr>
          <w:p>
            <w:pPr>
              <w:spacing w:after="40" w:before="40" w:line="240" w:lineRule="auto"/>
              <w:jc w:val="left"/>
            </w:pPr>
            <w:r>
              <w:rPr>
                <w:rFonts w:ascii="Times New Roman" w:hAnsi="Times New Roman"/>
                <w:b/>
                <w:i w:val="0"/>
                <w:sz w:val="20"/>
                <w:u w:val="none"/>
              </w:rPr>
              <w:t>Corregido</w:t>
            </w:r>
          </w:p>
        </w:tc>
        <w:tc>
          <w:tcPr>
            <w:tcW w:type="dxa" w:w="3284"/>
          </w:tcPr>
          <w:p>
            <w:pPr>
              <w:spacing w:after="40" w:before="40" w:line="240" w:lineRule="auto"/>
              <w:jc w:val="left"/>
            </w:pPr>
            <w:r>
              <w:rPr>
                <w:rFonts w:ascii="Times New Roman" w:hAnsi="Times New Roman"/>
                <w:b w:val="0"/>
                <w:i w:val="0"/>
                <w:sz w:val="20"/>
                <w:u w:val="none"/>
              </w:rPr>
              <w:t>Defecto de generación que acortaba las líneas</w:t>
            </w:r>
          </w:p>
        </w:tc>
      </w:tr>
    </w:tbl>
    <w:p>
      <w:pPr>
        <w:spacing w:after="80"/>
      </w:pPr>
    </w:p>
    <w:p>
      <w:pPr>
        <w:keepNext/>
        <w:spacing w:before="320" w:after="160"/>
        <w:jc w:val="center"/>
      </w:pPr>
      <w:r>
        <w:rPr>
          <w:rFonts w:ascii="Times New Roman" w:hAnsi="Times New Roman"/>
          <w:b/>
          <w:i w:val="0"/>
          <w:sz w:val="24"/>
          <w:u w:val="none"/>
        </w:rPr>
        <w:t>II. LOS CINCO HALLAZGOS Y SU CORRECCIÓN</w:t>
      </w:r>
    </w:p>
    <w:p>
      <w:pPr>
        <w:keepNext/>
        <w:spacing w:before="240" w:after="80"/>
        <w:jc w:val="left"/>
      </w:pPr>
      <w:r>
        <w:rPr>
          <w:rFonts w:ascii="Times New Roman" w:hAnsi="Times New Roman"/>
          <w:b/>
          <w:i w:val="0"/>
          <w:sz w:val="24"/>
          <w:u w:val="none"/>
        </w:rPr>
        <w:t>1. El umbral de cuantía excedía el patrimonio de la sociedad</w:t>
      </w:r>
    </w:p>
    <w:p>
      <w:r>
        <w:rPr>
          <w:rFonts w:ascii="Times New Roman" w:hAnsi="Times New Roman"/>
          <w:b/>
          <w:i w:val="0"/>
          <w:u w:val="none"/>
        </w:rPr>
        <w:t>Lo que decía.</w:t>
      </w:r>
      <w:r>
        <w:rPr>
          <w:rFonts w:ascii="Times New Roman" w:hAnsi="Times New Roman"/>
          <w:b w:val="0"/>
          <w:i w:val="0"/>
          <w:u w:val="none"/>
        </w:rPr>
        <w:t xml:space="preserve"> El parágrafo primero del artículo 28 exigía autorización previa de la asamblea para actos cuya cuantía individual excediera de </w:t>
      </w:r>
      <w:r>
        <w:rPr>
          <w:rFonts w:ascii="Times New Roman" w:hAnsi="Times New Roman"/>
          <w:b/>
          <w:i w:val="0"/>
          <w:u w:val="none"/>
        </w:rPr>
        <w:t>500 salarios mínimos legales mensuales vigentes</w:t>
      </w:r>
      <w:r>
        <w:rPr>
          <w:rFonts w:ascii="Times New Roman" w:hAnsi="Times New Roman"/>
          <w:b w:val="0"/>
          <w:i w:val="0"/>
          <w:u w:val="none"/>
        </w:rPr>
        <w:t>.</w:t>
      </w:r>
    </w:p>
    <w:p>
      <w:r>
        <w:rPr>
          <w:rFonts w:ascii="Times New Roman" w:hAnsi="Times New Roman"/>
          <w:b/>
          <w:i w:val="0"/>
          <w:u w:val="none"/>
        </w:rPr>
        <w:t>El problema.</w:t>
      </w:r>
      <w:r>
        <w:rPr>
          <w:rFonts w:ascii="Times New Roman" w:hAnsi="Times New Roman"/>
          <w:b w:val="0"/>
          <w:i w:val="0"/>
          <w:u w:val="none"/>
        </w:rPr>
        <w:t xml:space="preserve"> Con un salario mínimo del orden de $1.400.000, quinientos salarios equivalen a </w:t>
      </w:r>
      <w:r>
        <w:rPr>
          <w:rFonts w:ascii="Times New Roman" w:hAnsi="Times New Roman"/>
          <w:b/>
          <w:i w:val="0"/>
          <w:u w:val="none"/>
        </w:rPr>
        <w:t>$700.000.000</w:t>
      </w:r>
      <w:r>
        <w:rPr>
          <w:rFonts w:ascii="Times New Roman" w:hAnsi="Times New Roman"/>
          <w:b w:val="0"/>
          <w:i w:val="0"/>
          <w:u w:val="none"/>
        </w:rPr>
        <w:t xml:space="preserve">, suma </w:t>
      </w:r>
      <w:r>
        <w:rPr>
          <w:rFonts w:ascii="Times New Roman" w:hAnsi="Times New Roman"/>
          <w:b/>
          <w:i w:val="0"/>
          <w:u w:val="none"/>
        </w:rPr>
        <w:t>superior al capital pagado de $600.000.000</w:t>
      </w:r>
      <w:r>
        <w:rPr>
          <w:rFonts w:ascii="Times New Roman" w:hAnsi="Times New Roman"/>
          <w:b w:val="0"/>
          <w:i w:val="0"/>
          <w:u w:val="none"/>
        </w:rPr>
        <w:t>. La limitación jamás se habría activado: ningún acto que la sociedad pueda celebrar con su propio patrimonio alcanza ese umbral. Era una cláusula de apariencia protectora y efecto nulo, y con ella se caía toda la protección que el minoritario del 35 % obtenía frente a una representante legal que además es la accionista mayoritaria.</w:t>
      </w:r>
    </w:p>
    <w:p>
      <w:r>
        <w:rPr>
          <w:rFonts w:ascii="Times New Roman" w:hAnsi="Times New Roman"/>
          <w:b/>
          <w:i w:val="0"/>
          <w:u w:val="none"/>
        </w:rPr>
        <w:t>La corrección.</w:t>
      </w:r>
      <w:r>
        <w:rPr>
          <w:rFonts w:ascii="Times New Roman" w:hAnsi="Times New Roman"/>
          <w:b w:val="0"/>
          <w:i w:val="0"/>
          <w:u w:val="none"/>
        </w:rPr>
        <w:t xml:space="preserve"> El umbral se fijó en </w:t>
      </w:r>
      <w:r>
        <w:rPr>
          <w:rFonts w:ascii="Times New Roman" w:hAnsi="Times New Roman"/>
          <w:b/>
          <w:i w:val="0"/>
          <w:u w:val="none"/>
        </w:rPr>
        <w:t>100 salarios mínimos legales mensuales vigentes</w:t>
      </w:r>
      <w:r>
        <w:rPr>
          <w:rFonts w:ascii="Times New Roman" w:hAnsi="Times New Roman"/>
          <w:b w:val="0"/>
          <w:i w:val="0"/>
          <w:u w:val="none"/>
        </w:rPr>
        <w:t xml:space="preserve">, aproximadamente $140.000.000, equivalentes al </w:t>
      </w:r>
      <w:r>
        <w:rPr>
          <w:rFonts w:ascii="Times New Roman" w:hAnsi="Times New Roman"/>
          <w:b/>
          <w:i w:val="0"/>
          <w:u w:val="none"/>
        </w:rPr>
        <w:t>23 % del capital pagado</w:t>
      </w:r>
      <w:r>
        <w:rPr>
          <w:rFonts w:ascii="Times New Roman" w:hAnsi="Times New Roman"/>
          <w:b w:val="0"/>
          <w:i w:val="0"/>
          <w:u w:val="none"/>
        </w:rPr>
        <w:t>. La operación corriente —la nómina de nueve trabajadores, el canon de una oficina, los insumos— queda holgadamente por debajo; la compra de equipos y los contratos patrimonialmente significativos quedan por encima y pasan por la asamblea.</w:t>
      </w:r>
    </w:p>
    <w:p>
      <w:r>
        <w:rPr>
          <w:rFonts w:ascii="Times New Roman" w:hAnsi="Times New Roman"/>
          <w:b/>
          <w:i w:val="0"/>
          <w:u w:val="none"/>
        </w:rPr>
        <w:t>Documentos ajustados:</w:t>
      </w:r>
      <w:r>
        <w:rPr>
          <w:rFonts w:ascii="Times New Roman" w:hAnsi="Times New Roman"/>
          <w:b w:val="0"/>
          <w:i w:val="0"/>
          <w:u w:val="none"/>
        </w:rPr>
        <w:t xml:space="preserve"> 01, 02, 04, 05, 07, 12 y 14.</w:t>
      </w:r>
    </w:p>
    <w:p>
      <w:pPr>
        <w:keepNext/>
        <w:spacing w:before="240" w:after="80"/>
        <w:jc w:val="left"/>
      </w:pPr>
      <w:r>
        <w:rPr>
          <w:rFonts w:ascii="Times New Roman" w:hAnsi="Times New Roman"/>
          <w:b/>
          <w:i w:val="0"/>
          <w:sz w:val="24"/>
          <w:u w:val="none"/>
        </w:rPr>
        <w:t>2. Dos cláusulas de mayoría eran matemáticamente inaplicables</w:t>
      </w:r>
    </w:p>
    <w:p>
      <w:r>
        <w:rPr>
          <w:rFonts w:ascii="Times New Roman" w:hAnsi="Times New Roman"/>
          <w:b/>
          <w:i w:val="0"/>
          <w:u w:val="none"/>
        </w:rPr>
        <w:t>Lo que decían.</w:t>
      </w:r>
      <w:r>
        <w:rPr>
          <w:rFonts w:ascii="Times New Roman" w:hAnsi="Times New Roman"/>
          <w:b w:val="0"/>
          <w:i w:val="0"/>
          <w:u w:val="none"/>
        </w:rPr>
        <w:t xml:space="preserve"> Los artículos 15 (autorización para transferir acciones a terceros) y 39 (exclusión de accionistas) exigían el voto favorable del </w:t>
      </w:r>
      <w:r>
        <w:rPr>
          <w:rFonts w:ascii="Times New Roman" w:hAnsi="Times New Roman"/>
          <w:b/>
          <w:i w:val="0"/>
          <w:u w:val="none"/>
        </w:rPr>
        <w:t>70 % de las acciones suscritas</w:t>
      </w:r>
      <w:r>
        <w:rPr>
          <w:rFonts w:ascii="Times New Roman" w:hAnsi="Times New Roman"/>
          <w:b w:val="0"/>
          <w:i w:val="0"/>
          <w:u w:val="none"/>
        </w:rPr>
        <w:t>, excluyendo el voto del accionista afectado.</w:t>
      </w:r>
    </w:p>
    <w:p>
      <w:r>
        <w:rPr>
          <w:rFonts w:ascii="Times New Roman" w:hAnsi="Times New Roman"/>
          <w:b/>
          <w:i w:val="0"/>
          <w:u w:val="none"/>
        </w:rPr>
        <w:t>El problema.</w:t>
      </w:r>
      <w:r>
        <w:rPr>
          <w:rFonts w:ascii="Times New Roman" w:hAnsi="Times New Roman"/>
          <w:b w:val="0"/>
          <w:i w:val="0"/>
          <w:u w:val="none"/>
        </w:rPr>
        <w:t xml:space="preserve"> Setenta por ciento de 600.000 acciones son 420.000. Excluido el afectado, en una sociedad de dos accionistas solo quedan las acciones del otro: 390.000 si el afectado es Felipe, 210.000 si es Mariana. </w:t>
      </w:r>
      <w:r>
        <w:rPr>
          <w:rFonts w:ascii="Times New Roman" w:hAnsi="Times New Roman"/>
          <w:b/>
          <w:i w:val="0"/>
          <w:u w:val="none"/>
        </w:rPr>
        <w:t>Ninguna de las dos cifras alcanza 420.000.</w:t>
      </w:r>
      <w:r>
        <w:rPr>
          <w:rFonts w:ascii="Times New Roman" w:hAnsi="Times New Roman"/>
          <w:b w:val="0"/>
          <w:i w:val="0"/>
          <w:u w:val="none"/>
        </w:rPr>
        <w:t xml:space="preserve"> El resultado: la autorización para vender a un tercero era imposible de obtener para cualquiera de los dos —una prohibición absoluta encubierta bajo una cláusula que aparentaba regular la transferencia— y la exclusión de accionistas era letra muerta.</w:t>
      </w:r>
    </w:p>
    <w:p>
      <w:r>
        <w:rPr>
          <w:rFonts w:ascii="Times New Roman" w:hAnsi="Times New Roman"/>
          <w:b/>
          <w:i w:val="0"/>
          <w:u w:val="none"/>
        </w:rPr>
        <w:t>La corrección.</w:t>
      </w:r>
      <w:r>
        <w:rPr>
          <w:rFonts w:ascii="Times New Roman" w:hAnsi="Times New Roman"/>
          <w:b w:val="0"/>
          <w:i w:val="0"/>
          <w:u w:val="none"/>
        </w:rPr>
        <w:t xml:space="preserve"> El 70 % se computa ahora sobre las </w:t>
      </w:r>
      <w:r>
        <w:rPr>
          <w:rFonts w:ascii="Times New Roman" w:hAnsi="Times New Roman"/>
          <w:b/>
          <w:i w:val="0"/>
          <w:u w:val="none"/>
        </w:rPr>
        <w:t>acciones suscritas restantes</w:t>
      </w:r>
      <w:r>
        <w:rPr>
          <w:rFonts w:ascii="Times New Roman" w:hAnsi="Times New Roman"/>
          <w:b w:val="0"/>
          <w:i w:val="0"/>
          <w:u w:val="none"/>
        </w:rPr>
        <w:t>, excluidas del cómputo tanto el voto como las acciones del afectado. La verificación aritmética:</w:t>
      </w:r>
    </w:p>
    <w:tbl>
      <w:tblPr>
        <w:tblStyle w:val="TableGrid"/>
        <w:tblW w:type="auto" w:w="0"/>
        <w:jc w:val="center"/>
        <w:tblLayout w:type="fixed"/>
        <w:tblLook w:firstColumn="1" w:firstRow="1" w:lastColumn="0" w:lastRow="0" w:noHBand="0" w:noVBand="1" w:val="04A0"/>
        <w:tblW w:w="9123" w:type="dxa"/>
        <w:tblLayout w:type="fixed"/>
      </w:tblPr>
      <w:tblGrid>
        <w:gridCol w:w="3649"/>
        <w:gridCol w:w="2737"/>
        <w:gridCol w:w="2737"/>
      </w:tblGrid>
      <w:tr>
        <w:tc>
          <w:tcPr>
            <w:tcW w:type="dxa" w:w="3649"/>
            <w:shd w:val="clear" w:color="auto" w:fill="D9D9D9"/>
          </w:tcPr>
          <w:p>
            <w:pPr>
              <w:spacing w:after="40" w:before="40" w:line="240" w:lineRule="auto"/>
              <w:jc w:val="center"/>
            </w:pPr>
            <w:r>
              <w:rPr>
                <w:rFonts w:ascii="Times New Roman" w:hAnsi="Times New Roman"/>
                <w:b/>
                <w:i w:val="0"/>
                <w:sz w:val="20"/>
                <w:u w:val="none"/>
              </w:rPr>
              <w:t>Supuesto</w:t>
            </w:r>
          </w:p>
        </w:tc>
        <w:tc>
          <w:tcPr>
            <w:tcW w:type="dxa" w:w="2737"/>
            <w:shd w:val="clear" w:color="auto" w:fill="D9D9D9"/>
          </w:tcPr>
          <w:p>
            <w:pPr>
              <w:spacing w:after="40" w:before="40" w:line="240" w:lineRule="auto"/>
              <w:jc w:val="center"/>
            </w:pPr>
            <w:r>
              <w:rPr>
                <w:rFonts w:ascii="Times New Roman" w:hAnsi="Times New Roman"/>
                <w:b/>
                <w:i w:val="0"/>
                <w:sz w:val="20"/>
                <w:u w:val="none"/>
              </w:rPr>
              <w:t>Umbral requerido</w:t>
            </w:r>
          </w:p>
        </w:tc>
        <w:tc>
          <w:tcPr>
            <w:tcW w:type="dxa" w:w="2737"/>
            <w:shd w:val="clear" w:color="auto" w:fill="D9D9D9"/>
          </w:tcPr>
          <w:p>
            <w:pPr>
              <w:spacing w:after="40" w:before="40" w:line="240" w:lineRule="auto"/>
              <w:jc w:val="center"/>
            </w:pPr>
            <w:r>
              <w:rPr>
                <w:rFonts w:ascii="Times New Roman" w:hAnsi="Times New Roman"/>
                <w:b/>
                <w:i w:val="0"/>
                <w:sz w:val="20"/>
                <w:u w:val="none"/>
              </w:rPr>
              <w:t>Acciones disponibles</w:t>
            </w:r>
          </w:p>
        </w:tc>
      </w:tr>
      <w:tr>
        <w:tc>
          <w:tcPr>
            <w:tcW w:type="dxa" w:w="3649"/>
          </w:tcPr>
          <w:p>
            <w:pPr>
              <w:spacing w:after="40" w:before="40" w:line="240" w:lineRule="auto"/>
              <w:jc w:val="left"/>
            </w:pPr>
            <w:r>
              <w:rPr>
                <w:rFonts w:ascii="Times New Roman" w:hAnsi="Times New Roman"/>
                <w:b w:val="0"/>
                <w:i w:val="0"/>
                <w:sz w:val="20"/>
                <w:u w:val="none"/>
              </w:rPr>
              <w:t>Mariana vende a un tercero</w:t>
            </w:r>
          </w:p>
        </w:tc>
        <w:tc>
          <w:tcPr>
            <w:tcW w:type="dxa" w:w="2737"/>
          </w:tcPr>
          <w:p>
            <w:pPr>
              <w:spacing w:after="40" w:before="40" w:line="240" w:lineRule="auto"/>
              <w:jc w:val="left"/>
            </w:pPr>
            <w:r>
              <w:rPr>
                <w:rFonts w:ascii="Times New Roman" w:hAnsi="Times New Roman"/>
                <w:b w:val="0"/>
                <w:i w:val="0"/>
                <w:sz w:val="20"/>
                <w:u w:val="none"/>
              </w:rPr>
              <w:t>147.000 (70 % de 210.000)</w:t>
            </w:r>
          </w:p>
        </w:tc>
        <w:tc>
          <w:tcPr>
            <w:tcW w:type="dxa" w:w="2737"/>
          </w:tcPr>
          <w:p>
            <w:pPr>
              <w:spacing w:after="40" w:before="40" w:line="240" w:lineRule="auto"/>
              <w:jc w:val="left"/>
            </w:pPr>
            <w:r>
              <w:rPr>
                <w:rFonts w:ascii="Times New Roman" w:hAnsi="Times New Roman"/>
                <w:b w:val="0"/>
                <w:i w:val="0"/>
                <w:sz w:val="20"/>
                <w:u w:val="none"/>
              </w:rPr>
              <w:t>210.000 de Felipe — alcanzable</w:t>
            </w:r>
          </w:p>
        </w:tc>
      </w:tr>
      <w:tr>
        <w:tc>
          <w:tcPr>
            <w:tcW w:type="dxa" w:w="3649"/>
          </w:tcPr>
          <w:p>
            <w:pPr>
              <w:spacing w:after="40" w:before="40" w:line="240" w:lineRule="auto"/>
              <w:jc w:val="left"/>
            </w:pPr>
            <w:r>
              <w:rPr>
                <w:rFonts w:ascii="Times New Roman" w:hAnsi="Times New Roman"/>
                <w:b w:val="0"/>
                <w:i w:val="0"/>
                <w:sz w:val="20"/>
                <w:u w:val="none"/>
              </w:rPr>
              <w:t>Felipe vende a un tercero</w:t>
            </w:r>
          </w:p>
        </w:tc>
        <w:tc>
          <w:tcPr>
            <w:tcW w:type="dxa" w:w="2737"/>
          </w:tcPr>
          <w:p>
            <w:pPr>
              <w:spacing w:after="40" w:before="40" w:line="240" w:lineRule="auto"/>
              <w:jc w:val="left"/>
            </w:pPr>
            <w:r>
              <w:rPr>
                <w:rFonts w:ascii="Times New Roman" w:hAnsi="Times New Roman"/>
                <w:b w:val="0"/>
                <w:i w:val="0"/>
                <w:sz w:val="20"/>
                <w:u w:val="none"/>
              </w:rPr>
              <w:t>273.000 (70 % de 390.000)</w:t>
            </w:r>
          </w:p>
        </w:tc>
        <w:tc>
          <w:tcPr>
            <w:tcW w:type="dxa" w:w="2737"/>
          </w:tcPr>
          <w:p>
            <w:pPr>
              <w:spacing w:after="40" w:before="40" w:line="240" w:lineRule="auto"/>
              <w:jc w:val="left"/>
            </w:pPr>
            <w:r>
              <w:rPr>
                <w:rFonts w:ascii="Times New Roman" w:hAnsi="Times New Roman"/>
                <w:b w:val="0"/>
                <w:i w:val="0"/>
                <w:sz w:val="20"/>
                <w:u w:val="none"/>
              </w:rPr>
              <w:t>390.000 de Mariana — alcanzable</w:t>
            </w:r>
          </w:p>
        </w:tc>
      </w:tr>
      <w:tr>
        <w:tc>
          <w:tcPr>
            <w:tcW w:type="dxa" w:w="3649"/>
          </w:tcPr>
          <w:p>
            <w:pPr>
              <w:spacing w:after="40" w:before="40" w:line="240" w:lineRule="auto"/>
              <w:jc w:val="left"/>
            </w:pPr>
            <w:r>
              <w:rPr>
                <w:rFonts w:ascii="Times New Roman" w:hAnsi="Times New Roman"/>
                <w:b w:val="0"/>
                <w:i w:val="0"/>
                <w:sz w:val="20"/>
                <w:u w:val="none"/>
              </w:rPr>
              <w:t>Exclusión de Felipe</w:t>
            </w:r>
          </w:p>
        </w:tc>
        <w:tc>
          <w:tcPr>
            <w:tcW w:type="dxa" w:w="2737"/>
          </w:tcPr>
          <w:p>
            <w:pPr>
              <w:spacing w:after="40" w:before="40" w:line="240" w:lineRule="auto"/>
              <w:jc w:val="left"/>
            </w:pPr>
            <w:r>
              <w:rPr>
                <w:rFonts w:ascii="Times New Roman" w:hAnsi="Times New Roman"/>
                <w:b w:val="0"/>
                <w:i w:val="0"/>
                <w:sz w:val="20"/>
                <w:u w:val="none"/>
              </w:rPr>
              <w:t>273.000 (70 % de 390.000)</w:t>
            </w:r>
          </w:p>
        </w:tc>
        <w:tc>
          <w:tcPr>
            <w:tcW w:type="dxa" w:w="2737"/>
          </w:tcPr>
          <w:p>
            <w:pPr>
              <w:spacing w:after="40" w:before="40" w:line="240" w:lineRule="auto"/>
              <w:jc w:val="left"/>
            </w:pPr>
            <w:r>
              <w:rPr>
                <w:rFonts w:ascii="Times New Roman" w:hAnsi="Times New Roman"/>
                <w:b w:val="0"/>
                <w:i w:val="0"/>
                <w:sz w:val="20"/>
                <w:u w:val="none"/>
              </w:rPr>
              <w:t>390.000 de Mariana — alcanzable</w:t>
            </w:r>
          </w:p>
        </w:tc>
      </w:tr>
      <w:tr>
        <w:tc>
          <w:tcPr>
            <w:tcW w:type="dxa" w:w="3649"/>
          </w:tcPr>
          <w:p>
            <w:pPr>
              <w:spacing w:after="40" w:before="40" w:line="240" w:lineRule="auto"/>
              <w:jc w:val="left"/>
            </w:pPr>
            <w:r>
              <w:rPr>
                <w:rFonts w:ascii="Times New Roman" w:hAnsi="Times New Roman"/>
                <w:b w:val="0"/>
                <w:i w:val="0"/>
                <w:sz w:val="20"/>
                <w:u w:val="none"/>
              </w:rPr>
              <w:t>Exclusión de Mariana</w:t>
            </w:r>
          </w:p>
        </w:tc>
        <w:tc>
          <w:tcPr>
            <w:tcW w:type="dxa" w:w="2737"/>
          </w:tcPr>
          <w:p>
            <w:pPr>
              <w:spacing w:after="40" w:before="40" w:line="240" w:lineRule="auto"/>
              <w:jc w:val="left"/>
            </w:pPr>
            <w:r>
              <w:rPr>
                <w:rFonts w:ascii="Times New Roman" w:hAnsi="Times New Roman"/>
                <w:b w:val="0"/>
                <w:i w:val="0"/>
                <w:sz w:val="20"/>
                <w:u w:val="none"/>
              </w:rPr>
              <w:t>147.000 (70 % de 210.000)</w:t>
            </w:r>
          </w:p>
        </w:tc>
        <w:tc>
          <w:tcPr>
            <w:tcW w:type="dxa" w:w="2737"/>
          </w:tcPr>
          <w:p>
            <w:pPr>
              <w:spacing w:after="40" w:before="40" w:line="240" w:lineRule="auto"/>
              <w:jc w:val="left"/>
            </w:pPr>
            <w:r>
              <w:rPr>
                <w:rFonts w:ascii="Times New Roman" w:hAnsi="Times New Roman"/>
                <w:b w:val="0"/>
                <w:i w:val="0"/>
                <w:sz w:val="20"/>
                <w:u w:val="none"/>
              </w:rPr>
              <w:t>210.000 de Felipe — alcanzable</w:t>
            </w:r>
          </w:p>
        </w:tc>
      </w:tr>
    </w:tbl>
    <w:p>
      <w:pPr>
        <w:spacing w:after="80"/>
      </w:pPr>
    </w:p>
    <w:p>
      <w:r>
        <w:rPr>
          <w:rFonts w:ascii="Times New Roman" w:hAnsi="Times New Roman"/>
          <w:b w:val="0"/>
          <w:i w:val="0"/>
          <w:u w:val="none"/>
        </w:rPr>
        <w:t xml:space="preserve">Las cláusulas operan ahora como lo que deben ser: un </w:t>
      </w:r>
      <w:r>
        <w:rPr>
          <w:rFonts w:ascii="Times New Roman" w:hAnsi="Times New Roman"/>
          <w:b/>
          <w:i w:val="0"/>
          <w:u w:val="none"/>
        </w:rPr>
        <w:t>consentimiento recíproco</w:t>
      </w:r>
      <w:r>
        <w:rPr>
          <w:rFonts w:ascii="Times New Roman" w:hAnsi="Times New Roman"/>
          <w:b w:val="0"/>
          <w:i w:val="0"/>
          <w:u w:val="none"/>
        </w:rPr>
        <w:t xml:space="preserve"> para el ingreso de terceros al grupo cerrado. Se ajustó igualmente el artículo 16, sobre exclusión por cambio de control, para que remita a la misma base de cómputo.</w:t>
      </w:r>
    </w:p>
    <w:p>
      <w:r>
        <w:rPr>
          <w:rFonts w:ascii="Times New Roman" w:hAnsi="Times New Roman"/>
          <w:b/>
          <w:i w:val="0"/>
          <w:u w:val="none"/>
        </w:rPr>
        <w:t>Nota de sustentación.</w:t>
      </w:r>
      <w:r>
        <w:rPr>
          <w:rFonts w:ascii="Times New Roman" w:hAnsi="Times New Roman"/>
          <w:b w:val="0"/>
          <w:i w:val="0"/>
          <w:u w:val="none"/>
        </w:rPr>
        <w:t xml:space="preserve"> Podría objetarse que, así construida, la cláusula permite que el minoritario del 35 % excluya al mayoritario del 65 %. Es exacto, y es inevitable en una sociedad de dos: cualquier fórmula que haga operativa la exclusión pone a cada uno en manos del otro. Tres contrapesos lo hacen tolerable —causales taxativas y objetivas, la sanción de ineficacia por abuso de minoría del artículo 43 de la Ley 1258, y el reembolso del valor de la participación conforme al artículo 39 de la misma ley—. La explicación completa está en el numeral V.18 del documento 05.</w:t>
      </w:r>
    </w:p>
    <w:p>
      <w:r>
        <w:rPr>
          <w:rFonts w:ascii="Times New Roman" w:hAnsi="Times New Roman"/>
          <w:b/>
          <w:i w:val="0"/>
          <w:u w:val="none"/>
        </w:rPr>
        <w:t>Documentos ajustados:</w:t>
      </w:r>
      <w:r>
        <w:rPr>
          <w:rFonts w:ascii="Times New Roman" w:hAnsi="Times New Roman"/>
          <w:b w:val="0"/>
          <w:i w:val="0"/>
          <w:u w:val="none"/>
        </w:rPr>
        <w:t xml:space="preserve"> 01 y 05.</w:t>
      </w:r>
    </w:p>
    <w:p>
      <w:pPr>
        <w:keepNext/>
        <w:spacing w:before="240" w:after="80"/>
        <w:jc w:val="left"/>
      </w:pPr>
      <w:r>
        <w:rPr>
          <w:rFonts w:ascii="Times New Roman" w:hAnsi="Times New Roman"/>
          <w:b/>
          <w:i w:val="0"/>
          <w:sz w:val="24"/>
          <w:u w:val="none"/>
        </w:rPr>
        <w:t>3. Plazo equivocado para enervar las causales de disolución</w:t>
      </w:r>
    </w:p>
    <w:p>
      <w:r>
        <w:rPr>
          <w:rFonts w:ascii="Times New Roman" w:hAnsi="Times New Roman"/>
          <w:b/>
          <w:i w:val="0"/>
          <w:u w:val="none"/>
        </w:rPr>
        <w:t>Lo que decía.</w:t>
      </w:r>
      <w:r>
        <w:rPr>
          <w:rFonts w:ascii="Times New Roman" w:hAnsi="Times New Roman"/>
          <w:b w:val="0"/>
          <w:i w:val="0"/>
          <w:u w:val="none"/>
        </w:rPr>
        <w:t xml:space="preserve"> El artículo 37 concedía </w:t>
      </w:r>
      <w:r>
        <w:rPr>
          <w:rFonts w:ascii="Times New Roman" w:hAnsi="Times New Roman"/>
          <w:b/>
          <w:i w:val="0"/>
          <w:u w:val="none"/>
        </w:rPr>
        <w:t>dieciocho meses</w:t>
      </w:r>
      <w:r>
        <w:rPr>
          <w:rFonts w:ascii="Times New Roman" w:hAnsi="Times New Roman"/>
          <w:b w:val="0"/>
          <w:i w:val="0"/>
          <w:u w:val="none"/>
        </w:rPr>
        <w:t xml:space="preserve"> para enervar las causales de los numerales 1.º, 2.º, 4.º y 6.º del artículo 36.</w:t>
      </w:r>
    </w:p>
    <w:p>
      <w:r>
        <w:rPr>
          <w:rFonts w:ascii="Times New Roman" w:hAnsi="Times New Roman"/>
          <w:b/>
          <w:i w:val="0"/>
          <w:u w:val="none"/>
        </w:rPr>
        <w:t>El problema.</w:t>
      </w:r>
      <w:r>
        <w:rPr>
          <w:rFonts w:ascii="Times New Roman" w:hAnsi="Times New Roman"/>
          <w:b w:val="0"/>
          <w:i w:val="0"/>
          <w:u w:val="none"/>
        </w:rPr>
        <w:t xml:space="preserve"> El artículo 35 de la Ley 1258 de 2008 fija </w:t>
      </w:r>
      <w:r>
        <w:rPr>
          <w:rFonts w:ascii="Times New Roman" w:hAnsi="Times New Roman"/>
          <w:b/>
          <w:i w:val="0"/>
          <w:u w:val="none"/>
        </w:rPr>
        <w:t>seis meses</w:t>
      </w:r>
      <w:r>
        <w:rPr>
          <w:rFonts w:ascii="Times New Roman" w:hAnsi="Times New Roman"/>
          <w:b w:val="0"/>
          <w:i w:val="0"/>
          <w:u w:val="none"/>
        </w:rPr>
        <w:t xml:space="preserve"> como regla general y reserva los dieciocho al supuesto del derogado numeral 7.º del artículo 34 —la disolución por pérdidas—, hoy entendido como referido a la causal de </w:t>
      </w:r>
      <w:r>
        <w:rPr>
          <w:rFonts w:ascii="Times New Roman" w:hAnsi="Times New Roman"/>
          <w:b/>
          <w:i w:val="0"/>
          <w:u w:val="none"/>
        </w:rPr>
        <w:t>no cumplimiento de la hipótesis de negocio en marcha</w:t>
      </w:r>
      <w:r>
        <w:rPr>
          <w:rFonts w:ascii="Times New Roman" w:hAnsi="Times New Roman"/>
          <w:b w:val="0"/>
          <w:i w:val="0"/>
          <w:u w:val="none"/>
        </w:rPr>
        <w:t>, por mandato del parágrafo primero del artículo 4.º de la Ley 2069 de 2020. Extender los dieciocho meses a todas las causales concedía a la sociedad un plazo del que legalmente no dispone.</w:t>
      </w:r>
    </w:p>
    <w:p>
      <w:r>
        <w:rPr>
          <w:rFonts w:ascii="Times New Roman" w:hAnsi="Times New Roman"/>
          <w:b/>
          <w:i w:val="0"/>
          <w:u w:val="none"/>
        </w:rPr>
        <w:t>La corrección.</w:t>
      </w:r>
      <w:r>
        <w:rPr>
          <w:rFonts w:ascii="Times New Roman" w:hAnsi="Times New Roman"/>
          <w:b w:val="0"/>
          <w:i w:val="0"/>
          <w:u w:val="none"/>
        </w:rPr>
        <w:t xml:space="preserve"> El artículo 37 distingue ahora ambos plazos y explicita la cadena normativa que lleva del artículo 35 de la Ley 1258 al artículo 4.º de la Ley 2069.</w:t>
      </w:r>
    </w:p>
    <w:p>
      <w:r>
        <w:rPr>
          <w:rFonts w:ascii="Times New Roman" w:hAnsi="Times New Roman"/>
          <w:b/>
          <w:i w:val="0"/>
          <w:u w:val="none"/>
        </w:rPr>
        <w:t>Documentos ajustados:</w:t>
      </w:r>
      <w:r>
        <w:rPr>
          <w:rFonts w:ascii="Times New Roman" w:hAnsi="Times New Roman"/>
          <w:b w:val="0"/>
          <w:i w:val="0"/>
          <w:u w:val="none"/>
        </w:rPr>
        <w:t xml:space="preserve"> 01 y 05.</w:t>
      </w:r>
    </w:p>
    <w:p>
      <w:pPr>
        <w:keepNext/>
        <w:spacing w:before="240" w:after="80"/>
        <w:jc w:val="left"/>
      </w:pPr>
      <w:r>
        <w:rPr>
          <w:rFonts w:ascii="Times New Roman" w:hAnsi="Times New Roman"/>
          <w:b/>
          <w:i w:val="0"/>
          <w:sz w:val="24"/>
          <w:u w:val="none"/>
        </w:rPr>
        <w:t>4. Dos artículos fijaban plazos distintos para el derecho de inspección</w:t>
      </w:r>
    </w:p>
    <w:p>
      <w:r>
        <w:rPr>
          <w:rFonts w:ascii="Times New Roman" w:hAnsi="Times New Roman"/>
          <w:b/>
          <w:i w:val="0"/>
          <w:u w:val="none"/>
        </w:rPr>
        <w:t>Lo que decía.</w:t>
      </w:r>
      <w:r>
        <w:rPr>
          <w:rFonts w:ascii="Times New Roman" w:hAnsi="Times New Roman"/>
          <w:b w:val="0"/>
          <w:i w:val="0"/>
          <w:u w:val="none"/>
        </w:rPr>
        <w:t xml:space="preserve"> El artículo 9 concedía </w:t>
      </w:r>
      <w:r>
        <w:rPr>
          <w:rFonts w:ascii="Times New Roman" w:hAnsi="Times New Roman"/>
          <w:b/>
          <w:i w:val="0"/>
          <w:u w:val="none"/>
        </w:rPr>
        <w:t>cinco días hábiles</w:t>
      </w:r>
      <w:r>
        <w:rPr>
          <w:rFonts w:ascii="Times New Roman" w:hAnsi="Times New Roman"/>
          <w:b w:val="0"/>
          <w:i w:val="0"/>
          <w:u w:val="none"/>
        </w:rPr>
        <w:t xml:space="preserve"> de inspección antes de la reunión en que se examinan los estados financieros de fin de ejercicio; el parágrafo primero del artículo 20 preveía una convocatoria de </w:t>
      </w:r>
      <w:r>
        <w:rPr>
          <w:rFonts w:ascii="Times New Roman" w:hAnsi="Times New Roman"/>
          <w:b/>
          <w:i w:val="0"/>
          <w:u w:val="none"/>
        </w:rPr>
        <w:t>quince días hábiles</w:t>
      </w:r>
      <w:r>
        <w:rPr>
          <w:rFonts w:ascii="Times New Roman" w:hAnsi="Times New Roman"/>
          <w:b w:val="0"/>
          <w:i w:val="0"/>
          <w:u w:val="none"/>
        </w:rPr>
        <w:t xml:space="preserve"> para esa misma reunión, con inspección durante ese término.</w:t>
      </w:r>
    </w:p>
    <w:p>
      <w:r>
        <w:rPr>
          <w:rFonts w:ascii="Times New Roman" w:hAnsi="Times New Roman"/>
          <w:b/>
          <w:i w:val="0"/>
          <w:u w:val="none"/>
        </w:rPr>
        <w:t>El problema.</w:t>
      </w:r>
      <w:r>
        <w:rPr>
          <w:rFonts w:ascii="Times New Roman" w:hAnsi="Times New Roman"/>
          <w:b w:val="0"/>
          <w:i w:val="0"/>
          <w:u w:val="none"/>
        </w:rPr>
        <w:t xml:space="preserve"> Una contradicción interna sobre un derecho de minoría. Frente a un accionista del 35 % cuyo principal instrumento de control es precisamente la inspección, la ambigüedad no es inocua.</w:t>
      </w:r>
    </w:p>
    <w:p>
      <w:r>
        <w:rPr>
          <w:rFonts w:ascii="Times New Roman" w:hAnsi="Times New Roman"/>
          <w:b/>
          <w:i w:val="0"/>
          <w:u w:val="none"/>
        </w:rPr>
        <w:t>La corrección.</w:t>
      </w:r>
      <w:r>
        <w:rPr>
          <w:rFonts w:ascii="Times New Roman" w:hAnsi="Times New Roman"/>
          <w:b w:val="0"/>
          <w:i w:val="0"/>
          <w:u w:val="none"/>
        </w:rPr>
        <w:t xml:space="preserve"> El artículo 9 remite ahora al artículo 31, y este distingue: </w:t>
      </w:r>
      <w:r>
        <w:rPr>
          <w:rFonts w:ascii="Times New Roman" w:hAnsi="Times New Roman"/>
          <w:b/>
          <w:i w:val="0"/>
          <w:u w:val="none"/>
        </w:rPr>
        <w:t>quince días hábiles</w:t>
      </w:r>
      <w:r>
        <w:rPr>
          <w:rFonts w:ascii="Times New Roman" w:hAnsi="Times New Roman"/>
          <w:b w:val="0"/>
          <w:i w:val="0"/>
          <w:u w:val="none"/>
        </w:rPr>
        <w:t xml:space="preserve"> antes de las reuniones en que se examinen estados financieros de fin de ejercicio o se considere transformación, fusión o escisión —coincidiendo con el plazo de convocatoria del artículo 20—; </w:t>
      </w:r>
      <w:r>
        <w:rPr>
          <w:rFonts w:ascii="Times New Roman" w:hAnsi="Times New Roman"/>
          <w:b/>
          <w:i w:val="0"/>
          <w:u w:val="none"/>
        </w:rPr>
        <w:t>cinco días hábiles</w:t>
      </w:r>
      <w:r>
        <w:rPr>
          <w:rFonts w:ascii="Times New Roman" w:hAnsi="Times New Roman"/>
          <w:b w:val="0"/>
          <w:i w:val="0"/>
          <w:u w:val="none"/>
        </w:rPr>
        <w:t xml:space="preserve"> antes de las demás.</w:t>
      </w:r>
    </w:p>
    <w:p>
      <w:r>
        <w:rPr>
          <w:rFonts w:ascii="Times New Roman" w:hAnsi="Times New Roman"/>
          <w:b/>
          <w:i w:val="0"/>
          <w:u w:val="none"/>
        </w:rPr>
        <w:t>Documento ajustado:</w:t>
      </w:r>
      <w:r>
        <w:rPr>
          <w:rFonts w:ascii="Times New Roman" w:hAnsi="Times New Roman"/>
          <w:b w:val="0"/>
          <w:i w:val="0"/>
          <w:u w:val="none"/>
        </w:rPr>
        <w:t xml:space="preserve"> 01.</w:t>
      </w:r>
    </w:p>
    <w:p>
      <w:pPr>
        <w:keepNext/>
        <w:spacing w:before="240" w:after="80"/>
        <w:jc w:val="left"/>
      </w:pPr>
      <w:r>
        <w:rPr>
          <w:rFonts w:ascii="Times New Roman" w:hAnsi="Times New Roman"/>
          <w:b/>
          <w:i w:val="0"/>
          <w:sz w:val="24"/>
          <w:u w:val="none"/>
        </w:rPr>
        <w:t>5. Cita equivocada sobre la reunión universal</w:t>
      </w:r>
    </w:p>
    <w:p>
      <w:r>
        <w:rPr>
          <w:rFonts w:ascii="Times New Roman" w:hAnsi="Times New Roman"/>
          <w:b/>
          <w:i w:val="0"/>
          <w:u w:val="none"/>
        </w:rPr>
        <w:t>Lo que decía.</w:t>
      </w:r>
      <w:r>
        <w:rPr>
          <w:rFonts w:ascii="Times New Roman" w:hAnsi="Times New Roman"/>
          <w:b w:val="0"/>
          <w:i w:val="0"/>
          <w:u w:val="none"/>
        </w:rPr>
        <w:t xml:space="preserve"> El acta n.º 1 fundaba la reunión universal en el </w:t>
      </w:r>
      <w:r>
        <w:rPr>
          <w:rFonts w:ascii="Times New Roman" w:hAnsi="Times New Roman"/>
          <w:b/>
          <w:i w:val="0"/>
          <w:u w:val="none"/>
        </w:rPr>
        <w:t>artículo 182 del Código de Comercio</w:t>
      </w:r>
      <w:r>
        <w:rPr>
          <w:rFonts w:ascii="Times New Roman" w:hAnsi="Times New Roman"/>
          <w:b w:val="0"/>
          <w:i w:val="0"/>
          <w:u w:val="none"/>
        </w:rPr>
        <w:t>.</w:t>
      </w:r>
    </w:p>
    <w:p>
      <w:r>
        <w:rPr>
          <w:rFonts w:ascii="Times New Roman" w:hAnsi="Times New Roman"/>
          <w:b/>
          <w:i w:val="0"/>
          <w:u w:val="none"/>
        </w:rPr>
        <w:t>El problema.</w:t>
      </w:r>
      <w:r>
        <w:rPr>
          <w:rFonts w:ascii="Times New Roman" w:hAnsi="Times New Roman"/>
          <w:b w:val="0"/>
          <w:i w:val="0"/>
          <w:u w:val="none"/>
        </w:rPr>
        <w:t xml:space="preserve"> El artículo 182 regula el contenido de la convocatoria a reuniones extraordinarias y el orden del día. La reunión universal —la que puede celebrarse en cualquier sitio y sin citación previa cuando esté representada la totalidad de las acciones suscritas— está en el </w:t>
      </w:r>
      <w:r>
        <w:rPr>
          <w:rFonts w:ascii="Times New Roman" w:hAnsi="Times New Roman"/>
          <w:b/>
          <w:i w:val="0"/>
          <w:u w:val="none"/>
        </w:rPr>
        <w:t>artículo 426</w:t>
      </w:r>
      <w:r>
        <w:rPr>
          <w:rFonts w:ascii="Times New Roman" w:hAnsi="Times New Roman"/>
          <w:b w:val="0"/>
          <w:i w:val="0"/>
          <w:u w:val="none"/>
        </w:rPr>
        <w:t>.</w:t>
      </w:r>
    </w:p>
    <w:p>
      <w:r>
        <w:rPr>
          <w:rFonts w:ascii="Times New Roman" w:hAnsi="Times New Roman"/>
          <w:b/>
          <w:i w:val="0"/>
          <w:u w:val="none"/>
        </w:rPr>
        <w:t>La corrección.</w:t>
      </w:r>
      <w:r>
        <w:rPr>
          <w:rFonts w:ascii="Times New Roman" w:hAnsi="Times New Roman"/>
          <w:b w:val="0"/>
          <w:i w:val="0"/>
          <w:u w:val="none"/>
        </w:rPr>
        <w:t xml:space="preserve"> Se sustituyó la cita en los documentos 12 y 14, y se añadió la referencia al artículo 426 en el parágrafo tercero del artículo 20 de los estatutos, que antes no citaba norma alguna.</w:t>
      </w:r>
    </w:p>
    <w:p>
      <w:pPr>
        <w:keepNext/>
        <w:spacing w:before="320" w:after="160"/>
        <w:jc w:val="center"/>
      </w:pPr>
      <w:r>
        <w:rPr>
          <w:rFonts w:ascii="Times New Roman" w:hAnsi="Times New Roman"/>
          <w:b/>
          <w:i w:val="0"/>
          <w:sz w:val="24"/>
          <w:u w:val="none"/>
        </w:rPr>
        <w:t>II BIS. CONTRASTE CON LA GUÍA REGISTRAL DE LA CÁMARA</w:t>
      </w:r>
    </w:p>
    <w:p>
      <w:r>
        <w:rPr>
          <w:rFonts w:ascii="Times New Roman" w:hAnsi="Times New Roman"/>
          <w:b w:val="0"/>
          <w:i w:val="0"/>
          <w:u w:val="none"/>
        </w:rPr>
        <w:t xml:space="preserve">Recibida la </w:t>
      </w:r>
      <w:r>
        <w:rPr>
          <w:rFonts w:ascii="Times New Roman" w:hAnsi="Times New Roman"/>
          <w:b/>
          <w:i w:val="0"/>
          <w:u w:val="none"/>
        </w:rPr>
        <w:t>Guía 20 de la Cámara de Comercio de Medellín para Antioquia</w:t>
      </w:r>
      <w:r>
        <w:rPr>
          <w:rFonts w:ascii="Times New Roman" w:hAnsi="Times New Roman"/>
          <w:b w:val="0"/>
          <w:i w:val="0"/>
          <w:u w:val="none"/>
        </w:rPr>
        <w:t xml:space="preserve"> —«Registro de la constitución de una sociedad por acciones simplificada», versión V1-2025—, el expediente se confrontó punto por punto con sus numerales 2, 3 y 5 y con la lista de chequeo del numeral 6. El contraste arrojó </w:t>
      </w:r>
      <w:r>
        <w:rPr>
          <w:rFonts w:ascii="Times New Roman" w:hAnsi="Times New Roman"/>
          <w:b/>
          <w:i w:val="0"/>
          <w:u w:val="none"/>
        </w:rPr>
        <w:t>seis incumplimientos</w:t>
      </w:r>
      <w:r>
        <w:rPr>
          <w:rFonts w:ascii="Times New Roman" w:hAnsi="Times New Roman"/>
          <w:b w:val="0"/>
          <w:i w:val="0"/>
          <w:u w:val="none"/>
        </w:rPr>
        <w:t>, todos corregidos.</w:t>
      </w:r>
    </w:p>
    <w:tbl>
      <w:tblPr>
        <w:tblStyle w:val="TableGrid"/>
        <w:tblW w:type="auto" w:w="0"/>
        <w:jc w:val="center"/>
        <w:tblLayout w:type="fixed"/>
        <w:tblLook w:firstColumn="1" w:firstRow="1" w:lastColumn="0" w:lastRow="0" w:noHBand="0" w:noVBand="1" w:val="04A0"/>
        <w:tblW w:w="9122" w:type="dxa"/>
        <w:tblLayout w:type="fixed"/>
      </w:tblPr>
      <w:tblGrid>
        <w:gridCol w:w="2737"/>
        <w:gridCol w:w="1277"/>
        <w:gridCol w:w="5108"/>
      </w:tblGrid>
      <w:tr>
        <w:tc>
          <w:tcPr>
            <w:tcW w:type="dxa" w:w="2737"/>
            <w:shd w:val="clear" w:color="auto" w:fill="D9D9D9"/>
          </w:tcPr>
          <w:p>
            <w:pPr>
              <w:spacing w:after="40" w:before="40" w:line="240" w:lineRule="auto"/>
              <w:jc w:val="center"/>
            </w:pPr>
            <w:r>
              <w:rPr>
                <w:rFonts w:ascii="Times New Roman" w:hAnsi="Times New Roman"/>
                <w:b/>
                <w:i w:val="0"/>
                <w:sz w:val="20"/>
                <w:u w:val="none"/>
              </w:rPr>
              <w:t>Exigencia de la guía</w:t>
            </w:r>
          </w:p>
        </w:tc>
        <w:tc>
          <w:tcPr>
            <w:tcW w:type="dxa" w:w="1277"/>
            <w:shd w:val="clear" w:color="auto" w:fill="D9D9D9"/>
          </w:tcPr>
          <w:p>
            <w:pPr>
              <w:spacing w:after="40" w:before="40" w:line="240" w:lineRule="auto"/>
              <w:jc w:val="center"/>
            </w:pPr>
            <w:r>
              <w:rPr>
                <w:rFonts w:ascii="Times New Roman" w:hAnsi="Times New Roman"/>
                <w:b/>
                <w:i w:val="0"/>
                <w:sz w:val="20"/>
                <w:u w:val="none"/>
              </w:rPr>
              <w:t>Estado</w:t>
            </w:r>
          </w:p>
        </w:tc>
        <w:tc>
          <w:tcPr>
            <w:tcW w:type="dxa" w:w="5108"/>
            <w:shd w:val="clear" w:color="auto" w:fill="D9D9D9"/>
          </w:tcPr>
          <w:p>
            <w:pPr>
              <w:spacing w:after="40" w:before="40" w:line="240" w:lineRule="auto"/>
              <w:jc w:val="center"/>
            </w:pPr>
            <w:r>
              <w:rPr>
                <w:rFonts w:ascii="Times New Roman" w:hAnsi="Times New Roman"/>
                <w:b/>
                <w:i w:val="0"/>
                <w:sz w:val="20"/>
                <w:u w:val="none"/>
              </w:rPr>
              <w:t>Observación</w:t>
            </w:r>
          </w:p>
        </w:tc>
      </w:tr>
      <w:tr>
        <w:tc>
          <w:tcPr>
            <w:tcW w:type="dxa" w:w="2737"/>
          </w:tcPr>
          <w:p>
            <w:pPr>
              <w:spacing w:after="40" w:before="40" w:line="240" w:lineRule="auto"/>
              <w:jc w:val="left"/>
            </w:pPr>
            <w:r>
              <w:rPr>
                <w:rFonts w:ascii="Times New Roman" w:hAnsi="Times New Roman"/>
                <w:b w:val="0"/>
                <w:i w:val="0"/>
                <w:sz w:val="20"/>
                <w:u w:val="none"/>
              </w:rPr>
              <w:t>2.1 a 2.5 — accionistas, razón social, domicilio, duración y actividades</w:t>
            </w:r>
          </w:p>
        </w:tc>
        <w:tc>
          <w:tcPr>
            <w:tcW w:type="dxa" w:w="1277"/>
          </w:tcPr>
          <w:p>
            <w:pPr>
              <w:spacing w:after="40" w:before="40" w:line="240" w:lineRule="auto"/>
              <w:jc w:val="left"/>
            </w:pPr>
            <w:r>
              <w:rPr>
                <w:rFonts w:ascii="Times New Roman" w:hAnsi="Times New Roman"/>
                <w:b w:val="0"/>
                <w:i w:val="0"/>
                <w:sz w:val="20"/>
                <w:u w:val="none"/>
              </w:rPr>
              <w:t>Cumplía</w:t>
            </w:r>
          </w:p>
        </w:tc>
        <w:tc>
          <w:tcPr>
            <w:tcW w:type="dxa" w:w="5108"/>
          </w:tcPr>
          <w:p>
            <w:pPr>
              <w:spacing w:after="40" w:before="40" w:line="240" w:lineRule="auto"/>
              <w:jc w:val="left"/>
            </w:pPr>
            <w:r>
              <w:rPr>
                <w:rFonts w:ascii="Times New Roman" w:hAnsi="Times New Roman"/>
                <w:b w:val="0"/>
                <w:i w:val="0"/>
                <w:sz w:val="20"/>
                <w:u w:val="none"/>
              </w:rPr>
              <w:t>Los cinco datos constaban en los artículos 1.º a 5.º de los estatutos</w:t>
            </w:r>
          </w:p>
        </w:tc>
      </w:tr>
      <w:tr>
        <w:tc>
          <w:tcPr>
            <w:tcW w:type="dxa" w:w="2737"/>
          </w:tcPr>
          <w:p>
            <w:pPr>
              <w:spacing w:after="40" w:before="40" w:line="240" w:lineRule="auto"/>
              <w:jc w:val="left"/>
            </w:pPr>
            <w:r>
              <w:rPr>
                <w:rFonts w:ascii="Times New Roman" w:hAnsi="Times New Roman"/>
                <w:b w:val="0"/>
                <w:i w:val="0"/>
                <w:sz w:val="20"/>
                <w:u w:val="none"/>
              </w:rPr>
              <w:t>2.6 — los tres capitales con cuantía, número de acciones, valor nominal y clase</w:t>
            </w:r>
          </w:p>
        </w:tc>
        <w:tc>
          <w:tcPr>
            <w:tcW w:type="dxa" w:w="1277"/>
          </w:tcPr>
          <w:p>
            <w:pPr>
              <w:spacing w:after="40" w:before="40" w:line="240" w:lineRule="auto"/>
              <w:jc w:val="left"/>
            </w:pPr>
            <w:r>
              <w:rPr>
                <w:rFonts w:ascii="Times New Roman" w:hAnsi="Times New Roman"/>
                <w:b w:val="0"/>
                <w:i w:val="0"/>
                <w:sz w:val="20"/>
                <w:u w:val="none"/>
              </w:rPr>
              <w:t>Cumplía</w:t>
            </w:r>
          </w:p>
        </w:tc>
        <w:tc>
          <w:tcPr>
            <w:tcW w:type="dxa" w:w="5108"/>
          </w:tcPr>
          <w:p>
            <w:pPr>
              <w:spacing w:after="40" w:before="40" w:line="240" w:lineRule="auto"/>
              <w:jc w:val="left"/>
            </w:pPr>
            <w:r>
              <w:rPr>
                <w:rFonts w:ascii="Times New Roman" w:hAnsi="Times New Roman"/>
                <w:b w:val="0"/>
                <w:i w:val="0"/>
                <w:sz w:val="20"/>
                <w:u w:val="none"/>
              </w:rPr>
              <w:t>Artículos 6.º a 9.º; valor nominal idéntico en los tres y expresado en letras y números</w:t>
            </w:r>
          </w:p>
        </w:tc>
      </w:tr>
      <w:tr>
        <w:tc>
          <w:tcPr>
            <w:tcW w:type="dxa" w:w="2737"/>
          </w:tcPr>
          <w:p>
            <w:pPr>
              <w:spacing w:after="40" w:before="40" w:line="240" w:lineRule="auto"/>
              <w:jc w:val="left"/>
            </w:pPr>
            <w:r>
              <w:rPr>
                <w:rFonts w:ascii="Times New Roman" w:hAnsi="Times New Roman"/>
                <w:b w:val="0"/>
                <w:i w:val="0"/>
                <w:sz w:val="20"/>
                <w:u w:val="none"/>
              </w:rPr>
              <w:t xml:space="preserve">2.6 — </w:t>
            </w:r>
            <w:r>
              <w:rPr>
                <w:rFonts w:ascii="Times New Roman" w:hAnsi="Times New Roman"/>
                <w:b/>
                <w:i w:val="0"/>
                <w:sz w:val="20"/>
                <w:u w:val="none"/>
              </w:rPr>
              <w:t>término expreso para pagar el capital suscrito, sin exceder dos años</w:t>
            </w:r>
          </w:p>
        </w:tc>
        <w:tc>
          <w:tcPr>
            <w:tcW w:type="dxa" w:w="1277"/>
          </w:tcPr>
          <w:p>
            <w:pPr>
              <w:spacing w:after="40" w:before="40" w:line="240" w:lineRule="auto"/>
              <w:jc w:val="left"/>
            </w:pPr>
            <w:r>
              <w:rPr>
                <w:rFonts w:ascii="Times New Roman" w:hAnsi="Times New Roman"/>
                <w:b/>
                <w:i w:val="0"/>
                <w:sz w:val="20"/>
                <w:u w:val="none"/>
              </w:rPr>
              <w:t>Corregido</w:t>
            </w:r>
          </w:p>
        </w:tc>
        <w:tc>
          <w:tcPr>
            <w:tcW w:type="dxa" w:w="5108"/>
          </w:tcPr>
          <w:p>
            <w:pPr>
              <w:spacing w:after="40" w:before="40" w:line="240" w:lineRule="auto"/>
              <w:jc w:val="left"/>
            </w:pPr>
            <w:r>
              <w:rPr>
                <w:rFonts w:ascii="Times New Roman" w:hAnsi="Times New Roman"/>
                <w:b w:val="0"/>
                <w:i w:val="0"/>
                <w:sz w:val="20"/>
                <w:u w:val="none"/>
              </w:rPr>
              <w:t>Los estatutos declaraban el capital pagado pero no enunciaban el término como tal</w:t>
            </w:r>
          </w:p>
        </w:tc>
      </w:tr>
      <w:tr>
        <w:tc>
          <w:tcPr>
            <w:tcW w:type="dxa" w:w="2737"/>
          </w:tcPr>
          <w:p>
            <w:pPr>
              <w:spacing w:after="40" w:before="40" w:line="240" w:lineRule="auto"/>
              <w:jc w:val="left"/>
            </w:pPr>
            <w:r>
              <w:rPr>
                <w:rFonts w:ascii="Times New Roman" w:hAnsi="Times New Roman"/>
                <w:b w:val="0"/>
                <w:i w:val="0"/>
                <w:sz w:val="20"/>
                <w:u w:val="none"/>
              </w:rPr>
              <w:t>2.7 — distribución del capital suscrito por accionista</w:t>
            </w:r>
          </w:p>
        </w:tc>
        <w:tc>
          <w:tcPr>
            <w:tcW w:type="dxa" w:w="1277"/>
          </w:tcPr>
          <w:p>
            <w:pPr>
              <w:spacing w:after="40" w:before="40" w:line="240" w:lineRule="auto"/>
              <w:jc w:val="left"/>
            </w:pPr>
            <w:r>
              <w:rPr>
                <w:rFonts w:ascii="Times New Roman" w:hAnsi="Times New Roman"/>
                <w:b w:val="0"/>
                <w:i w:val="0"/>
                <w:sz w:val="20"/>
                <w:u w:val="none"/>
              </w:rPr>
              <w:t>Cumplía</w:t>
            </w:r>
          </w:p>
        </w:tc>
        <w:tc>
          <w:tcPr>
            <w:tcW w:type="dxa" w:w="5108"/>
          </w:tcPr>
          <w:p>
            <w:pPr>
              <w:spacing w:after="40" w:before="40" w:line="240" w:lineRule="auto"/>
              <w:jc w:val="left"/>
            </w:pPr>
            <w:r>
              <w:rPr>
                <w:rFonts w:ascii="Times New Roman" w:hAnsi="Times New Roman"/>
                <w:b w:val="0"/>
                <w:i w:val="0"/>
                <w:sz w:val="20"/>
                <w:u w:val="none"/>
              </w:rPr>
              <w:t>Tabla del artículo 7.º con nombre, acciones y valor de cada uno</w:t>
            </w:r>
          </w:p>
        </w:tc>
      </w:tr>
      <w:tr>
        <w:tc>
          <w:tcPr>
            <w:tcW w:type="dxa" w:w="2737"/>
          </w:tcPr>
          <w:p>
            <w:pPr>
              <w:spacing w:after="40" w:before="40" w:line="240" w:lineRule="auto"/>
              <w:jc w:val="left"/>
            </w:pPr>
            <w:r>
              <w:rPr>
                <w:rFonts w:ascii="Times New Roman" w:hAnsi="Times New Roman"/>
                <w:b w:val="0"/>
                <w:i w:val="0"/>
                <w:sz w:val="20"/>
                <w:u w:val="none"/>
              </w:rPr>
              <w:t>2.8 — facultades y limitaciones del representante legal, y suplencia</w:t>
            </w:r>
          </w:p>
        </w:tc>
        <w:tc>
          <w:tcPr>
            <w:tcW w:type="dxa" w:w="1277"/>
          </w:tcPr>
          <w:p>
            <w:pPr>
              <w:spacing w:after="40" w:before="40" w:line="240" w:lineRule="auto"/>
              <w:jc w:val="left"/>
            </w:pPr>
            <w:r>
              <w:rPr>
                <w:rFonts w:ascii="Times New Roman" w:hAnsi="Times New Roman"/>
                <w:b w:val="0"/>
                <w:i w:val="0"/>
                <w:sz w:val="20"/>
                <w:u w:val="none"/>
              </w:rPr>
              <w:t>Cumplía</w:t>
            </w:r>
          </w:p>
        </w:tc>
        <w:tc>
          <w:tcPr>
            <w:tcW w:type="dxa" w:w="5108"/>
          </w:tcPr>
          <w:p>
            <w:pPr>
              <w:spacing w:after="40" w:before="40" w:line="240" w:lineRule="auto"/>
              <w:jc w:val="left"/>
            </w:pPr>
            <w:r>
              <w:rPr>
                <w:rFonts w:ascii="Times New Roman" w:hAnsi="Times New Roman"/>
                <w:b w:val="0"/>
                <w:i w:val="0"/>
                <w:sz w:val="20"/>
                <w:u w:val="none"/>
              </w:rPr>
              <w:t>Artículos 27 y 28</w:t>
            </w:r>
          </w:p>
        </w:tc>
      </w:tr>
      <w:tr>
        <w:tc>
          <w:tcPr>
            <w:tcW w:type="dxa" w:w="2737"/>
          </w:tcPr>
          <w:p>
            <w:pPr>
              <w:spacing w:after="40" w:before="40" w:line="240" w:lineRule="auto"/>
              <w:jc w:val="left"/>
            </w:pPr>
            <w:r>
              <w:rPr>
                <w:rFonts w:ascii="Times New Roman" w:hAnsi="Times New Roman"/>
                <w:b w:val="0"/>
                <w:i w:val="0"/>
                <w:sz w:val="20"/>
                <w:u w:val="none"/>
              </w:rPr>
              <w:t>2.9 y 2.10 — nombramientos con documento de identidad y firma de todos</w:t>
            </w:r>
          </w:p>
        </w:tc>
        <w:tc>
          <w:tcPr>
            <w:tcW w:type="dxa" w:w="1277"/>
          </w:tcPr>
          <w:p>
            <w:pPr>
              <w:spacing w:after="40" w:before="40" w:line="240" w:lineRule="auto"/>
              <w:jc w:val="left"/>
            </w:pPr>
            <w:r>
              <w:rPr>
                <w:rFonts w:ascii="Times New Roman" w:hAnsi="Times New Roman"/>
                <w:b w:val="0"/>
                <w:i w:val="0"/>
                <w:sz w:val="20"/>
                <w:u w:val="none"/>
              </w:rPr>
              <w:t>Cumplía</w:t>
            </w:r>
          </w:p>
        </w:tc>
        <w:tc>
          <w:tcPr>
            <w:tcW w:type="dxa" w:w="5108"/>
          </w:tcPr>
          <w:p>
            <w:pPr>
              <w:spacing w:after="40" w:before="40" w:line="240" w:lineRule="auto"/>
              <w:jc w:val="left"/>
            </w:pPr>
            <w:r>
              <w:rPr>
                <w:rFonts w:ascii="Times New Roman" w:hAnsi="Times New Roman"/>
                <w:b w:val="0"/>
                <w:i w:val="0"/>
                <w:sz w:val="20"/>
                <w:u w:val="none"/>
              </w:rPr>
              <w:t>Artículo transitorio 1.º y firmas finales</w:t>
            </w:r>
          </w:p>
        </w:tc>
      </w:tr>
      <w:tr>
        <w:tc>
          <w:tcPr>
            <w:tcW w:type="dxa" w:w="2737"/>
          </w:tcPr>
          <w:p>
            <w:pPr>
              <w:spacing w:after="40" w:before="40" w:line="240" w:lineRule="auto"/>
              <w:jc w:val="left"/>
            </w:pPr>
            <w:r>
              <w:rPr>
                <w:rFonts w:ascii="Times New Roman" w:hAnsi="Times New Roman"/>
                <w:b w:val="0"/>
                <w:i w:val="0"/>
                <w:sz w:val="20"/>
                <w:u w:val="none"/>
              </w:rPr>
              <w:t>2.11 — autenticación o presentación personal</w:t>
            </w:r>
          </w:p>
        </w:tc>
        <w:tc>
          <w:tcPr>
            <w:tcW w:type="dxa" w:w="1277"/>
          </w:tcPr>
          <w:p>
            <w:pPr>
              <w:spacing w:after="40" w:before="40" w:line="240" w:lineRule="auto"/>
              <w:jc w:val="left"/>
            </w:pPr>
            <w:r>
              <w:rPr>
                <w:rFonts w:ascii="Times New Roman" w:hAnsi="Times New Roman"/>
                <w:b w:val="0"/>
                <w:i w:val="0"/>
                <w:sz w:val="20"/>
                <w:u w:val="none"/>
              </w:rPr>
              <w:t>Cumplía</w:t>
            </w:r>
          </w:p>
        </w:tc>
        <w:tc>
          <w:tcPr>
            <w:tcW w:type="dxa" w:w="5108"/>
          </w:tcPr>
          <w:p>
            <w:pPr>
              <w:spacing w:after="40" w:before="40" w:line="240" w:lineRule="auto"/>
              <w:jc w:val="left"/>
            </w:pPr>
            <w:r>
              <w:rPr>
                <w:rFonts w:ascii="Times New Roman" w:hAnsi="Times New Roman"/>
                <w:b w:val="0"/>
                <w:i w:val="0"/>
                <w:sz w:val="20"/>
                <w:u w:val="none"/>
              </w:rPr>
              <w:t>Documento 10 del expediente</w:t>
            </w:r>
          </w:p>
        </w:tc>
      </w:tr>
      <w:tr>
        <w:tc>
          <w:tcPr>
            <w:tcW w:type="dxa" w:w="2737"/>
          </w:tcPr>
          <w:p>
            <w:pPr>
              <w:spacing w:after="40" w:before="40" w:line="240" w:lineRule="auto"/>
              <w:jc w:val="left"/>
            </w:pPr>
            <w:r>
              <w:rPr>
                <w:rFonts w:ascii="Times New Roman" w:hAnsi="Times New Roman"/>
                <w:b w:val="0"/>
                <w:i w:val="0"/>
                <w:sz w:val="20"/>
                <w:u w:val="none"/>
              </w:rPr>
              <w:t xml:space="preserve">3.1 — aceptaciones con número de identificación </w:t>
            </w:r>
            <w:r>
              <w:rPr>
                <w:rFonts w:ascii="Times New Roman" w:hAnsi="Times New Roman"/>
                <w:b/>
                <w:i w:val="0"/>
                <w:sz w:val="20"/>
                <w:u w:val="none"/>
              </w:rPr>
              <w:t>y fecha de expedición</w:t>
            </w:r>
          </w:p>
        </w:tc>
        <w:tc>
          <w:tcPr>
            <w:tcW w:type="dxa" w:w="1277"/>
          </w:tcPr>
          <w:p>
            <w:pPr>
              <w:spacing w:after="40" w:before="40" w:line="240" w:lineRule="auto"/>
              <w:jc w:val="left"/>
            </w:pPr>
            <w:r>
              <w:rPr>
                <w:rFonts w:ascii="Times New Roman" w:hAnsi="Times New Roman"/>
                <w:b/>
                <w:i w:val="0"/>
                <w:sz w:val="20"/>
                <w:u w:val="none"/>
              </w:rPr>
              <w:t>Corregido</w:t>
            </w:r>
          </w:p>
        </w:tc>
        <w:tc>
          <w:tcPr>
            <w:tcW w:type="dxa" w:w="5108"/>
          </w:tcPr>
          <w:p>
            <w:pPr>
              <w:spacing w:after="40" w:before="40" w:line="240" w:lineRule="auto"/>
              <w:jc w:val="left"/>
            </w:pPr>
            <w:r>
              <w:rPr>
                <w:rFonts w:ascii="Times New Roman" w:hAnsi="Times New Roman"/>
                <w:b w:val="0"/>
                <w:i w:val="0"/>
                <w:sz w:val="20"/>
                <w:u w:val="none"/>
              </w:rPr>
              <w:t>Las cartas informaban el número y el lugar, no la fecha de expedición</w:t>
            </w:r>
          </w:p>
        </w:tc>
      </w:tr>
      <w:tr>
        <w:tc>
          <w:tcPr>
            <w:tcW w:type="dxa" w:w="2737"/>
          </w:tcPr>
          <w:p>
            <w:pPr>
              <w:spacing w:after="40" w:before="40" w:line="240" w:lineRule="auto"/>
              <w:jc w:val="left"/>
            </w:pPr>
            <w:r>
              <w:rPr>
                <w:rFonts w:ascii="Times New Roman" w:hAnsi="Times New Roman"/>
                <w:b w:val="0"/>
                <w:i w:val="0"/>
                <w:sz w:val="20"/>
                <w:u w:val="none"/>
              </w:rPr>
              <w:t>3.2 — anexo de responsabilidades tributarias</w:t>
            </w:r>
          </w:p>
        </w:tc>
        <w:tc>
          <w:tcPr>
            <w:tcW w:type="dxa" w:w="1277"/>
          </w:tcPr>
          <w:p>
            <w:pPr>
              <w:spacing w:after="40" w:before="40" w:line="240" w:lineRule="auto"/>
              <w:jc w:val="left"/>
            </w:pPr>
            <w:r>
              <w:rPr>
                <w:rFonts w:ascii="Times New Roman" w:hAnsi="Times New Roman"/>
                <w:b w:val="0"/>
                <w:i w:val="0"/>
                <w:sz w:val="20"/>
                <w:u w:val="none"/>
              </w:rPr>
              <w:t>Cumplía</w:t>
            </w:r>
          </w:p>
        </w:tc>
        <w:tc>
          <w:tcPr>
            <w:tcW w:type="dxa" w:w="5108"/>
          </w:tcPr>
          <w:p>
            <w:pPr>
              <w:spacing w:after="40" w:before="40" w:line="240" w:lineRule="auto"/>
              <w:jc w:val="left"/>
            </w:pPr>
            <w:r>
              <w:rPr>
                <w:rFonts w:ascii="Times New Roman" w:hAnsi="Times New Roman"/>
                <w:b w:val="0"/>
                <w:i w:val="0"/>
                <w:sz w:val="20"/>
                <w:u w:val="none"/>
              </w:rPr>
              <w:t>Diligenciado sobre el formato oficial</w:t>
            </w:r>
          </w:p>
        </w:tc>
      </w:tr>
      <w:tr>
        <w:tc>
          <w:tcPr>
            <w:tcW w:type="dxa" w:w="2737"/>
          </w:tcPr>
          <w:p>
            <w:pPr>
              <w:spacing w:after="40" w:before="40" w:line="240" w:lineRule="auto"/>
              <w:jc w:val="left"/>
            </w:pPr>
            <w:r>
              <w:rPr>
                <w:rFonts w:ascii="Times New Roman" w:hAnsi="Times New Roman"/>
                <w:b w:val="0"/>
                <w:i w:val="0"/>
                <w:sz w:val="20"/>
                <w:u w:val="none"/>
              </w:rPr>
              <w:t xml:space="preserve">3.2 — </w:t>
            </w:r>
            <w:r>
              <w:rPr>
                <w:rFonts w:ascii="Times New Roman" w:hAnsi="Times New Roman"/>
                <w:b/>
                <w:i w:val="0"/>
                <w:sz w:val="20"/>
                <w:u w:val="none"/>
              </w:rPr>
              <w:t>presentación personal del anexo si la radicación es presencial</w:t>
            </w:r>
          </w:p>
        </w:tc>
        <w:tc>
          <w:tcPr>
            <w:tcW w:type="dxa" w:w="1277"/>
          </w:tcPr>
          <w:p>
            <w:pPr>
              <w:spacing w:after="40" w:before="40" w:line="240" w:lineRule="auto"/>
              <w:jc w:val="left"/>
            </w:pPr>
            <w:r>
              <w:rPr>
                <w:rFonts w:ascii="Times New Roman" w:hAnsi="Times New Roman"/>
                <w:b/>
                <w:i w:val="0"/>
                <w:sz w:val="20"/>
                <w:u w:val="none"/>
              </w:rPr>
              <w:t>Corregido</w:t>
            </w:r>
          </w:p>
        </w:tc>
        <w:tc>
          <w:tcPr>
            <w:tcW w:type="dxa" w:w="5108"/>
          </w:tcPr>
          <w:p>
            <w:pPr>
              <w:spacing w:after="40" w:before="40" w:line="240" w:lineRule="auto"/>
              <w:jc w:val="left"/>
            </w:pPr>
            <w:r>
              <w:rPr>
                <w:rFonts w:ascii="Times New Roman" w:hAnsi="Times New Roman"/>
                <w:b w:val="0"/>
                <w:i w:val="0"/>
                <w:sz w:val="20"/>
                <w:u w:val="none"/>
              </w:rPr>
              <w:t>No se había previsto esa segunda diligencia</w:t>
            </w:r>
          </w:p>
        </w:tc>
      </w:tr>
      <w:tr>
        <w:tc>
          <w:tcPr>
            <w:tcW w:type="dxa" w:w="2737"/>
          </w:tcPr>
          <w:p>
            <w:pPr>
              <w:spacing w:after="40" w:before="40" w:line="240" w:lineRule="auto"/>
              <w:jc w:val="left"/>
            </w:pPr>
            <w:r>
              <w:rPr>
                <w:rFonts w:ascii="Times New Roman" w:hAnsi="Times New Roman"/>
                <w:b w:val="0"/>
                <w:i w:val="0"/>
                <w:sz w:val="20"/>
                <w:u w:val="none"/>
              </w:rPr>
              <w:t>3.3 — formulario RUES hojas 1 y 2 y anexo 1</w:t>
            </w:r>
          </w:p>
        </w:tc>
        <w:tc>
          <w:tcPr>
            <w:tcW w:type="dxa" w:w="1277"/>
          </w:tcPr>
          <w:p>
            <w:pPr>
              <w:spacing w:after="40" w:before="40" w:line="240" w:lineRule="auto"/>
              <w:jc w:val="left"/>
            </w:pPr>
            <w:r>
              <w:rPr>
                <w:rFonts w:ascii="Times New Roman" w:hAnsi="Times New Roman"/>
                <w:b w:val="0"/>
                <w:i w:val="0"/>
                <w:sz w:val="20"/>
                <w:u w:val="none"/>
              </w:rPr>
              <w:t>Cumplía</w:t>
            </w:r>
          </w:p>
        </w:tc>
        <w:tc>
          <w:tcPr>
            <w:tcW w:type="dxa" w:w="5108"/>
          </w:tcPr>
          <w:p>
            <w:pPr>
              <w:spacing w:after="40" w:before="40" w:line="240" w:lineRule="auto"/>
              <w:jc w:val="left"/>
            </w:pPr>
            <w:r>
              <w:rPr>
                <w:rFonts w:ascii="Times New Roman" w:hAnsi="Times New Roman"/>
                <w:b w:val="0"/>
                <w:i w:val="0"/>
                <w:sz w:val="20"/>
                <w:u w:val="none"/>
              </w:rPr>
              <w:t>Diligenciados sobre los formatos oficiales</w:t>
            </w:r>
          </w:p>
        </w:tc>
      </w:tr>
      <w:tr>
        <w:tc>
          <w:tcPr>
            <w:tcW w:type="dxa" w:w="2737"/>
          </w:tcPr>
          <w:p>
            <w:pPr>
              <w:spacing w:after="40" w:before="40" w:line="240" w:lineRule="auto"/>
              <w:jc w:val="left"/>
            </w:pPr>
            <w:r>
              <w:rPr>
                <w:rFonts w:ascii="Times New Roman" w:hAnsi="Times New Roman"/>
                <w:b w:val="0"/>
                <w:i w:val="0"/>
                <w:sz w:val="20"/>
                <w:u w:val="none"/>
              </w:rPr>
              <w:t>3.4 — anexo para otras entidades</w:t>
            </w:r>
          </w:p>
        </w:tc>
        <w:tc>
          <w:tcPr>
            <w:tcW w:type="dxa" w:w="1277"/>
          </w:tcPr>
          <w:p>
            <w:pPr>
              <w:spacing w:after="40" w:before="40" w:line="240" w:lineRule="auto"/>
              <w:jc w:val="left"/>
            </w:pPr>
            <w:r>
              <w:rPr>
                <w:rFonts w:ascii="Times New Roman" w:hAnsi="Times New Roman"/>
                <w:b w:val="0"/>
                <w:i w:val="0"/>
                <w:sz w:val="20"/>
                <w:u w:val="none"/>
              </w:rPr>
              <w:t>Pendiente</w:t>
            </w:r>
          </w:p>
        </w:tc>
        <w:tc>
          <w:tcPr>
            <w:tcW w:type="dxa" w:w="5108"/>
          </w:tcPr>
          <w:p>
            <w:pPr>
              <w:spacing w:after="40" w:before="40" w:line="240" w:lineRule="auto"/>
              <w:jc w:val="left"/>
            </w:pPr>
            <w:r>
              <w:rPr>
                <w:rFonts w:ascii="Times New Roman" w:hAnsi="Times New Roman"/>
                <w:b w:val="0"/>
                <w:i w:val="0"/>
                <w:sz w:val="20"/>
                <w:u w:val="none"/>
              </w:rPr>
              <w:t>Formato de la Cámara; su contenido está resuelto campo por campo en el documento 07</w:t>
            </w:r>
          </w:p>
        </w:tc>
      </w:tr>
      <w:tr>
        <w:tc>
          <w:tcPr>
            <w:tcW w:type="dxa" w:w="2737"/>
          </w:tcPr>
          <w:p>
            <w:pPr>
              <w:spacing w:after="40" w:before="40" w:line="240" w:lineRule="auto"/>
              <w:jc w:val="left"/>
            </w:pPr>
            <w:r>
              <w:rPr>
                <w:rFonts w:ascii="Times New Roman" w:hAnsi="Times New Roman"/>
                <w:b w:val="0"/>
                <w:i w:val="0"/>
                <w:sz w:val="20"/>
                <w:u w:val="none"/>
              </w:rPr>
              <w:t xml:space="preserve">3.4 — </w:t>
            </w:r>
            <w:r>
              <w:rPr>
                <w:rFonts w:ascii="Times New Roman" w:hAnsi="Times New Roman"/>
                <w:b/>
                <w:i w:val="0"/>
                <w:sz w:val="20"/>
                <w:u w:val="none"/>
              </w:rPr>
              <w:t>manifiesto de emprendimientos sociales</w:t>
            </w:r>
          </w:p>
        </w:tc>
        <w:tc>
          <w:tcPr>
            <w:tcW w:type="dxa" w:w="1277"/>
          </w:tcPr>
          <w:p>
            <w:pPr>
              <w:spacing w:after="40" w:before="40" w:line="240" w:lineRule="auto"/>
              <w:jc w:val="left"/>
            </w:pPr>
            <w:r>
              <w:rPr>
                <w:rFonts w:ascii="Times New Roman" w:hAnsi="Times New Roman"/>
                <w:b/>
                <w:i w:val="0"/>
                <w:sz w:val="20"/>
                <w:u w:val="none"/>
              </w:rPr>
              <w:t>Corregido</w:t>
            </w:r>
          </w:p>
        </w:tc>
        <w:tc>
          <w:tcPr>
            <w:tcW w:type="dxa" w:w="5108"/>
          </w:tcPr>
          <w:p>
            <w:pPr>
              <w:spacing w:after="40" w:before="40" w:line="240" w:lineRule="auto"/>
              <w:jc w:val="left"/>
            </w:pPr>
            <w:r>
              <w:rPr>
                <w:rFonts w:ascii="Times New Roman" w:hAnsi="Times New Roman"/>
                <w:b w:val="0"/>
                <w:i w:val="0"/>
                <w:sz w:val="20"/>
                <w:u w:val="none"/>
              </w:rPr>
              <w:t>No estaba identificado; se elaboró como documento 16</w:t>
            </w:r>
          </w:p>
        </w:tc>
      </w:tr>
      <w:tr>
        <w:tc>
          <w:tcPr>
            <w:tcW w:type="dxa" w:w="2737"/>
          </w:tcPr>
          <w:p>
            <w:pPr>
              <w:spacing w:after="40" w:before="40" w:line="240" w:lineRule="auto"/>
              <w:jc w:val="left"/>
            </w:pPr>
            <w:r>
              <w:rPr>
                <w:rFonts w:ascii="Times New Roman" w:hAnsi="Times New Roman"/>
                <w:b w:val="0"/>
                <w:i w:val="0"/>
                <w:sz w:val="20"/>
                <w:u w:val="none"/>
              </w:rPr>
              <w:t xml:space="preserve">3.4 — formato de pequeña empresa joven con </w:t>
            </w:r>
            <w:r>
              <w:rPr>
                <w:rFonts w:ascii="Times New Roman" w:hAnsi="Times New Roman"/>
                <w:b/>
                <w:i w:val="0"/>
                <w:sz w:val="20"/>
                <w:u w:val="none"/>
              </w:rPr>
              <w:t>relación de trabajadores</w:t>
            </w:r>
          </w:p>
        </w:tc>
        <w:tc>
          <w:tcPr>
            <w:tcW w:type="dxa" w:w="1277"/>
          </w:tcPr>
          <w:p>
            <w:pPr>
              <w:spacing w:after="40" w:before="40" w:line="240" w:lineRule="auto"/>
              <w:jc w:val="left"/>
            </w:pPr>
            <w:r>
              <w:rPr>
                <w:rFonts w:ascii="Times New Roman" w:hAnsi="Times New Roman"/>
                <w:b/>
                <w:i w:val="0"/>
                <w:sz w:val="20"/>
                <w:u w:val="none"/>
              </w:rPr>
              <w:t>Corregido</w:t>
            </w:r>
          </w:p>
        </w:tc>
        <w:tc>
          <w:tcPr>
            <w:tcW w:type="dxa" w:w="5108"/>
          </w:tcPr>
          <w:p>
            <w:pPr>
              <w:spacing w:after="40" w:before="40" w:line="240" w:lineRule="auto"/>
              <w:jc w:val="left"/>
            </w:pPr>
            <w:r>
              <w:rPr>
                <w:rFonts w:ascii="Times New Roman" w:hAnsi="Times New Roman"/>
                <w:b w:val="0"/>
                <w:i w:val="0"/>
                <w:sz w:val="20"/>
                <w:u w:val="none"/>
              </w:rPr>
              <w:t>La declaración de la Ley 1780 no incluía el nombre e identificación de los nueve trabajadores</w:t>
            </w:r>
          </w:p>
        </w:tc>
      </w:tr>
      <w:tr>
        <w:tc>
          <w:tcPr>
            <w:tcW w:type="dxa" w:w="2737"/>
          </w:tcPr>
          <w:p>
            <w:pPr>
              <w:spacing w:after="40" w:before="40" w:line="240" w:lineRule="auto"/>
              <w:jc w:val="left"/>
            </w:pPr>
            <w:r>
              <w:rPr>
                <w:rFonts w:ascii="Times New Roman" w:hAnsi="Times New Roman"/>
                <w:b w:val="0"/>
                <w:i w:val="0"/>
                <w:sz w:val="20"/>
                <w:u w:val="none"/>
              </w:rPr>
              <w:t>5.1 — derechos de inscripción</w:t>
            </w:r>
          </w:p>
        </w:tc>
        <w:tc>
          <w:tcPr>
            <w:tcW w:type="dxa" w:w="1277"/>
          </w:tcPr>
          <w:p>
            <w:pPr>
              <w:spacing w:after="40" w:before="40" w:line="240" w:lineRule="auto"/>
              <w:jc w:val="left"/>
            </w:pPr>
            <w:r>
              <w:rPr>
                <w:rFonts w:ascii="Times New Roman" w:hAnsi="Times New Roman"/>
                <w:b w:val="0"/>
                <w:i w:val="0"/>
                <w:sz w:val="20"/>
                <w:u w:val="none"/>
              </w:rPr>
              <w:t>Cumplía</w:t>
            </w:r>
          </w:p>
        </w:tc>
        <w:tc>
          <w:tcPr>
            <w:tcW w:type="dxa" w:w="5108"/>
          </w:tcPr>
          <w:p>
            <w:pPr>
              <w:spacing w:after="40" w:before="40" w:line="240" w:lineRule="auto"/>
              <w:jc w:val="left"/>
            </w:pPr>
            <w:r>
              <w:rPr>
                <w:rFonts w:ascii="Times New Roman" w:hAnsi="Times New Roman"/>
                <w:b w:val="0"/>
                <w:i w:val="0"/>
                <w:sz w:val="20"/>
                <w:u w:val="none"/>
              </w:rPr>
              <w:t>Liquidados en los documentos 04 y 11</w:t>
            </w:r>
          </w:p>
        </w:tc>
      </w:tr>
      <w:tr>
        <w:tc>
          <w:tcPr>
            <w:tcW w:type="dxa" w:w="2737"/>
          </w:tcPr>
          <w:p>
            <w:pPr>
              <w:spacing w:after="40" w:before="40" w:line="240" w:lineRule="auto"/>
              <w:jc w:val="left"/>
            </w:pPr>
            <w:r>
              <w:rPr>
                <w:rFonts w:ascii="Times New Roman" w:hAnsi="Times New Roman"/>
                <w:b w:val="0"/>
                <w:i w:val="0"/>
                <w:sz w:val="20"/>
                <w:u w:val="none"/>
              </w:rPr>
              <w:t>5.2.1 — impuesto de registro con cuantía sobre el capital suscrito</w:t>
            </w:r>
          </w:p>
        </w:tc>
        <w:tc>
          <w:tcPr>
            <w:tcW w:type="dxa" w:w="1277"/>
          </w:tcPr>
          <w:p>
            <w:pPr>
              <w:spacing w:after="40" w:before="40" w:line="240" w:lineRule="auto"/>
              <w:jc w:val="left"/>
            </w:pPr>
            <w:r>
              <w:rPr>
                <w:rFonts w:ascii="Times New Roman" w:hAnsi="Times New Roman"/>
                <w:b w:val="0"/>
                <w:i w:val="0"/>
                <w:sz w:val="20"/>
                <w:u w:val="none"/>
              </w:rPr>
              <w:t>Cumplía</w:t>
            </w:r>
          </w:p>
        </w:tc>
        <w:tc>
          <w:tcPr>
            <w:tcW w:type="dxa" w:w="5108"/>
          </w:tcPr>
          <w:p>
            <w:pPr>
              <w:spacing w:after="40" w:before="40" w:line="240" w:lineRule="auto"/>
              <w:jc w:val="left"/>
            </w:pPr>
            <w:r>
              <w:rPr>
                <w:rFonts w:ascii="Times New Roman" w:hAnsi="Times New Roman"/>
                <w:b w:val="0"/>
                <w:i w:val="0"/>
                <w:sz w:val="20"/>
                <w:u w:val="none"/>
              </w:rPr>
              <w:t>$4.200.000</w:t>
            </w:r>
          </w:p>
        </w:tc>
      </w:tr>
      <w:tr>
        <w:tc>
          <w:tcPr>
            <w:tcW w:type="dxa" w:w="2737"/>
          </w:tcPr>
          <w:p>
            <w:pPr>
              <w:spacing w:after="40" w:before="40" w:line="240" w:lineRule="auto"/>
              <w:jc w:val="left"/>
            </w:pPr>
            <w:r>
              <w:rPr>
                <w:rFonts w:ascii="Times New Roman" w:hAnsi="Times New Roman"/>
                <w:b w:val="0"/>
                <w:i w:val="0"/>
                <w:sz w:val="20"/>
                <w:u w:val="none"/>
              </w:rPr>
              <w:t xml:space="preserve">5.2.2 — </w:t>
            </w:r>
            <w:r>
              <w:rPr>
                <w:rFonts w:ascii="Times New Roman" w:hAnsi="Times New Roman"/>
                <w:b/>
                <w:i w:val="0"/>
                <w:sz w:val="20"/>
                <w:u w:val="none"/>
              </w:rPr>
              <w:t>impuesto de registro sin cuantía por cada órgano nombrado</w:t>
            </w:r>
          </w:p>
        </w:tc>
        <w:tc>
          <w:tcPr>
            <w:tcW w:type="dxa" w:w="1277"/>
          </w:tcPr>
          <w:p>
            <w:pPr>
              <w:spacing w:after="40" w:before="40" w:line="240" w:lineRule="auto"/>
              <w:jc w:val="left"/>
            </w:pPr>
            <w:r>
              <w:rPr>
                <w:rFonts w:ascii="Times New Roman" w:hAnsi="Times New Roman"/>
                <w:b/>
                <w:i w:val="0"/>
                <w:sz w:val="20"/>
                <w:u w:val="none"/>
              </w:rPr>
              <w:t>Corregido</w:t>
            </w:r>
          </w:p>
        </w:tc>
        <w:tc>
          <w:tcPr>
            <w:tcW w:type="dxa" w:w="5108"/>
          </w:tcPr>
          <w:p>
            <w:pPr>
              <w:spacing w:after="40" w:before="40" w:line="240" w:lineRule="auto"/>
              <w:jc w:val="left"/>
            </w:pPr>
            <w:r>
              <w:rPr>
                <w:rFonts w:ascii="Times New Roman" w:hAnsi="Times New Roman"/>
                <w:b w:val="0"/>
                <w:i w:val="0"/>
                <w:sz w:val="20"/>
                <w:u w:val="none"/>
              </w:rPr>
              <w:t>La liquidación omitía este rubro</w:t>
            </w:r>
          </w:p>
        </w:tc>
      </w:tr>
      <w:tr>
        <w:tc>
          <w:tcPr>
            <w:tcW w:type="dxa" w:w="2737"/>
          </w:tcPr>
          <w:p>
            <w:pPr>
              <w:spacing w:after="40" w:before="40" w:line="240" w:lineRule="auto"/>
              <w:jc w:val="left"/>
            </w:pPr>
            <w:r>
              <w:rPr>
                <w:rFonts w:ascii="Times New Roman" w:hAnsi="Times New Roman"/>
                <w:b w:val="0"/>
                <w:i w:val="0"/>
                <w:sz w:val="20"/>
                <w:u w:val="none"/>
              </w:rPr>
              <w:t>6 — copia de la cédula del representante legal y de la accionista de 18 a 35</w:t>
            </w:r>
          </w:p>
        </w:tc>
        <w:tc>
          <w:tcPr>
            <w:tcW w:type="dxa" w:w="1277"/>
          </w:tcPr>
          <w:p>
            <w:pPr>
              <w:spacing w:after="40" w:before="40" w:line="240" w:lineRule="auto"/>
              <w:jc w:val="left"/>
            </w:pPr>
            <w:r>
              <w:rPr>
                <w:rFonts w:ascii="Times New Roman" w:hAnsi="Times New Roman"/>
                <w:b w:val="0"/>
                <w:i w:val="0"/>
                <w:sz w:val="20"/>
                <w:u w:val="none"/>
              </w:rPr>
              <w:t>Cumplía</w:t>
            </w:r>
          </w:p>
        </w:tc>
        <w:tc>
          <w:tcPr>
            <w:tcW w:type="dxa" w:w="5108"/>
          </w:tcPr>
          <w:p>
            <w:pPr>
              <w:spacing w:after="40" w:before="40" w:line="240" w:lineRule="auto"/>
              <w:jc w:val="left"/>
            </w:pPr>
            <w:r>
              <w:rPr>
                <w:rFonts w:ascii="Times New Roman" w:hAnsi="Times New Roman"/>
                <w:b w:val="0"/>
                <w:i w:val="0"/>
                <w:sz w:val="20"/>
                <w:u w:val="none"/>
              </w:rPr>
              <w:t>Relacionadas como anexos</w:t>
            </w:r>
          </w:p>
        </w:tc>
      </w:tr>
      <w:tr>
        <w:tc>
          <w:tcPr>
            <w:tcW w:type="dxa" w:w="2737"/>
          </w:tcPr>
          <w:p>
            <w:pPr>
              <w:spacing w:after="40" w:before="40" w:line="240" w:lineRule="auto"/>
              <w:jc w:val="left"/>
            </w:pPr>
            <w:r>
              <w:rPr>
                <w:rFonts w:ascii="Times New Roman" w:hAnsi="Times New Roman"/>
                <w:b w:val="0"/>
                <w:i w:val="0"/>
                <w:sz w:val="20"/>
                <w:u w:val="none"/>
              </w:rPr>
              <w:t>4 — formatos 1 o 2 de situación de control</w:t>
            </w:r>
          </w:p>
        </w:tc>
        <w:tc>
          <w:tcPr>
            <w:tcW w:type="dxa" w:w="1277"/>
          </w:tcPr>
          <w:p>
            <w:pPr>
              <w:spacing w:after="40" w:before="40" w:line="240" w:lineRule="auto"/>
              <w:jc w:val="left"/>
            </w:pPr>
            <w:r>
              <w:rPr>
                <w:rFonts w:ascii="Times New Roman" w:hAnsi="Times New Roman"/>
                <w:b w:val="0"/>
                <w:i w:val="0"/>
                <w:sz w:val="20"/>
                <w:u w:val="none"/>
              </w:rPr>
              <w:t>No aplica</w:t>
            </w:r>
          </w:p>
        </w:tc>
        <w:tc>
          <w:tcPr>
            <w:tcW w:type="dxa" w:w="5108"/>
          </w:tcPr>
          <w:p>
            <w:pPr>
              <w:spacing w:after="40" w:before="40" w:line="240" w:lineRule="auto"/>
              <w:jc w:val="left"/>
            </w:pPr>
            <w:r>
              <w:rPr>
                <w:rFonts w:ascii="Times New Roman" w:hAnsi="Times New Roman"/>
                <w:b w:val="0"/>
                <w:i w:val="0"/>
                <w:sz w:val="20"/>
                <w:u w:val="none"/>
              </w:rPr>
              <w:t>Solo para S.A.S. de accionista único persona natural; aquí hay dos accionistas</w:t>
            </w:r>
          </w:p>
        </w:tc>
      </w:tr>
    </w:tbl>
    <w:p>
      <w:pPr>
        <w:spacing w:after="80"/>
      </w:pPr>
    </w:p>
    <w:p>
      <w:pPr>
        <w:keepNext/>
        <w:spacing w:before="240" w:after="80"/>
        <w:jc w:val="left"/>
      </w:pPr>
      <w:r>
        <w:rPr>
          <w:rFonts w:ascii="Times New Roman" w:hAnsi="Times New Roman"/>
          <w:b/>
          <w:i w:val="0"/>
          <w:sz w:val="24"/>
          <w:u w:val="none"/>
        </w:rPr>
        <w:t>Los seis incumplimientos y su corrección</w:t>
      </w:r>
    </w:p>
    <w:p>
      <w:r>
        <w:rPr>
          <w:rFonts w:ascii="Times New Roman" w:hAnsi="Times New Roman"/>
          <w:b/>
          <w:i w:val="0"/>
          <w:u w:val="none"/>
        </w:rPr>
        <w:t>1. Faltaba el término para el pago del capital suscrito.</w:t>
      </w:r>
      <w:r>
        <w:rPr>
          <w:rFonts w:ascii="Times New Roman" w:hAnsi="Times New Roman"/>
          <w:b w:val="0"/>
          <w:i w:val="0"/>
          <w:u w:val="none"/>
        </w:rPr>
        <w:t xml:space="preserve"> El numeral 2.6 exige que el documento constitutivo indique «de manera clara el término para pagar el capital suscrito, sin exceder dos años». Los estatutos afirmaban que el capital estaba íntegramente pagado y remitían el plazo de dos años a las emisiones futuras, pero no enunciaban el término como tal. Es la clase de omisión formal que produce una devolución aunque el fondo sea correcto. El artículo 8.º incorpora ahora una declaración expresa: el término de pago es el mismo acto de constitución y, en todo caso, no excede de dos años.</w:t>
      </w:r>
    </w:p>
    <w:p>
      <w:r>
        <w:rPr>
          <w:rFonts w:ascii="Times New Roman" w:hAnsi="Times New Roman"/>
          <w:b/>
          <w:i w:val="0"/>
          <w:u w:val="none"/>
        </w:rPr>
        <w:t>2. Las aceptaciones no informaban la fecha de expedición del documento de identidad.</w:t>
      </w:r>
      <w:r>
        <w:rPr>
          <w:rFonts w:ascii="Times New Roman" w:hAnsi="Times New Roman"/>
          <w:b w:val="0"/>
          <w:i w:val="0"/>
          <w:u w:val="none"/>
        </w:rPr>
        <w:t xml:space="preserve"> El numeral 3.1 y la lista de chequeo la exigen dos veces, con esas palabras. Las cartas del documento 02 traían nombre, número y lugar de expedición, pero no la fecha. Se añadió el dato, tanto en el cuerpo de cada carta como en su cuadro de identificación, con espacio para completarlo: es información que solo puede tomarse del documento físico de cada persona.</w:t>
      </w:r>
    </w:p>
    <w:p>
      <w:r>
        <w:rPr>
          <w:rFonts w:ascii="Times New Roman" w:hAnsi="Times New Roman"/>
          <w:b/>
          <w:i w:val="0"/>
          <w:u w:val="none"/>
        </w:rPr>
        <w:t>3. No se había previsto la presentación personal del anexo de responsabilidades tributarias.</w:t>
      </w:r>
      <w:r>
        <w:rPr>
          <w:rFonts w:ascii="Times New Roman" w:hAnsi="Times New Roman"/>
          <w:b w:val="0"/>
          <w:i w:val="0"/>
          <w:u w:val="none"/>
        </w:rPr>
        <w:t xml:space="preserve"> El numeral 3.2 la impone cuando el trámite se radica presencialmente, y es una diligencia </w:t>
      </w:r>
      <w:r>
        <w:rPr>
          <w:rFonts w:ascii="Times New Roman" w:hAnsi="Times New Roman"/>
          <w:b/>
          <w:i w:val="0"/>
          <w:u w:val="none"/>
        </w:rPr>
        <w:t>distinta</w:t>
      </w:r>
      <w:r>
        <w:rPr>
          <w:rFonts w:ascii="Times New Roman" w:hAnsi="Times New Roman"/>
          <w:b w:val="0"/>
          <w:i w:val="0"/>
          <w:u w:val="none"/>
        </w:rPr>
        <w:t xml:space="preserve"> de la del documento de constitución: la primera la hacen los dos accionistas sobre los estatutos; la segunda, la representante legal sobre el anexo. El documento 10 incorpora ahora la constancia correspondiente y explica cuándo se requiere.</w:t>
      </w:r>
    </w:p>
    <w:p>
      <w:r>
        <w:rPr>
          <w:rFonts w:ascii="Times New Roman" w:hAnsi="Times New Roman"/>
          <w:b/>
          <w:i w:val="0"/>
          <w:u w:val="none"/>
        </w:rPr>
        <w:t>4. Faltaba la relación de trabajadores para el beneficio de la Ley 1780.</w:t>
      </w:r>
      <w:r>
        <w:rPr>
          <w:rFonts w:ascii="Times New Roman" w:hAnsi="Times New Roman"/>
          <w:b w:val="0"/>
          <w:i w:val="0"/>
          <w:u w:val="none"/>
        </w:rPr>
        <w:t xml:space="preserve"> El numeral 3.4 exige que el formato de pequeña empresa joven contenga «nombre e identificación de los trabajadores vinculados directamente con la sociedad». La declaración juramentada acreditaba los tres requisitos de fondo —edad y participación de la accionista, número de trabajadores y activos— pero no relacionaba a las nueve personas. Se añadió el cuadro nominal, con la constancia de que cinco son mujeres y dos ocupan cargos directivos.</w:t>
      </w:r>
    </w:p>
    <w:p>
      <w:r>
        <w:rPr>
          <w:rFonts w:ascii="Times New Roman" w:hAnsi="Times New Roman"/>
          <w:b/>
          <w:i w:val="0"/>
          <w:u w:val="none"/>
        </w:rPr>
        <w:t>5. Faltaba el manifiesto de emprendimientos sociales.</w:t>
      </w:r>
      <w:r>
        <w:rPr>
          <w:rFonts w:ascii="Times New Roman" w:hAnsi="Times New Roman"/>
          <w:b w:val="0"/>
          <w:i w:val="0"/>
          <w:u w:val="none"/>
        </w:rPr>
        <w:t xml:space="preserve"> La lista de chequeo lo enumera entre los documentos que deben anexarse, y no había sido identificado en ninguna de las revisiones anteriores. Es una declaración de </w:t>
      </w:r>
      <w:r>
        <w:rPr>
          <w:rFonts w:ascii="Times New Roman" w:hAnsi="Times New Roman"/>
          <w:b/>
          <w:i w:val="0"/>
          <w:u w:val="none"/>
        </w:rPr>
        <w:t>autorreconocimiento</w:t>
      </w:r>
      <w:r>
        <w:rPr>
          <w:rFonts w:ascii="Times New Roman" w:hAnsi="Times New Roman"/>
          <w:b w:val="0"/>
          <w:i w:val="0"/>
          <w:u w:val="none"/>
        </w:rPr>
        <w:t xml:space="preserve"> derivada de la Ley 2234 de 2022, que la Superintendencia de Sociedades recoge por el RUES mientras se ajusta el formulario. Se elaboró como documento 16, con manifestación negativa y su fundamento: la sociedad se constituye con ánimo de lucro ordinario, distribuye utilidades a prorrata y no incorpora reinversión de excedentes ni medición de impacto, de modo que el autorreconocimiento no tendría respaldo estatutario. La manifestación puede cambiarse en cualquier renovación posterior.</w:t>
      </w:r>
    </w:p>
    <w:p>
      <w:r>
        <w:rPr>
          <w:rFonts w:ascii="Times New Roman" w:hAnsi="Times New Roman"/>
          <w:b/>
          <w:i w:val="0"/>
          <w:u w:val="none"/>
        </w:rPr>
        <w:t>6. La liquidación omitía el impuesto de registro sin cuantía.</w:t>
      </w:r>
      <w:r>
        <w:rPr>
          <w:rFonts w:ascii="Times New Roman" w:hAnsi="Times New Roman"/>
          <w:b w:val="0"/>
          <w:i w:val="0"/>
          <w:u w:val="none"/>
        </w:rPr>
        <w:t xml:space="preserve"> El numeral 5.2.2 advierte que el trámite causa </w:t>
      </w:r>
      <w:r>
        <w:rPr>
          <w:rFonts w:ascii="Times New Roman" w:hAnsi="Times New Roman"/>
          <w:b/>
          <w:i w:val="0"/>
          <w:u w:val="none"/>
        </w:rPr>
        <w:t>dos</w:t>
      </w:r>
      <w:r>
        <w:rPr>
          <w:rFonts w:ascii="Times New Roman" w:hAnsi="Times New Roman"/>
          <w:b w:val="0"/>
          <w:i w:val="0"/>
          <w:u w:val="none"/>
        </w:rPr>
        <w:t xml:space="preserve"> impuestos de registro: el de cuantía sobre el capital suscrito, y uno </w:t>
      </w:r>
      <w:r>
        <w:rPr>
          <w:rFonts w:ascii="Times New Roman" w:hAnsi="Times New Roman"/>
          <w:b/>
          <w:i w:val="0"/>
          <w:u w:val="none"/>
        </w:rPr>
        <w:t>sin cuantía por la inscripción de cada órgano nombrado</w:t>
      </w:r>
      <w:r>
        <w:rPr>
          <w:rFonts w:ascii="Times New Roman" w:hAnsi="Times New Roman"/>
          <w:b w:val="0"/>
          <w:i w:val="0"/>
          <w:u w:val="none"/>
        </w:rPr>
        <w:t xml:space="preserve">. Aquí se nombra un solo órgano —la representación legal, con principal y suplente—, de modo que se causa un acto sin cuantía adicional, tasado entre dos y cuatro salarios mínimos diarios legales vigentes. El total del trámite pasa de $4.321.100 a un rango aproximado de </w:t>
      </w:r>
      <w:r>
        <w:rPr>
          <w:rFonts w:ascii="Times New Roman" w:hAnsi="Times New Roman"/>
          <w:b/>
          <w:i w:val="0"/>
          <w:u w:val="none"/>
        </w:rPr>
        <w:t>$4.414.000 a $4.508.000</w:t>
      </w:r>
      <w:r>
        <w:rPr>
          <w:rFonts w:ascii="Times New Roman" w:hAnsi="Times New Roman"/>
          <w:b w:val="0"/>
          <w:i w:val="0"/>
          <w:u w:val="none"/>
        </w:rPr>
        <w:t>, sin contar la matrícula del establecimiento.</w:t>
      </w:r>
    </w:p>
    <w:p>
      <w:pPr>
        <w:keepNext/>
        <w:spacing w:before="240" w:after="80"/>
        <w:jc w:val="left"/>
      </w:pPr>
      <w:r>
        <w:rPr>
          <w:rFonts w:ascii="Times New Roman" w:hAnsi="Times New Roman"/>
          <w:b/>
          <w:i w:val="0"/>
          <w:sz w:val="24"/>
          <w:u w:val="none"/>
        </w:rPr>
        <w:t>Dos exigencias que el expediente ya cumplía y conviene destacar</w:t>
      </w:r>
    </w:p>
    <w:p>
      <w:r>
        <w:rPr>
          <w:rFonts w:ascii="Times New Roman" w:hAnsi="Times New Roman"/>
          <w:b w:val="0"/>
          <w:i w:val="0"/>
          <w:u w:val="none"/>
        </w:rPr>
        <w:t>La guía cierra el numeral 4 recordando «realizar todas las gestiones que legalmente acreditan y reconocen la calidad de accionista, como la elaboración, entrega del título y la anotación del mismo en el libro de accionistas». El expediente ya lo resolvía: los títulos 001 y 002 del documento 09 y el folio del libro de registro de accionistas del documento 06.</w:t>
      </w:r>
    </w:p>
    <w:p>
      <w:r>
        <w:rPr>
          <w:rFonts w:ascii="Times New Roman" w:hAnsi="Times New Roman"/>
          <w:b w:val="0"/>
          <w:i w:val="0"/>
          <w:u w:val="none"/>
        </w:rPr>
        <w:t xml:space="preserve">Y el numeral 4 exige los formatos 1 o 2 de situación de control </w:t>
      </w:r>
      <w:r>
        <w:rPr>
          <w:rFonts w:ascii="Times New Roman" w:hAnsi="Times New Roman"/>
          <w:b/>
          <w:i w:val="0"/>
          <w:u w:val="none"/>
        </w:rPr>
        <w:t>solo</w:t>
      </w:r>
      <w:r>
        <w:rPr>
          <w:rFonts w:ascii="Times New Roman" w:hAnsi="Times New Roman"/>
          <w:b w:val="0"/>
          <w:i w:val="0"/>
          <w:u w:val="none"/>
        </w:rPr>
        <w:t xml:space="preserve"> para la S.A.S. constituida por accionista único persona natural, so pena de que no proceda la inscripción. NOVA BIENESTAR INTEGRAL S.A.S. se constituye con dos accionistas, de modo que no aplica. Conviene tenerlo presente para la sustentación: es un requisito cuya omisión impide el registro, y saber por qué no aplica vale tanto como saber cumplirlo.</w:t>
      </w:r>
    </w:p>
    <w:p>
      <w:pPr>
        <w:keepNext/>
        <w:spacing w:before="320" w:after="160"/>
        <w:jc w:val="center"/>
      </w:pPr>
      <w:r>
        <w:rPr>
          <w:rFonts w:ascii="Times New Roman" w:hAnsi="Times New Roman"/>
          <w:b/>
          <w:i w:val="0"/>
          <w:sz w:val="24"/>
          <w:u w:val="none"/>
        </w:rPr>
        <w:t>III. INVENTARIO DEL EXPEDIENTE</w:t>
      </w:r>
    </w:p>
    <w:tbl>
      <w:tblPr>
        <w:tblStyle w:val="TableGrid"/>
        <w:tblW w:type="auto" w:w="0"/>
        <w:jc w:val="center"/>
        <w:tblLayout w:type="fixed"/>
        <w:tblLook w:firstColumn="1" w:firstRow="1" w:lastColumn="0" w:lastRow="0" w:noHBand="0" w:noVBand="1" w:val="04A0"/>
        <w:tblW w:w="9122" w:type="dxa"/>
        <w:tblLayout w:type="fixed"/>
      </w:tblPr>
      <w:tblGrid>
        <w:gridCol w:w="547"/>
        <w:gridCol w:w="3649"/>
        <w:gridCol w:w="1095"/>
        <w:gridCol w:w="3831"/>
      </w:tblGrid>
      <w:tr>
        <w:tc>
          <w:tcPr>
            <w:tcW w:type="dxa" w:w="547"/>
            <w:shd w:val="clear" w:color="auto" w:fill="D9D9D9"/>
          </w:tcPr>
          <w:p>
            <w:pPr>
              <w:spacing w:after="40" w:before="40" w:line="240" w:lineRule="auto"/>
              <w:jc w:val="center"/>
            </w:pPr>
            <w:r>
              <w:rPr>
                <w:rFonts w:ascii="Times New Roman" w:hAnsi="Times New Roman"/>
                <w:b/>
                <w:i w:val="0"/>
                <w:sz w:val="20"/>
                <w:u w:val="none"/>
              </w:rPr>
              <w:t>N.º</w:t>
            </w:r>
          </w:p>
        </w:tc>
        <w:tc>
          <w:tcPr>
            <w:tcW w:type="dxa" w:w="3649"/>
            <w:shd w:val="clear" w:color="auto" w:fill="D9D9D9"/>
          </w:tcPr>
          <w:p>
            <w:pPr>
              <w:spacing w:after="40" w:before="40" w:line="240" w:lineRule="auto"/>
              <w:jc w:val="center"/>
            </w:pPr>
            <w:r>
              <w:rPr>
                <w:rFonts w:ascii="Times New Roman" w:hAnsi="Times New Roman"/>
                <w:b/>
                <w:i w:val="0"/>
                <w:sz w:val="20"/>
                <w:u w:val="none"/>
              </w:rPr>
              <w:t>Documento</w:t>
            </w:r>
          </w:p>
        </w:tc>
        <w:tc>
          <w:tcPr>
            <w:tcW w:type="dxa" w:w="1095"/>
            <w:shd w:val="clear" w:color="auto" w:fill="D9D9D9"/>
          </w:tcPr>
          <w:p>
            <w:pPr>
              <w:spacing w:after="40" w:before="40" w:line="240" w:lineRule="auto"/>
              <w:jc w:val="center"/>
            </w:pPr>
            <w:r>
              <w:rPr>
                <w:rFonts w:ascii="Times New Roman" w:hAnsi="Times New Roman"/>
                <w:b/>
                <w:i w:val="0"/>
                <w:sz w:val="20"/>
                <w:u w:val="none"/>
              </w:rPr>
              <w:t>Págs.</w:t>
            </w:r>
          </w:p>
        </w:tc>
        <w:tc>
          <w:tcPr>
            <w:tcW w:type="dxa" w:w="3831"/>
            <w:shd w:val="clear" w:color="auto" w:fill="D9D9D9"/>
          </w:tcPr>
          <w:p>
            <w:pPr>
              <w:spacing w:after="40" w:before="40" w:line="240" w:lineRule="auto"/>
              <w:jc w:val="center"/>
            </w:pPr>
            <w:r>
              <w:rPr>
                <w:rFonts w:ascii="Times New Roman" w:hAnsi="Times New Roman"/>
                <w:b/>
                <w:i w:val="0"/>
                <w:sz w:val="20"/>
                <w:u w:val="none"/>
              </w:rPr>
              <w:t>Naturaleza</w:t>
            </w:r>
          </w:p>
        </w:tc>
      </w:tr>
      <w:tr>
        <w:tc>
          <w:tcPr>
            <w:tcW w:type="dxa" w:w="547"/>
          </w:tcPr>
          <w:p>
            <w:pPr>
              <w:spacing w:after="40" w:before="40" w:line="240" w:lineRule="auto"/>
              <w:jc w:val="left"/>
            </w:pPr>
            <w:r>
              <w:rPr>
                <w:rFonts w:ascii="Times New Roman" w:hAnsi="Times New Roman"/>
                <w:b w:val="0"/>
                <w:i w:val="0"/>
                <w:sz w:val="20"/>
                <w:u w:val="none"/>
              </w:rPr>
              <w:t>01</w:t>
            </w:r>
          </w:p>
        </w:tc>
        <w:tc>
          <w:tcPr>
            <w:tcW w:type="dxa" w:w="3649"/>
          </w:tcPr>
          <w:p>
            <w:pPr>
              <w:spacing w:after="40" w:before="40" w:line="240" w:lineRule="auto"/>
              <w:jc w:val="left"/>
            </w:pPr>
            <w:r>
              <w:rPr>
                <w:rFonts w:ascii="Times New Roman" w:hAnsi="Times New Roman"/>
                <w:b w:val="0"/>
                <w:i w:val="0"/>
                <w:sz w:val="20"/>
                <w:u w:val="none"/>
              </w:rPr>
              <w:t>Documento privado de constitución (estatutos)</w:t>
            </w:r>
          </w:p>
        </w:tc>
        <w:tc>
          <w:tcPr>
            <w:tcW w:type="dxa" w:w="1095"/>
          </w:tcPr>
          <w:p>
            <w:pPr>
              <w:spacing w:after="40" w:before="40" w:line="240" w:lineRule="auto"/>
              <w:jc w:val="left"/>
            </w:pPr>
            <w:r>
              <w:rPr>
                <w:rFonts w:ascii="Times New Roman" w:hAnsi="Times New Roman"/>
                <w:b w:val="0"/>
                <w:i w:val="0"/>
                <w:sz w:val="20"/>
                <w:u w:val="none"/>
              </w:rPr>
              <w:t>22</w:t>
            </w:r>
          </w:p>
        </w:tc>
        <w:tc>
          <w:tcPr>
            <w:tcW w:type="dxa" w:w="3831"/>
          </w:tcPr>
          <w:p>
            <w:pPr>
              <w:spacing w:after="40" w:before="40" w:line="240" w:lineRule="auto"/>
              <w:jc w:val="left"/>
            </w:pPr>
            <w:r>
              <w:rPr>
                <w:rFonts w:ascii="Times New Roman" w:hAnsi="Times New Roman"/>
                <w:b w:val="0"/>
                <w:i w:val="0"/>
                <w:sz w:val="20"/>
                <w:u w:val="none"/>
              </w:rPr>
              <w:t>Acto constitutivo — se radica</w:t>
            </w:r>
          </w:p>
        </w:tc>
      </w:tr>
      <w:tr>
        <w:tc>
          <w:tcPr>
            <w:tcW w:type="dxa" w:w="547"/>
          </w:tcPr>
          <w:p>
            <w:pPr>
              <w:spacing w:after="40" w:before="40" w:line="240" w:lineRule="auto"/>
              <w:jc w:val="left"/>
            </w:pPr>
            <w:r>
              <w:rPr>
                <w:rFonts w:ascii="Times New Roman" w:hAnsi="Times New Roman"/>
                <w:b w:val="0"/>
                <w:i w:val="0"/>
                <w:sz w:val="20"/>
                <w:u w:val="none"/>
              </w:rPr>
              <w:t>02</w:t>
            </w:r>
          </w:p>
        </w:tc>
        <w:tc>
          <w:tcPr>
            <w:tcW w:type="dxa" w:w="3649"/>
          </w:tcPr>
          <w:p>
            <w:pPr>
              <w:spacing w:after="40" w:before="40" w:line="240" w:lineRule="auto"/>
              <w:jc w:val="left"/>
            </w:pPr>
            <w:r>
              <w:rPr>
                <w:rFonts w:ascii="Times New Roman" w:hAnsi="Times New Roman"/>
                <w:b w:val="0"/>
                <w:i w:val="0"/>
                <w:sz w:val="20"/>
                <w:u w:val="none"/>
              </w:rPr>
              <w:t>Cartas de aceptación de cargos</w:t>
            </w:r>
          </w:p>
        </w:tc>
        <w:tc>
          <w:tcPr>
            <w:tcW w:type="dxa" w:w="1095"/>
          </w:tcPr>
          <w:p>
            <w:pPr>
              <w:spacing w:after="40" w:before="40" w:line="240" w:lineRule="auto"/>
              <w:jc w:val="left"/>
            </w:pPr>
            <w:r>
              <w:rPr>
                <w:rFonts w:ascii="Times New Roman" w:hAnsi="Times New Roman"/>
                <w:b w:val="0"/>
                <w:i w:val="0"/>
                <w:sz w:val="20"/>
                <w:u w:val="none"/>
              </w:rPr>
              <w:t>4</w:t>
            </w:r>
          </w:p>
        </w:tc>
        <w:tc>
          <w:tcPr>
            <w:tcW w:type="dxa" w:w="3831"/>
          </w:tcPr>
          <w:p>
            <w:pPr>
              <w:spacing w:after="40" w:before="40" w:line="240" w:lineRule="auto"/>
              <w:jc w:val="left"/>
            </w:pPr>
            <w:r>
              <w:rPr>
                <w:rFonts w:ascii="Times New Roman" w:hAnsi="Times New Roman"/>
                <w:b w:val="0"/>
                <w:i w:val="0"/>
                <w:sz w:val="20"/>
                <w:u w:val="none"/>
              </w:rPr>
              <w:t>Anexo obligatorio — se radica</w:t>
            </w:r>
          </w:p>
        </w:tc>
      </w:tr>
      <w:tr>
        <w:tc>
          <w:tcPr>
            <w:tcW w:type="dxa" w:w="547"/>
          </w:tcPr>
          <w:p>
            <w:pPr>
              <w:spacing w:after="40" w:before="40" w:line="240" w:lineRule="auto"/>
              <w:jc w:val="left"/>
            </w:pPr>
            <w:r>
              <w:rPr>
                <w:rFonts w:ascii="Times New Roman" w:hAnsi="Times New Roman"/>
                <w:b w:val="0"/>
                <w:i w:val="0"/>
                <w:sz w:val="20"/>
                <w:u w:val="none"/>
              </w:rPr>
              <w:t>03</w:t>
            </w:r>
          </w:p>
        </w:tc>
        <w:tc>
          <w:tcPr>
            <w:tcW w:type="dxa" w:w="3649"/>
          </w:tcPr>
          <w:p>
            <w:pPr>
              <w:spacing w:after="40" w:before="40" w:line="240" w:lineRule="auto"/>
              <w:jc w:val="left"/>
            </w:pPr>
            <w:r>
              <w:rPr>
                <w:rFonts w:ascii="Times New Roman" w:hAnsi="Times New Roman"/>
                <w:b w:val="0"/>
                <w:i w:val="0"/>
                <w:sz w:val="20"/>
                <w:u w:val="none"/>
              </w:rPr>
              <w:t>Certificación de capital y declaración Ley 1780</w:t>
            </w:r>
          </w:p>
        </w:tc>
        <w:tc>
          <w:tcPr>
            <w:tcW w:type="dxa" w:w="1095"/>
          </w:tcPr>
          <w:p>
            <w:pPr>
              <w:spacing w:after="40" w:before="40" w:line="240" w:lineRule="auto"/>
              <w:jc w:val="left"/>
            </w:pPr>
            <w:r>
              <w:rPr>
                <w:rFonts w:ascii="Times New Roman" w:hAnsi="Times New Roman"/>
                <w:b w:val="0"/>
                <w:i w:val="0"/>
                <w:sz w:val="20"/>
                <w:u w:val="none"/>
              </w:rPr>
              <w:t>5</w:t>
            </w:r>
          </w:p>
        </w:tc>
        <w:tc>
          <w:tcPr>
            <w:tcW w:type="dxa" w:w="3831"/>
          </w:tcPr>
          <w:p>
            <w:pPr>
              <w:spacing w:after="40" w:before="40" w:line="240" w:lineRule="auto"/>
              <w:jc w:val="left"/>
            </w:pPr>
            <w:r>
              <w:rPr>
                <w:rFonts w:ascii="Times New Roman" w:hAnsi="Times New Roman"/>
                <w:b w:val="0"/>
                <w:i w:val="0"/>
                <w:sz w:val="20"/>
                <w:u w:val="none"/>
              </w:rPr>
              <w:t>Soporte — se radica</w:t>
            </w:r>
          </w:p>
        </w:tc>
      </w:tr>
      <w:tr>
        <w:tc>
          <w:tcPr>
            <w:tcW w:type="dxa" w:w="547"/>
          </w:tcPr>
          <w:p>
            <w:pPr>
              <w:spacing w:after="40" w:before="40" w:line="240" w:lineRule="auto"/>
              <w:jc w:val="left"/>
            </w:pPr>
            <w:r>
              <w:rPr>
                <w:rFonts w:ascii="Times New Roman" w:hAnsi="Times New Roman"/>
                <w:b w:val="0"/>
                <w:i w:val="0"/>
                <w:sz w:val="20"/>
                <w:u w:val="none"/>
              </w:rPr>
              <w:t>04</w:t>
            </w:r>
          </w:p>
        </w:tc>
        <w:tc>
          <w:tcPr>
            <w:tcW w:type="dxa" w:w="3649"/>
          </w:tcPr>
          <w:p>
            <w:pPr>
              <w:spacing w:after="40" w:before="40" w:line="240" w:lineRule="auto"/>
              <w:jc w:val="left"/>
            </w:pPr>
            <w:r>
              <w:rPr>
                <w:rFonts w:ascii="Times New Roman" w:hAnsi="Times New Roman"/>
                <w:b w:val="0"/>
                <w:i w:val="0"/>
                <w:sz w:val="20"/>
                <w:u w:val="none"/>
              </w:rPr>
              <w:t>Guía de formularios RUES y liquidación de derechos</w:t>
            </w:r>
          </w:p>
        </w:tc>
        <w:tc>
          <w:tcPr>
            <w:tcW w:type="dxa" w:w="1095"/>
          </w:tcPr>
          <w:p>
            <w:pPr>
              <w:spacing w:after="40" w:before="40" w:line="240" w:lineRule="auto"/>
              <w:jc w:val="left"/>
            </w:pPr>
            <w:r>
              <w:rPr>
                <w:rFonts w:ascii="Times New Roman" w:hAnsi="Times New Roman"/>
                <w:b w:val="0"/>
                <w:i w:val="0"/>
                <w:sz w:val="20"/>
                <w:u w:val="none"/>
              </w:rPr>
              <w:t>10</w:t>
            </w:r>
          </w:p>
        </w:tc>
        <w:tc>
          <w:tcPr>
            <w:tcW w:type="dxa" w:w="3831"/>
          </w:tcPr>
          <w:p>
            <w:pPr>
              <w:spacing w:after="40" w:before="40" w:line="240" w:lineRule="auto"/>
              <w:jc w:val="left"/>
            </w:pPr>
            <w:r>
              <w:rPr>
                <w:rFonts w:ascii="Times New Roman" w:hAnsi="Times New Roman"/>
                <w:b w:val="0"/>
                <w:i w:val="0"/>
                <w:sz w:val="20"/>
                <w:u w:val="none"/>
              </w:rPr>
              <w:t>Instrumento de trabajo</w:t>
            </w:r>
          </w:p>
        </w:tc>
      </w:tr>
      <w:tr>
        <w:tc>
          <w:tcPr>
            <w:tcW w:type="dxa" w:w="547"/>
          </w:tcPr>
          <w:p>
            <w:pPr>
              <w:spacing w:after="40" w:before="40" w:line="240" w:lineRule="auto"/>
              <w:jc w:val="left"/>
            </w:pPr>
            <w:r>
              <w:rPr>
                <w:rFonts w:ascii="Times New Roman" w:hAnsi="Times New Roman"/>
                <w:b w:val="0"/>
                <w:i w:val="0"/>
                <w:sz w:val="20"/>
                <w:u w:val="none"/>
              </w:rPr>
              <w:t>05</w:t>
            </w:r>
          </w:p>
        </w:tc>
        <w:tc>
          <w:tcPr>
            <w:tcW w:type="dxa" w:w="3649"/>
          </w:tcPr>
          <w:p>
            <w:pPr>
              <w:spacing w:after="40" w:before="40" w:line="240" w:lineRule="auto"/>
              <w:jc w:val="left"/>
            </w:pPr>
            <w:r>
              <w:rPr>
                <w:rFonts w:ascii="Times New Roman" w:hAnsi="Times New Roman"/>
                <w:b w:val="0"/>
                <w:i w:val="0"/>
                <w:sz w:val="20"/>
                <w:u w:val="none"/>
              </w:rPr>
              <w:t>Memorando jurídico justificativo</w:t>
            </w:r>
          </w:p>
        </w:tc>
        <w:tc>
          <w:tcPr>
            <w:tcW w:type="dxa" w:w="1095"/>
          </w:tcPr>
          <w:p>
            <w:pPr>
              <w:spacing w:after="40" w:before="40" w:line="240" w:lineRule="auto"/>
              <w:jc w:val="left"/>
            </w:pPr>
            <w:r>
              <w:rPr>
                <w:rFonts w:ascii="Times New Roman" w:hAnsi="Times New Roman"/>
                <w:b w:val="0"/>
                <w:i w:val="0"/>
                <w:sz w:val="20"/>
                <w:u w:val="none"/>
              </w:rPr>
              <w:t>23</w:t>
            </w:r>
          </w:p>
        </w:tc>
        <w:tc>
          <w:tcPr>
            <w:tcW w:type="dxa" w:w="3831"/>
          </w:tcPr>
          <w:p>
            <w:pPr>
              <w:spacing w:after="40" w:before="40" w:line="240" w:lineRule="auto"/>
              <w:jc w:val="left"/>
            </w:pPr>
            <w:r>
              <w:rPr>
                <w:rFonts w:ascii="Times New Roman" w:hAnsi="Times New Roman"/>
                <w:b w:val="0"/>
                <w:i w:val="0"/>
                <w:sz w:val="20"/>
                <w:u w:val="none"/>
              </w:rPr>
              <w:t>Sustentación académica</w:t>
            </w:r>
          </w:p>
        </w:tc>
      </w:tr>
      <w:tr>
        <w:tc>
          <w:tcPr>
            <w:tcW w:type="dxa" w:w="547"/>
          </w:tcPr>
          <w:p>
            <w:pPr>
              <w:spacing w:after="40" w:before="40" w:line="240" w:lineRule="auto"/>
              <w:jc w:val="left"/>
            </w:pPr>
            <w:r>
              <w:rPr>
                <w:rFonts w:ascii="Times New Roman" w:hAnsi="Times New Roman"/>
                <w:b w:val="0"/>
                <w:i w:val="0"/>
                <w:sz w:val="20"/>
                <w:u w:val="none"/>
              </w:rPr>
              <w:t>06</w:t>
            </w:r>
          </w:p>
        </w:tc>
        <w:tc>
          <w:tcPr>
            <w:tcW w:type="dxa" w:w="3649"/>
          </w:tcPr>
          <w:p>
            <w:pPr>
              <w:spacing w:after="40" w:before="40" w:line="240" w:lineRule="auto"/>
              <w:jc w:val="left"/>
            </w:pPr>
            <w:r>
              <w:rPr>
                <w:rFonts w:ascii="Times New Roman" w:hAnsi="Times New Roman"/>
                <w:b w:val="0"/>
                <w:i w:val="0"/>
                <w:sz w:val="20"/>
                <w:u w:val="none"/>
              </w:rPr>
              <w:t>Solicitud de inscripción de libros y libro de accionistas</w:t>
            </w:r>
          </w:p>
        </w:tc>
        <w:tc>
          <w:tcPr>
            <w:tcW w:type="dxa" w:w="1095"/>
          </w:tcPr>
          <w:p>
            <w:pPr>
              <w:spacing w:after="40" w:before="40" w:line="240" w:lineRule="auto"/>
              <w:jc w:val="left"/>
            </w:pPr>
            <w:r>
              <w:rPr>
                <w:rFonts w:ascii="Times New Roman" w:hAnsi="Times New Roman"/>
                <w:b w:val="0"/>
                <w:i w:val="0"/>
                <w:sz w:val="20"/>
                <w:u w:val="none"/>
              </w:rPr>
              <w:t>4</w:t>
            </w:r>
          </w:p>
        </w:tc>
        <w:tc>
          <w:tcPr>
            <w:tcW w:type="dxa" w:w="3831"/>
          </w:tcPr>
          <w:p>
            <w:pPr>
              <w:spacing w:after="40" w:before="40" w:line="240" w:lineRule="auto"/>
              <w:jc w:val="left"/>
            </w:pPr>
            <w:r>
              <w:rPr>
                <w:rFonts w:ascii="Times New Roman" w:hAnsi="Times New Roman"/>
                <w:b w:val="0"/>
                <w:i w:val="0"/>
                <w:sz w:val="20"/>
                <w:u w:val="none"/>
              </w:rPr>
              <w:t>Se radica y se conserva</w:t>
            </w:r>
          </w:p>
        </w:tc>
      </w:tr>
      <w:tr>
        <w:tc>
          <w:tcPr>
            <w:tcW w:type="dxa" w:w="547"/>
          </w:tcPr>
          <w:p>
            <w:pPr>
              <w:spacing w:after="40" w:before="40" w:line="240" w:lineRule="auto"/>
              <w:jc w:val="left"/>
            </w:pPr>
            <w:r>
              <w:rPr>
                <w:rFonts w:ascii="Times New Roman" w:hAnsi="Times New Roman"/>
                <w:b w:val="0"/>
                <w:i w:val="0"/>
                <w:sz w:val="20"/>
                <w:u w:val="none"/>
              </w:rPr>
              <w:t>07</w:t>
            </w:r>
          </w:p>
        </w:tc>
        <w:tc>
          <w:tcPr>
            <w:tcW w:type="dxa" w:w="3649"/>
          </w:tcPr>
          <w:p>
            <w:pPr>
              <w:spacing w:after="40" w:before="40" w:line="240" w:lineRule="auto"/>
              <w:jc w:val="left"/>
            </w:pPr>
            <w:r>
              <w:rPr>
                <w:rFonts w:ascii="Times New Roman" w:hAnsi="Times New Roman"/>
                <w:b w:val="0"/>
                <w:i w:val="0"/>
                <w:sz w:val="20"/>
                <w:u w:val="none"/>
              </w:rPr>
              <w:t>Formularios del RUES — hojas de transcripción</w:t>
            </w:r>
          </w:p>
        </w:tc>
        <w:tc>
          <w:tcPr>
            <w:tcW w:type="dxa" w:w="1095"/>
          </w:tcPr>
          <w:p>
            <w:pPr>
              <w:spacing w:after="40" w:before="40" w:line="240" w:lineRule="auto"/>
              <w:jc w:val="left"/>
            </w:pPr>
            <w:r>
              <w:rPr>
                <w:rFonts w:ascii="Times New Roman" w:hAnsi="Times New Roman"/>
                <w:b w:val="0"/>
                <w:i w:val="0"/>
                <w:sz w:val="20"/>
                <w:u w:val="none"/>
              </w:rPr>
              <w:t>11</w:t>
            </w:r>
          </w:p>
        </w:tc>
        <w:tc>
          <w:tcPr>
            <w:tcW w:type="dxa" w:w="3831"/>
          </w:tcPr>
          <w:p>
            <w:pPr>
              <w:spacing w:after="40" w:before="40" w:line="240" w:lineRule="auto"/>
              <w:jc w:val="left"/>
            </w:pPr>
            <w:r>
              <w:rPr>
                <w:rFonts w:ascii="Times New Roman" w:hAnsi="Times New Roman"/>
                <w:b w:val="0"/>
                <w:i w:val="0"/>
                <w:sz w:val="20"/>
                <w:u w:val="none"/>
              </w:rPr>
              <w:t>Instrumento de trabajo</w:t>
            </w:r>
          </w:p>
        </w:tc>
      </w:tr>
      <w:tr>
        <w:tc>
          <w:tcPr>
            <w:tcW w:type="dxa" w:w="547"/>
          </w:tcPr>
          <w:p>
            <w:pPr>
              <w:spacing w:after="40" w:before="40" w:line="240" w:lineRule="auto"/>
              <w:jc w:val="left"/>
            </w:pPr>
            <w:r>
              <w:rPr>
                <w:rFonts w:ascii="Times New Roman" w:hAnsi="Times New Roman"/>
                <w:b w:val="0"/>
                <w:i w:val="0"/>
                <w:sz w:val="20"/>
                <w:u w:val="none"/>
              </w:rPr>
              <w:t>08</w:t>
            </w:r>
          </w:p>
        </w:tc>
        <w:tc>
          <w:tcPr>
            <w:tcW w:type="dxa" w:w="3649"/>
          </w:tcPr>
          <w:p>
            <w:pPr>
              <w:spacing w:after="40" w:before="40" w:line="240" w:lineRule="auto"/>
              <w:jc w:val="left"/>
            </w:pPr>
            <w:r>
              <w:rPr>
                <w:rFonts w:ascii="Times New Roman" w:hAnsi="Times New Roman"/>
                <w:b w:val="0"/>
                <w:i w:val="0"/>
                <w:sz w:val="20"/>
                <w:u w:val="none"/>
              </w:rPr>
              <w:t>Formulario 001 del RUT — hoja de transcripción</w:t>
            </w:r>
          </w:p>
        </w:tc>
        <w:tc>
          <w:tcPr>
            <w:tcW w:type="dxa" w:w="1095"/>
          </w:tcPr>
          <w:p>
            <w:pPr>
              <w:spacing w:after="40" w:before="40" w:line="240" w:lineRule="auto"/>
              <w:jc w:val="left"/>
            </w:pPr>
            <w:r>
              <w:rPr>
                <w:rFonts w:ascii="Times New Roman" w:hAnsi="Times New Roman"/>
                <w:b w:val="0"/>
                <w:i w:val="0"/>
                <w:sz w:val="20"/>
                <w:u w:val="none"/>
              </w:rPr>
              <w:t>6</w:t>
            </w:r>
          </w:p>
        </w:tc>
        <w:tc>
          <w:tcPr>
            <w:tcW w:type="dxa" w:w="3831"/>
          </w:tcPr>
          <w:p>
            <w:pPr>
              <w:spacing w:after="40" w:before="40" w:line="240" w:lineRule="auto"/>
              <w:jc w:val="left"/>
            </w:pPr>
            <w:r>
              <w:rPr>
                <w:rFonts w:ascii="Times New Roman" w:hAnsi="Times New Roman"/>
                <w:b w:val="0"/>
                <w:i w:val="0"/>
                <w:sz w:val="20"/>
                <w:u w:val="none"/>
              </w:rPr>
              <w:t>Instrumento de trabajo</w:t>
            </w:r>
          </w:p>
        </w:tc>
      </w:tr>
      <w:tr>
        <w:tc>
          <w:tcPr>
            <w:tcW w:type="dxa" w:w="547"/>
          </w:tcPr>
          <w:p>
            <w:pPr>
              <w:spacing w:after="40" w:before="40" w:line="240" w:lineRule="auto"/>
              <w:jc w:val="left"/>
            </w:pPr>
            <w:r>
              <w:rPr>
                <w:rFonts w:ascii="Times New Roman" w:hAnsi="Times New Roman"/>
                <w:b w:val="0"/>
                <w:i w:val="0"/>
                <w:sz w:val="20"/>
                <w:u w:val="none"/>
              </w:rPr>
              <w:t>09</w:t>
            </w:r>
          </w:p>
        </w:tc>
        <w:tc>
          <w:tcPr>
            <w:tcW w:type="dxa" w:w="3649"/>
          </w:tcPr>
          <w:p>
            <w:pPr>
              <w:spacing w:after="40" w:before="40" w:line="240" w:lineRule="auto"/>
              <w:jc w:val="left"/>
            </w:pPr>
            <w:r>
              <w:rPr>
                <w:rFonts w:ascii="Times New Roman" w:hAnsi="Times New Roman"/>
                <w:b w:val="0"/>
                <w:i w:val="0"/>
                <w:sz w:val="20"/>
                <w:u w:val="none"/>
              </w:rPr>
              <w:t>Títulos de acciones y comprobantes de aporte</w:t>
            </w:r>
          </w:p>
        </w:tc>
        <w:tc>
          <w:tcPr>
            <w:tcW w:type="dxa" w:w="1095"/>
          </w:tcPr>
          <w:p>
            <w:pPr>
              <w:spacing w:after="40" w:before="40" w:line="240" w:lineRule="auto"/>
              <w:jc w:val="left"/>
            </w:pPr>
            <w:r>
              <w:rPr>
                <w:rFonts w:ascii="Times New Roman" w:hAnsi="Times New Roman"/>
                <w:b w:val="0"/>
                <w:i w:val="0"/>
                <w:sz w:val="20"/>
                <w:u w:val="none"/>
              </w:rPr>
              <w:t>6</w:t>
            </w:r>
          </w:p>
        </w:tc>
        <w:tc>
          <w:tcPr>
            <w:tcW w:type="dxa" w:w="3831"/>
          </w:tcPr>
          <w:p>
            <w:pPr>
              <w:spacing w:after="40" w:before="40" w:line="240" w:lineRule="auto"/>
              <w:jc w:val="left"/>
            </w:pPr>
            <w:r>
              <w:rPr>
                <w:rFonts w:ascii="Times New Roman" w:hAnsi="Times New Roman"/>
                <w:b w:val="0"/>
                <w:i w:val="0"/>
                <w:sz w:val="20"/>
                <w:u w:val="none"/>
              </w:rPr>
              <w:t>Se expide tras la matrícula</w:t>
            </w:r>
          </w:p>
        </w:tc>
      </w:tr>
      <w:tr>
        <w:tc>
          <w:tcPr>
            <w:tcW w:type="dxa" w:w="547"/>
          </w:tcPr>
          <w:p>
            <w:pPr>
              <w:spacing w:after="40" w:before="40" w:line="240" w:lineRule="auto"/>
              <w:jc w:val="left"/>
            </w:pPr>
            <w:r>
              <w:rPr>
                <w:rFonts w:ascii="Times New Roman" w:hAnsi="Times New Roman"/>
                <w:b w:val="0"/>
                <w:i w:val="0"/>
                <w:sz w:val="20"/>
                <w:u w:val="none"/>
              </w:rPr>
              <w:t>10</w:t>
            </w:r>
          </w:p>
        </w:tc>
        <w:tc>
          <w:tcPr>
            <w:tcW w:type="dxa" w:w="3649"/>
          </w:tcPr>
          <w:p>
            <w:pPr>
              <w:spacing w:after="40" w:before="40" w:line="240" w:lineRule="auto"/>
              <w:jc w:val="left"/>
            </w:pPr>
            <w:r>
              <w:rPr>
                <w:rFonts w:ascii="Times New Roman" w:hAnsi="Times New Roman"/>
                <w:b w:val="0"/>
                <w:i w:val="0"/>
                <w:sz w:val="20"/>
                <w:u w:val="none"/>
              </w:rPr>
              <w:t>Presentación personal, reconocimiento notarial y poder</w:t>
            </w:r>
          </w:p>
        </w:tc>
        <w:tc>
          <w:tcPr>
            <w:tcW w:type="dxa" w:w="1095"/>
          </w:tcPr>
          <w:p>
            <w:pPr>
              <w:spacing w:after="40" w:before="40" w:line="240" w:lineRule="auto"/>
              <w:jc w:val="left"/>
            </w:pPr>
            <w:r>
              <w:rPr>
                <w:rFonts w:ascii="Times New Roman" w:hAnsi="Times New Roman"/>
                <w:b w:val="0"/>
                <w:i w:val="0"/>
                <w:sz w:val="20"/>
                <w:u w:val="none"/>
              </w:rPr>
              <w:t>6</w:t>
            </w:r>
          </w:p>
        </w:tc>
        <w:tc>
          <w:tcPr>
            <w:tcW w:type="dxa" w:w="3831"/>
          </w:tcPr>
          <w:p>
            <w:pPr>
              <w:spacing w:after="40" w:before="40" w:line="240" w:lineRule="auto"/>
              <w:jc w:val="left"/>
            </w:pPr>
            <w:r>
              <w:rPr>
                <w:rFonts w:ascii="Times New Roman" w:hAnsi="Times New Roman"/>
                <w:b w:val="0"/>
                <w:i w:val="0"/>
                <w:sz w:val="20"/>
                <w:u w:val="none"/>
              </w:rPr>
              <w:t>Se radica / se otorga</w:t>
            </w:r>
          </w:p>
        </w:tc>
      </w:tr>
      <w:tr>
        <w:tc>
          <w:tcPr>
            <w:tcW w:type="dxa" w:w="547"/>
          </w:tcPr>
          <w:p>
            <w:pPr>
              <w:spacing w:after="40" w:before="40" w:line="240" w:lineRule="auto"/>
              <w:jc w:val="left"/>
            </w:pPr>
            <w:r>
              <w:rPr>
                <w:rFonts w:ascii="Times New Roman" w:hAnsi="Times New Roman"/>
                <w:b w:val="0"/>
                <w:i w:val="0"/>
                <w:sz w:val="20"/>
                <w:u w:val="none"/>
              </w:rPr>
              <w:t>11</w:t>
            </w:r>
          </w:p>
        </w:tc>
        <w:tc>
          <w:tcPr>
            <w:tcW w:type="dxa" w:w="3649"/>
          </w:tcPr>
          <w:p>
            <w:pPr>
              <w:spacing w:after="40" w:before="40" w:line="240" w:lineRule="auto"/>
              <w:jc w:val="left"/>
            </w:pPr>
            <w:r>
              <w:rPr>
                <w:rFonts w:ascii="Times New Roman" w:hAnsi="Times New Roman"/>
                <w:b w:val="0"/>
                <w:i w:val="0"/>
                <w:sz w:val="20"/>
                <w:u w:val="none"/>
              </w:rPr>
              <w:t>Impuesto de registro y planilla de radicación</w:t>
            </w:r>
          </w:p>
        </w:tc>
        <w:tc>
          <w:tcPr>
            <w:tcW w:type="dxa" w:w="1095"/>
          </w:tcPr>
          <w:p>
            <w:pPr>
              <w:spacing w:after="40" w:before="40" w:line="240" w:lineRule="auto"/>
              <w:jc w:val="left"/>
            </w:pPr>
            <w:r>
              <w:rPr>
                <w:rFonts w:ascii="Times New Roman" w:hAnsi="Times New Roman"/>
                <w:b w:val="0"/>
                <w:i w:val="0"/>
                <w:sz w:val="20"/>
                <w:u w:val="none"/>
              </w:rPr>
              <w:t>6</w:t>
            </w:r>
          </w:p>
        </w:tc>
        <w:tc>
          <w:tcPr>
            <w:tcW w:type="dxa" w:w="3831"/>
          </w:tcPr>
          <w:p>
            <w:pPr>
              <w:spacing w:after="40" w:before="40" w:line="240" w:lineRule="auto"/>
              <w:jc w:val="left"/>
            </w:pPr>
            <w:r>
              <w:rPr>
                <w:rFonts w:ascii="Times New Roman" w:hAnsi="Times New Roman"/>
                <w:b w:val="0"/>
                <w:i w:val="0"/>
                <w:sz w:val="20"/>
                <w:u w:val="none"/>
              </w:rPr>
              <w:t>Instrumento de trabajo</w:t>
            </w:r>
          </w:p>
        </w:tc>
      </w:tr>
      <w:tr>
        <w:tc>
          <w:tcPr>
            <w:tcW w:type="dxa" w:w="547"/>
          </w:tcPr>
          <w:p>
            <w:pPr>
              <w:spacing w:after="40" w:before="40" w:line="240" w:lineRule="auto"/>
              <w:jc w:val="left"/>
            </w:pPr>
            <w:r>
              <w:rPr>
                <w:rFonts w:ascii="Times New Roman" w:hAnsi="Times New Roman"/>
                <w:b w:val="0"/>
                <w:i w:val="0"/>
                <w:sz w:val="20"/>
                <w:u w:val="none"/>
              </w:rPr>
              <w:t>12</w:t>
            </w:r>
          </w:p>
        </w:tc>
        <w:tc>
          <w:tcPr>
            <w:tcW w:type="dxa" w:w="3649"/>
          </w:tcPr>
          <w:p>
            <w:pPr>
              <w:spacing w:after="40" w:before="40" w:line="240" w:lineRule="auto"/>
              <w:jc w:val="left"/>
            </w:pPr>
            <w:r>
              <w:rPr>
                <w:rFonts w:ascii="Times New Roman" w:hAnsi="Times New Roman"/>
                <w:b w:val="0"/>
                <w:i w:val="0"/>
                <w:sz w:val="20"/>
                <w:u w:val="none"/>
              </w:rPr>
              <w:t>Acta n.º 1 de la asamblea general de accionistas</w:t>
            </w:r>
          </w:p>
        </w:tc>
        <w:tc>
          <w:tcPr>
            <w:tcW w:type="dxa" w:w="1095"/>
          </w:tcPr>
          <w:p>
            <w:pPr>
              <w:spacing w:after="40" w:before="40" w:line="240" w:lineRule="auto"/>
              <w:jc w:val="left"/>
            </w:pPr>
            <w:r>
              <w:rPr>
                <w:rFonts w:ascii="Times New Roman" w:hAnsi="Times New Roman"/>
                <w:b w:val="0"/>
                <w:i w:val="0"/>
                <w:sz w:val="20"/>
                <w:u w:val="none"/>
              </w:rPr>
              <w:t>6</w:t>
            </w:r>
          </w:p>
        </w:tc>
        <w:tc>
          <w:tcPr>
            <w:tcW w:type="dxa" w:w="3831"/>
          </w:tcPr>
          <w:p>
            <w:pPr>
              <w:spacing w:after="40" w:before="40" w:line="240" w:lineRule="auto"/>
              <w:jc w:val="left"/>
            </w:pPr>
            <w:r>
              <w:rPr>
                <w:rFonts w:ascii="Times New Roman" w:hAnsi="Times New Roman"/>
                <w:b w:val="0"/>
                <w:i w:val="0"/>
                <w:sz w:val="20"/>
                <w:u w:val="none"/>
              </w:rPr>
              <w:t>Se asienta en el libro</w:t>
            </w:r>
          </w:p>
        </w:tc>
      </w:tr>
      <w:tr>
        <w:tc>
          <w:tcPr>
            <w:tcW w:type="dxa" w:w="547"/>
          </w:tcPr>
          <w:p>
            <w:pPr>
              <w:spacing w:after="40" w:before="40" w:line="240" w:lineRule="auto"/>
              <w:jc w:val="left"/>
            </w:pPr>
            <w:r>
              <w:rPr>
                <w:rFonts w:ascii="Times New Roman" w:hAnsi="Times New Roman"/>
                <w:b w:val="0"/>
                <w:i w:val="0"/>
                <w:sz w:val="20"/>
                <w:u w:val="none"/>
              </w:rPr>
              <w:t>13</w:t>
            </w:r>
          </w:p>
        </w:tc>
        <w:tc>
          <w:tcPr>
            <w:tcW w:type="dxa" w:w="3649"/>
          </w:tcPr>
          <w:p>
            <w:pPr>
              <w:spacing w:after="40" w:before="40" w:line="240" w:lineRule="auto"/>
              <w:jc w:val="left"/>
            </w:pPr>
            <w:r>
              <w:rPr>
                <w:rFonts w:ascii="Times New Roman" w:hAnsi="Times New Roman"/>
                <w:b w:val="0"/>
                <w:i w:val="0"/>
                <w:sz w:val="20"/>
                <w:u w:val="none"/>
              </w:rPr>
              <w:t>Solicitudes ante otras entidades</w:t>
            </w:r>
          </w:p>
        </w:tc>
        <w:tc>
          <w:tcPr>
            <w:tcW w:type="dxa" w:w="1095"/>
          </w:tcPr>
          <w:p>
            <w:pPr>
              <w:spacing w:after="40" w:before="40" w:line="240" w:lineRule="auto"/>
              <w:jc w:val="left"/>
            </w:pPr>
            <w:r>
              <w:rPr>
                <w:rFonts w:ascii="Times New Roman" w:hAnsi="Times New Roman"/>
                <w:b w:val="0"/>
                <w:i w:val="0"/>
                <w:sz w:val="20"/>
                <w:u w:val="none"/>
              </w:rPr>
              <w:t>10</w:t>
            </w:r>
          </w:p>
        </w:tc>
        <w:tc>
          <w:tcPr>
            <w:tcW w:type="dxa" w:w="3831"/>
          </w:tcPr>
          <w:p>
            <w:pPr>
              <w:spacing w:after="40" w:before="40" w:line="240" w:lineRule="auto"/>
              <w:jc w:val="left"/>
            </w:pPr>
            <w:r>
              <w:rPr>
                <w:rFonts w:ascii="Times New Roman" w:hAnsi="Times New Roman"/>
                <w:b w:val="0"/>
                <w:i w:val="0"/>
                <w:sz w:val="20"/>
                <w:u w:val="none"/>
              </w:rPr>
              <w:t>Se radica ante cada entidad</w:t>
            </w:r>
          </w:p>
        </w:tc>
      </w:tr>
      <w:tr>
        <w:tc>
          <w:tcPr>
            <w:tcW w:type="dxa" w:w="547"/>
          </w:tcPr>
          <w:p>
            <w:pPr>
              <w:spacing w:after="40" w:before="40" w:line="240" w:lineRule="auto"/>
              <w:jc w:val="left"/>
            </w:pPr>
            <w:r>
              <w:rPr>
                <w:rFonts w:ascii="Times New Roman" w:hAnsi="Times New Roman"/>
                <w:b w:val="0"/>
                <w:i w:val="0"/>
                <w:sz w:val="20"/>
                <w:u w:val="none"/>
              </w:rPr>
              <w:t>14</w:t>
            </w:r>
          </w:p>
        </w:tc>
        <w:tc>
          <w:tcPr>
            <w:tcW w:type="dxa" w:w="3649"/>
          </w:tcPr>
          <w:p>
            <w:pPr>
              <w:spacing w:after="40" w:before="40" w:line="240" w:lineRule="auto"/>
              <w:jc w:val="left"/>
            </w:pPr>
            <w:r>
              <w:rPr>
                <w:rFonts w:ascii="Times New Roman" w:hAnsi="Times New Roman"/>
                <w:b w:val="0"/>
                <w:i w:val="0"/>
                <w:sz w:val="20"/>
                <w:u w:val="none"/>
              </w:rPr>
              <w:t>Memorando complementario</w:t>
            </w:r>
          </w:p>
        </w:tc>
        <w:tc>
          <w:tcPr>
            <w:tcW w:type="dxa" w:w="1095"/>
          </w:tcPr>
          <w:p>
            <w:pPr>
              <w:spacing w:after="40" w:before="40" w:line="240" w:lineRule="auto"/>
              <w:jc w:val="left"/>
            </w:pPr>
            <w:r>
              <w:rPr>
                <w:rFonts w:ascii="Times New Roman" w:hAnsi="Times New Roman"/>
                <w:b w:val="0"/>
                <w:i w:val="0"/>
                <w:sz w:val="20"/>
                <w:u w:val="none"/>
              </w:rPr>
              <w:t>7</w:t>
            </w:r>
          </w:p>
        </w:tc>
        <w:tc>
          <w:tcPr>
            <w:tcW w:type="dxa" w:w="3831"/>
          </w:tcPr>
          <w:p>
            <w:pPr>
              <w:spacing w:after="40" w:before="40" w:line="240" w:lineRule="auto"/>
              <w:jc w:val="left"/>
            </w:pPr>
            <w:r>
              <w:rPr>
                <w:rFonts w:ascii="Times New Roman" w:hAnsi="Times New Roman"/>
                <w:b w:val="0"/>
                <w:i w:val="0"/>
                <w:sz w:val="20"/>
                <w:u w:val="none"/>
              </w:rPr>
              <w:t>Sustentación académica</w:t>
            </w:r>
          </w:p>
        </w:tc>
      </w:tr>
      <w:tr>
        <w:tc>
          <w:tcPr>
            <w:tcW w:type="dxa" w:w="547"/>
          </w:tcPr>
          <w:p>
            <w:pPr>
              <w:spacing w:after="40" w:before="40" w:line="240" w:lineRule="auto"/>
              <w:jc w:val="left"/>
            </w:pPr>
            <w:r>
              <w:rPr>
                <w:rFonts w:ascii="Times New Roman" w:hAnsi="Times New Roman"/>
                <w:b w:val="0"/>
                <w:i w:val="0"/>
                <w:sz w:val="20"/>
                <w:u w:val="none"/>
              </w:rPr>
              <w:t>15</w:t>
            </w:r>
          </w:p>
        </w:tc>
        <w:tc>
          <w:tcPr>
            <w:tcW w:type="dxa" w:w="3649"/>
          </w:tcPr>
          <w:p>
            <w:pPr>
              <w:spacing w:after="40" w:before="40" w:line="240" w:lineRule="auto"/>
              <w:jc w:val="left"/>
            </w:pPr>
            <w:r>
              <w:rPr>
                <w:rFonts w:ascii="Times New Roman" w:hAnsi="Times New Roman"/>
                <w:b w:val="0"/>
                <w:i w:val="0"/>
                <w:sz w:val="20"/>
                <w:u w:val="none"/>
              </w:rPr>
              <w:t>Este informe final</w:t>
            </w:r>
          </w:p>
        </w:tc>
        <w:tc>
          <w:tcPr>
            <w:tcW w:type="dxa" w:w="1095"/>
          </w:tcPr>
          <w:p>
            <w:pPr>
              <w:spacing w:after="40" w:before="40" w:line="240" w:lineRule="auto"/>
              <w:jc w:val="left"/>
            </w:pPr>
            <w:r>
              <w:rPr>
                <w:rFonts w:ascii="Times New Roman" w:hAnsi="Times New Roman"/>
                <w:b w:val="0"/>
                <w:i w:val="0"/>
                <w:sz w:val="20"/>
                <w:u w:val="none"/>
              </w:rPr>
              <w:t>12</w:t>
            </w:r>
          </w:p>
        </w:tc>
        <w:tc>
          <w:tcPr>
            <w:tcW w:type="dxa" w:w="3831"/>
          </w:tcPr>
          <w:p>
            <w:pPr>
              <w:spacing w:after="40" w:before="40" w:line="240" w:lineRule="auto"/>
              <w:jc w:val="left"/>
            </w:pPr>
            <w:r>
              <w:rPr>
                <w:rFonts w:ascii="Times New Roman" w:hAnsi="Times New Roman"/>
                <w:b w:val="0"/>
                <w:i w:val="0"/>
                <w:sz w:val="20"/>
                <w:u w:val="none"/>
              </w:rPr>
              <w:t>Auditoría y estado</w:t>
            </w:r>
          </w:p>
        </w:tc>
      </w:tr>
      <w:tr>
        <w:tc>
          <w:tcPr>
            <w:tcW w:type="dxa" w:w="547"/>
          </w:tcPr>
          <w:p>
            <w:pPr>
              <w:spacing w:after="40" w:before="40" w:line="240" w:lineRule="auto"/>
              <w:jc w:val="left"/>
            </w:pPr>
            <w:r>
              <w:rPr>
                <w:rFonts w:ascii="Times New Roman" w:hAnsi="Times New Roman"/>
                <w:b w:val="0"/>
                <w:i w:val="0"/>
                <w:sz w:val="20"/>
                <w:u w:val="none"/>
              </w:rPr>
              <w:t>16</w:t>
            </w:r>
          </w:p>
        </w:tc>
        <w:tc>
          <w:tcPr>
            <w:tcW w:type="dxa" w:w="3649"/>
          </w:tcPr>
          <w:p>
            <w:pPr>
              <w:spacing w:after="40" w:before="40" w:line="240" w:lineRule="auto"/>
              <w:jc w:val="left"/>
            </w:pPr>
            <w:r>
              <w:rPr>
                <w:rFonts w:ascii="Times New Roman" w:hAnsi="Times New Roman"/>
                <w:b w:val="0"/>
                <w:i w:val="0"/>
                <w:sz w:val="20"/>
                <w:u w:val="none"/>
              </w:rPr>
              <w:t>Manifestación de desarrollo de emprendimientos sociales</w:t>
            </w:r>
          </w:p>
        </w:tc>
        <w:tc>
          <w:tcPr>
            <w:tcW w:type="dxa" w:w="1095"/>
          </w:tcPr>
          <w:p>
            <w:pPr>
              <w:spacing w:after="40" w:before="40" w:line="240" w:lineRule="auto"/>
              <w:jc w:val="left"/>
            </w:pPr>
            <w:r>
              <w:rPr>
                <w:rFonts w:ascii="Times New Roman" w:hAnsi="Times New Roman"/>
                <w:b w:val="0"/>
                <w:i w:val="0"/>
                <w:sz w:val="20"/>
                <w:u w:val="none"/>
              </w:rPr>
              <w:t>3</w:t>
            </w:r>
          </w:p>
        </w:tc>
        <w:tc>
          <w:tcPr>
            <w:tcW w:type="dxa" w:w="3831"/>
          </w:tcPr>
          <w:p>
            <w:pPr>
              <w:spacing w:after="40" w:before="40" w:line="240" w:lineRule="auto"/>
              <w:jc w:val="left"/>
            </w:pPr>
            <w:r>
              <w:rPr>
                <w:rFonts w:ascii="Times New Roman" w:hAnsi="Times New Roman"/>
                <w:b w:val="0"/>
                <w:i w:val="0"/>
                <w:sz w:val="20"/>
                <w:u w:val="none"/>
              </w:rPr>
              <w:t>Se radica — exigido por la lista de chequeo</w:t>
            </w:r>
          </w:p>
        </w:tc>
      </w:tr>
    </w:tbl>
    <w:p>
      <w:pPr>
        <w:spacing w:after="80"/>
      </w:pPr>
    </w:p>
    <w:p>
      <w:r>
        <w:rPr>
          <w:rFonts w:ascii="Times New Roman" w:hAnsi="Times New Roman"/>
          <w:b/>
          <w:i w:val="0"/>
          <w:u w:val="none"/>
        </w:rPr>
        <w:t>Lo que efectivamente se radica en la Cámara de Comercio</w:t>
      </w:r>
      <w:r>
        <w:rPr>
          <w:rFonts w:ascii="Times New Roman" w:hAnsi="Times New Roman"/>
          <w:b w:val="0"/>
          <w:i w:val="0"/>
          <w:u w:val="none"/>
        </w:rPr>
        <w:t xml:space="preserve"> son los documentos 01, 02, 03, 06, 10 y 16, acompañados de los formularios oficiales y del comprobante del impuesto de registro. Los documentos 04, 07, 08 y 11 son instrumentos de trabajo que no se entregan: sirven para diligenciar sin errores. Los documentos 05, 14 y 15 son la sustentación del ejercicio académico.</w:t>
      </w:r>
    </w:p>
    <w:p>
      <w:pPr>
        <w:keepNext/>
        <w:spacing w:before="320" w:after="160"/>
        <w:jc w:val="center"/>
      </w:pPr>
      <w:r>
        <w:rPr>
          <w:rFonts w:ascii="Times New Roman" w:hAnsi="Times New Roman"/>
          <w:b/>
          <w:i w:val="0"/>
          <w:sz w:val="24"/>
          <w:u w:val="none"/>
        </w:rPr>
        <w:t>IV. QUÉ FALTA Y DÓNDE CONSEGUIRLO</w:t>
      </w:r>
    </w:p>
    <w:p>
      <w:pPr>
        <w:keepNext/>
        <w:spacing w:before="240" w:after="80"/>
        <w:jc w:val="left"/>
      </w:pPr>
      <w:r>
        <w:rPr>
          <w:rFonts w:ascii="Times New Roman" w:hAnsi="Times New Roman"/>
          <w:b/>
          <w:i w:val="0"/>
          <w:sz w:val="24"/>
          <w:u w:val="none"/>
        </w:rPr>
        <w:t>A. Formatos oficiales que no pueden elaborarse</w:t>
      </w:r>
    </w:p>
    <w:p>
      <w:r>
        <w:rPr>
          <w:rFonts w:ascii="Times New Roman" w:hAnsi="Times New Roman"/>
          <w:b w:val="0"/>
          <w:i w:val="0"/>
          <w:u w:val="none"/>
        </w:rPr>
        <w:t>Estos instrumentos solo existen en la versión que expide la entidad. Ninguna reproducción, por fiel que sea, se admite en ventanilla. Las hojas de transcripción de los documentos 07 y 08 fijan el valor de cada campo, pero no los sustituyen.</w:t>
      </w:r>
    </w:p>
    <w:tbl>
      <w:tblPr>
        <w:tblStyle w:val="TableGrid"/>
        <w:tblW w:type="auto" w:w="0"/>
        <w:jc w:val="center"/>
        <w:tblLayout w:type="fixed"/>
        <w:tblLook w:firstColumn="1" w:firstRow="1" w:lastColumn="0" w:lastRow="0" w:noHBand="0" w:noVBand="1" w:val="04A0"/>
        <w:tblW w:w="9122" w:type="dxa"/>
        <w:tblLayout w:type="fixed"/>
      </w:tblPr>
      <w:tblGrid>
        <w:gridCol w:w="2737"/>
        <w:gridCol w:w="3831"/>
        <w:gridCol w:w="2554"/>
      </w:tblGrid>
      <w:tr>
        <w:tc>
          <w:tcPr>
            <w:tcW w:type="dxa" w:w="2737"/>
            <w:shd w:val="clear" w:color="auto" w:fill="D9D9D9"/>
          </w:tcPr>
          <w:p>
            <w:pPr>
              <w:spacing w:after="40" w:before="40" w:line="240" w:lineRule="auto"/>
              <w:jc w:val="center"/>
            </w:pPr>
            <w:r>
              <w:rPr>
                <w:rFonts w:ascii="Times New Roman" w:hAnsi="Times New Roman"/>
                <w:b/>
                <w:i w:val="0"/>
                <w:sz w:val="20"/>
                <w:u w:val="none"/>
              </w:rPr>
              <w:t>Formato</w:t>
            </w:r>
          </w:p>
        </w:tc>
        <w:tc>
          <w:tcPr>
            <w:tcW w:type="dxa" w:w="3831"/>
            <w:shd w:val="clear" w:color="auto" w:fill="D9D9D9"/>
          </w:tcPr>
          <w:p>
            <w:pPr>
              <w:spacing w:after="40" w:before="40" w:line="240" w:lineRule="auto"/>
              <w:jc w:val="center"/>
            </w:pPr>
            <w:r>
              <w:rPr>
                <w:rFonts w:ascii="Times New Roman" w:hAnsi="Times New Roman"/>
                <w:b/>
                <w:i w:val="0"/>
                <w:sz w:val="20"/>
                <w:u w:val="none"/>
              </w:rPr>
              <w:t>Dónde se obtiene</w:t>
            </w:r>
          </w:p>
        </w:tc>
        <w:tc>
          <w:tcPr>
            <w:tcW w:type="dxa" w:w="2554"/>
            <w:shd w:val="clear" w:color="auto" w:fill="D9D9D9"/>
          </w:tcPr>
          <w:p>
            <w:pPr>
              <w:spacing w:after="40" w:before="40" w:line="240" w:lineRule="auto"/>
              <w:jc w:val="center"/>
            </w:pPr>
            <w:r>
              <w:rPr>
                <w:rFonts w:ascii="Times New Roman" w:hAnsi="Times New Roman"/>
                <w:b/>
                <w:i w:val="0"/>
                <w:sz w:val="20"/>
                <w:u w:val="none"/>
              </w:rPr>
              <w:t>Costo</w:t>
            </w:r>
          </w:p>
        </w:tc>
      </w:tr>
      <w:tr>
        <w:tc>
          <w:tcPr>
            <w:tcW w:type="dxa" w:w="2737"/>
          </w:tcPr>
          <w:p>
            <w:pPr>
              <w:spacing w:after="40" w:before="40" w:line="240" w:lineRule="auto"/>
              <w:jc w:val="left"/>
            </w:pPr>
            <w:r>
              <w:rPr>
                <w:rFonts w:ascii="Times New Roman" w:hAnsi="Times New Roman"/>
                <w:b w:val="0"/>
                <w:i w:val="0"/>
                <w:sz w:val="20"/>
                <w:u w:val="none"/>
              </w:rPr>
              <w:t>Carátula única empresarial (2 páginas)</w:t>
            </w:r>
          </w:p>
        </w:tc>
        <w:tc>
          <w:tcPr>
            <w:tcW w:type="dxa" w:w="3831"/>
          </w:tcPr>
          <w:p>
            <w:pPr>
              <w:spacing w:after="40" w:before="40" w:line="240" w:lineRule="auto"/>
              <w:jc w:val="left"/>
            </w:pPr>
            <w:r>
              <w:rPr>
                <w:rFonts w:ascii="Times New Roman" w:hAnsi="Times New Roman"/>
                <w:b w:val="0"/>
                <w:i w:val="0"/>
                <w:sz w:val="20"/>
                <w:u w:val="none"/>
              </w:rPr>
              <w:t>camaramedellin.com.co → servicios registrales → registro mercantil → «Formatos registro mercantil». Alternativa: rues.org.co → «Formatos CAE», archivo de Medellín</w:t>
            </w:r>
          </w:p>
        </w:tc>
        <w:tc>
          <w:tcPr>
            <w:tcW w:type="dxa" w:w="2554"/>
          </w:tcPr>
          <w:p>
            <w:pPr>
              <w:spacing w:after="40" w:before="40" w:line="240" w:lineRule="auto"/>
              <w:jc w:val="left"/>
            </w:pPr>
            <w:r>
              <w:rPr>
                <w:rFonts w:ascii="Times New Roman" w:hAnsi="Times New Roman"/>
                <w:b w:val="0"/>
                <w:i w:val="0"/>
                <w:sz w:val="20"/>
                <w:u w:val="none"/>
              </w:rPr>
              <w:t>Sin costo</w:t>
            </w:r>
          </w:p>
        </w:tc>
      </w:tr>
      <w:tr>
        <w:tc>
          <w:tcPr>
            <w:tcW w:type="dxa" w:w="2737"/>
          </w:tcPr>
          <w:p>
            <w:pPr>
              <w:spacing w:after="40" w:before="40" w:line="240" w:lineRule="auto"/>
              <w:jc w:val="left"/>
            </w:pPr>
            <w:r>
              <w:rPr>
                <w:rFonts w:ascii="Times New Roman" w:hAnsi="Times New Roman"/>
                <w:b w:val="0"/>
                <w:i w:val="0"/>
                <w:sz w:val="20"/>
                <w:u w:val="none"/>
              </w:rPr>
              <w:t>Anexo 1 — establecimientos de comercio, sucursales y agencias</w:t>
            </w:r>
          </w:p>
        </w:tc>
        <w:tc>
          <w:tcPr>
            <w:tcW w:type="dxa" w:w="3831"/>
          </w:tcPr>
          <w:p>
            <w:pPr>
              <w:spacing w:after="40" w:before="40" w:line="240" w:lineRule="auto"/>
              <w:jc w:val="left"/>
            </w:pPr>
            <w:r>
              <w:rPr>
                <w:rFonts w:ascii="Times New Roman" w:hAnsi="Times New Roman"/>
                <w:b w:val="0"/>
                <w:i w:val="0"/>
                <w:sz w:val="20"/>
                <w:u w:val="none"/>
              </w:rPr>
              <w:t>Mismo origen. Es el único anexo aplicable: el anexo 2 corresponde al Registro Único de Proponentes</w:t>
            </w:r>
          </w:p>
        </w:tc>
        <w:tc>
          <w:tcPr>
            <w:tcW w:type="dxa" w:w="2554"/>
          </w:tcPr>
          <w:p>
            <w:pPr>
              <w:spacing w:after="40" w:before="40" w:line="240" w:lineRule="auto"/>
              <w:jc w:val="left"/>
            </w:pPr>
            <w:r>
              <w:rPr>
                <w:rFonts w:ascii="Times New Roman" w:hAnsi="Times New Roman"/>
                <w:b w:val="0"/>
                <w:i w:val="0"/>
                <w:sz w:val="20"/>
                <w:u w:val="none"/>
              </w:rPr>
              <w:t>Sin costo</w:t>
            </w:r>
          </w:p>
        </w:tc>
      </w:tr>
      <w:tr>
        <w:tc>
          <w:tcPr>
            <w:tcW w:type="dxa" w:w="2737"/>
          </w:tcPr>
          <w:p>
            <w:pPr>
              <w:spacing w:after="40" w:before="40" w:line="240" w:lineRule="auto"/>
              <w:jc w:val="left"/>
            </w:pPr>
            <w:r>
              <w:rPr>
                <w:rFonts w:ascii="Times New Roman" w:hAnsi="Times New Roman"/>
                <w:b w:val="0"/>
                <w:i w:val="0"/>
                <w:sz w:val="20"/>
                <w:u w:val="none"/>
              </w:rPr>
              <w:t>(No existe anexo separado de persona jurídica)</w:t>
            </w:r>
          </w:p>
        </w:tc>
        <w:tc>
          <w:tcPr>
            <w:tcW w:type="dxa" w:w="3831"/>
          </w:tcPr>
          <w:p>
            <w:pPr>
              <w:spacing w:after="40" w:before="40" w:line="240" w:lineRule="auto"/>
              <w:jc w:val="left"/>
            </w:pPr>
            <w:r>
              <w:rPr>
                <w:rFonts w:ascii="Times New Roman" w:hAnsi="Times New Roman"/>
                <w:b w:val="0"/>
                <w:i w:val="0"/>
                <w:sz w:val="20"/>
                <w:u w:val="none"/>
              </w:rPr>
              <w:t>Los datos societarios van en la carátula y los toma la Cámara del documento privado de constitución</w:t>
            </w:r>
          </w:p>
        </w:tc>
        <w:tc>
          <w:tcPr>
            <w:tcW w:type="dxa" w:w="2554"/>
          </w:tcPr>
          <w:p>
            <w:pPr>
              <w:spacing w:after="40" w:before="40" w:line="240" w:lineRule="auto"/>
              <w:jc w:val="left"/>
            </w:pPr>
            <w:r>
              <w:rPr>
                <w:rFonts w:ascii="Times New Roman" w:hAnsi="Times New Roman"/>
                <w:b w:val="0"/>
                <w:i w:val="0"/>
                <w:sz w:val="20"/>
                <w:u w:val="none"/>
              </w:rPr>
              <w:t>—</w:t>
            </w:r>
          </w:p>
        </w:tc>
      </w:tr>
      <w:tr>
        <w:tc>
          <w:tcPr>
            <w:tcW w:type="dxa" w:w="2737"/>
          </w:tcPr>
          <w:p>
            <w:pPr>
              <w:spacing w:after="40" w:before="40" w:line="240" w:lineRule="auto"/>
              <w:jc w:val="left"/>
            </w:pPr>
            <w:r>
              <w:rPr>
                <w:rFonts w:ascii="Times New Roman" w:hAnsi="Times New Roman"/>
                <w:b w:val="0"/>
                <w:i w:val="0"/>
                <w:sz w:val="20"/>
                <w:u w:val="none"/>
              </w:rPr>
              <w:t>Formulario adicional de registro con otras entidades</w:t>
            </w:r>
          </w:p>
        </w:tc>
        <w:tc>
          <w:tcPr>
            <w:tcW w:type="dxa" w:w="3831"/>
          </w:tcPr>
          <w:p>
            <w:pPr>
              <w:spacing w:after="40" w:before="40" w:line="240" w:lineRule="auto"/>
              <w:jc w:val="left"/>
            </w:pPr>
            <w:r>
              <w:rPr>
                <w:rFonts w:ascii="Times New Roman" w:hAnsi="Times New Roman"/>
                <w:b w:val="0"/>
                <w:i w:val="0"/>
                <w:sz w:val="20"/>
                <w:u w:val="none"/>
              </w:rPr>
              <w:t>Taquilla de la Cámara o su sede virtual. Obligatorio porque el domicilio es Medellín</w:t>
            </w:r>
          </w:p>
        </w:tc>
        <w:tc>
          <w:tcPr>
            <w:tcW w:type="dxa" w:w="2554"/>
          </w:tcPr>
          <w:p>
            <w:pPr>
              <w:spacing w:after="40" w:before="40" w:line="240" w:lineRule="auto"/>
              <w:jc w:val="left"/>
            </w:pPr>
            <w:r>
              <w:rPr>
                <w:rFonts w:ascii="Times New Roman" w:hAnsi="Times New Roman"/>
                <w:b w:val="0"/>
                <w:i w:val="0"/>
                <w:sz w:val="20"/>
                <w:u w:val="none"/>
              </w:rPr>
              <w:t>Sin costo</w:t>
            </w:r>
          </w:p>
        </w:tc>
      </w:tr>
      <w:tr>
        <w:tc>
          <w:tcPr>
            <w:tcW w:type="dxa" w:w="2737"/>
          </w:tcPr>
          <w:p>
            <w:pPr>
              <w:spacing w:after="40" w:before="40" w:line="240" w:lineRule="auto"/>
              <w:jc w:val="left"/>
            </w:pPr>
            <w:r>
              <w:rPr>
                <w:rFonts w:ascii="Times New Roman" w:hAnsi="Times New Roman"/>
                <w:b w:val="0"/>
                <w:i w:val="0"/>
                <w:sz w:val="20"/>
                <w:u w:val="none"/>
              </w:rPr>
              <w:t>Formato de pequeña empresa joven (Ley 1780)</w:t>
            </w:r>
          </w:p>
        </w:tc>
        <w:tc>
          <w:tcPr>
            <w:tcW w:type="dxa" w:w="3831"/>
          </w:tcPr>
          <w:p>
            <w:pPr>
              <w:spacing w:after="40" w:before="40" w:line="240" w:lineRule="auto"/>
              <w:jc w:val="left"/>
            </w:pPr>
            <w:r>
              <w:rPr>
                <w:rFonts w:ascii="Times New Roman" w:hAnsi="Times New Roman"/>
                <w:b w:val="0"/>
                <w:i w:val="0"/>
                <w:sz w:val="20"/>
                <w:u w:val="none"/>
              </w:rPr>
              <w:t>Se entrega con el formulario RUES en taquilla, o se descarga del sitio web</w:t>
            </w:r>
          </w:p>
        </w:tc>
        <w:tc>
          <w:tcPr>
            <w:tcW w:type="dxa" w:w="2554"/>
          </w:tcPr>
          <w:p>
            <w:pPr>
              <w:spacing w:after="40" w:before="40" w:line="240" w:lineRule="auto"/>
              <w:jc w:val="left"/>
            </w:pPr>
            <w:r>
              <w:rPr>
                <w:rFonts w:ascii="Times New Roman" w:hAnsi="Times New Roman"/>
                <w:b w:val="0"/>
                <w:i w:val="0"/>
                <w:sz w:val="20"/>
                <w:u w:val="none"/>
              </w:rPr>
              <w:t>Sin costo</w:t>
            </w:r>
          </w:p>
        </w:tc>
      </w:tr>
      <w:tr>
        <w:tc>
          <w:tcPr>
            <w:tcW w:type="dxa" w:w="2737"/>
          </w:tcPr>
          <w:p>
            <w:pPr>
              <w:spacing w:after="40" w:before="40" w:line="240" w:lineRule="auto"/>
              <w:jc w:val="left"/>
            </w:pPr>
            <w:r>
              <w:rPr>
                <w:rFonts w:ascii="Times New Roman" w:hAnsi="Times New Roman"/>
                <w:b w:val="0"/>
                <w:i w:val="0"/>
                <w:sz w:val="20"/>
                <w:u w:val="none"/>
              </w:rPr>
              <w:t>Instructivo de diligenciamiento del formulario RUES</w:t>
            </w:r>
          </w:p>
        </w:tc>
        <w:tc>
          <w:tcPr>
            <w:tcW w:type="dxa" w:w="3831"/>
          </w:tcPr>
          <w:p>
            <w:pPr>
              <w:spacing w:after="40" w:before="40" w:line="240" w:lineRule="auto"/>
              <w:jc w:val="left"/>
            </w:pPr>
            <w:r>
              <w:rPr>
                <w:rFonts w:ascii="Times New Roman" w:hAnsi="Times New Roman"/>
                <w:b w:val="0"/>
                <w:i w:val="0"/>
                <w:sz w:val="20"/>
                <w:u w:val="none"/>
              </w:rPr>
              <w:t>Mismo sitio de la Cámara, junto a los formularios</w:t>
            </w:r>
          </w:p>
        </w:tc>
        <w:tc>
          <w:tcPr>
            <w:tcW w:type="dxa" w:w="2554"/>
          </w:tcPr>
          <w:p>
            <w:pPr>
              <w:spacing w:after="40" w:before="40" w:line="240" w:lineRule="auto"/>
              <w:jc w:val="left"/>
            </w:pPr>
            <w:r>
              <w:rPr>
                <w:rFonts w:ascii="Times New Roman" w:hAnsi="Times New Roman"/>
                <w:b w:val="0"/>
                <w:i w:val="0"/>
                <w:sz w:val="20"/>
                <w:u w:val="none"/>
              </w:rPr>
              <w:t>Sin costo</w:t>
            </w:r>
          </w:p>
        </w:tc>
      </w:tr>
      <w:tr>
        <w:tc>
          <w:tcPr>
            <w:tcW w:type="dxa" w:w="2737"/>
          </w:tcPr>
          <w:p>
            <w:pPr>
              <w:spacing w:after="40" w:before="40" w:line="240" w:lineRule="auto"/>
              <w:jc w:val="left"/>
            </w:pPr>
            <w:r>
              <w:rPr>
                <w:rFonts w:ascii="Times New Roman" w:hAnsi="Times New Roman"/>
                <w:b w:val="0"/>
                <w:i w:val="0"/>
                <w:sz w:val="20"/>
                <w:u w:val="none"/>
              </w:rPr>
              <w:t>Formulario 001 — Registro Único Tributario</w:t>
            </w:r>
          </w:p>
        </w:tc>
        <w:tc>
          <w:tcPr>
            <w:tcW w:type="dxa" w:w="3831"/>
          </w:tcPr>
          <w:p>
            <w:pPr>
              <w:spacing w:after="40" w:before="40" w:line="240" w:lineRule="auto"/>
              <w:jc w:val="left"/>
            </w:pPr>
            <w:r>
              <w:rPr>
                <w:rFonts w:ascii="Times New Roman" w:hAnsi="Times New Roman"/>
                <w:b w:val="0"/>
                <w:i w:val="0"/>
                <w:sz w:val="20"/>
                <w:u w:val="none"/>
              </w:rPr>
              <w:t xml:space="preserve">Portal transaccional de la DIAN, opción «inscripción en el RUT por Cámara de Comercio». </w:t>
            </w:r>
            <w:r>
              <w:rPr>
                <w:rFonts w:ascii="Times New Roman" w:hAnsi="Times New Roman"/>
                <w:b/>
                <w:i w:val="0"/>
                <w:sz w:val="20"/>
                <w:u w:val="none"/>
              </w:rPr>
              <w:t>No existe versión descargable en blanco</w:t>
            </w:r>
            <w:r>
              <w:rPr>
                <w:rFonts w:ascii="Times New Roman" w:hAnsi="Times New Roman"/>
                <w:b w:val="0"/>
                <w:i w:val="0"/>
                <w:sz w:val="20"/>
                <w:u w:val="none"/>
              </w:rPr>
              <w:t>: solo se diligencia en línea y el sistema genera el RUT provisional</w:t>
            </w:r>
          </w:p>
        </w:tc>
        <w:tc>
          <w:tcPr>
            <w:tcW w:type="dxa" w:w="2554"/>
          </w:tcPr>
          <w:p>
            <w:pPr>
              <w:spacing w:after="40" w:before="40" w:line="240" w:lineRule="auto"/>
              <w:jc w:val="left"/>
            </w:pPr>
            <w:r>
              <w:rPr>
                <w:rFonts w:ascii="Times New Roman" w:hAnsi="Times New Roman"/>
                <w:b w:val="0"/>
                <w:i w:val="0"/>
                <w:sz w:val="20"/>
                <w:u w:val="none"/>
              </w:rPr>
              <w:t>Sin costo</w:t>
            </w:r>
          </w:p>
        </w:tc>
      </w:tr>
      <w:tr>
        <w:tc>
          <w:tcPr>
            <w:tcW w:type="dxa" w:w="2737"/>
          </w:tcPr>
          <w:p>
            <w:pPr>
              <w:spacing w:after="40" w:before="40" w:line="240" w:lineRule="auto"/>
              <w:jc w:val="left"/>
            </w:pPr>
            <w:r>
              <w:rPr>
                <w:rFonts w:ascii="Times New Roman" w:hAnsi="Times New Roman"/>
                <w:b w:val="0"/>
                <w:i w:val="0"/>
                <w:sz w:val="20"/>
                <w:u w:val="none"/>
              </w:rPr>
              <w:t>Liquidación del impuesto de registro</w:t>
            </w:r>
          </w:p>
        </w:tc>
        <w:tc>
          <w:tcPr>
            <w:tcW w:type="dxa" w:w="3831"/>
          </w:tcPr>
          <w:p>
            <w:pPr>
              <w:spacing w:after="40" w:before="40" w:line="240" w:lineRule="auto"/>
              <w:jc w:val="left"/>
            </w:pPr>
            <w:r>
              <w:rPr>
                <w:rFonts w:ascii="Times New Roman" w:hAnsi="Times New Roman"/>
                <w:b w:val="0"/>
                <w:i w:val="0"/>
                <w:sz w:val="20"/>
                <w:u w:val="none"/>
              </w:rPr>
              <w:t>Portal tributario de la Gobernación de Antioquia, o liquidación practicada por la Cámara cuando opera el convenio de recaudo</w:t>
            </w:r>
          </w:p>
        </w:tc>
        <w:tc>
          <w:tcPr>
            <w:tcW w:type="dxa" w:w="2554"/>
          </w:tcPr>
          <w:p>
            <w:pPr>
              <w:spacing w:after="40" w:before="40" w:line="240" w:lineRule="auto"/>
              <w:jc w:val="left"/>
            </w:pPr>
            <w:r>
              <w:rPr>
                <w:rFonts w:ascii="Times New Roman" w:hAnsi="Times New Roman"/>
                <w:b w:val="0"/>
                <w:i w:val="0"/>
                <w:sz w:val="20"/>
                <w:u w:val="none"/>
              </w:rPr>
              <w:t>$4.200.000</w:t>
            </w:r>
          </w:p>
        </w:tc>
      </w:tr>
    </w:tbl>
    <w:p>
      <w:pPr>
        <w:spacing w:after="80"/>
      </w:pPr>
    </w:p>
    <w:p>
      <w:r>
        <w:rPr>
          <w:rFonts w:ascii="Times New Roman" w:hAnsi="Times New Roman"/>
          <w:b/>
          <w:i w:val="0"/>
          <w:u w:val="none"/>
        </w:rPr>
        <w:t>Alternativa que evita el papel.</w:t>
      </w:r>
      <w:r>
        <w:rPr>
          <w:rFonts w:ascii="Times New Roman" w:hAnsi="Times New Roman"/>
          <w:b w:val="0"/>
          <w:i w:val="0"/>
          <w:u w:val="none"/>
        </w:rPr>
        <w:t xml:space="preserve"> La </w:t>
      </w:r>
      <w:r>
        <w:rPr>
          <w:rFonts w:ascii="Times New Roman" w:hAnsi="Times New Roman"/>
          <w:b/>
          <w:i w:val="0"/>
          <w:u w:val="none"/>
        </w:rPr>
        <w:t>sede virtual de la Cámara de Comercio de Medellín para Antioquia</w:t>
      </w:r>
      <w:r>
        <w:rPr>
          <w:rFonts w:ascii="Times New Roman" w:hAnsi="Times New Roman"/>
          <w:b w:val="0"/>
          <w:i w:val="0"/>
          <w:u w:val="none"/>
        </w:rPr>
        <w:t xml:space="preserve"> permite adelantar el trámite completo en línea, con firma electrónica de los dos accionistas. En esa modalidad los formularios se diligencian en pantalla y no hay que descargar nada; las hojas de transcripción siguen sirviendo, porque los campos son los mismos.</w:t>
      </w:r>
    </w:p>
    <w:p>
      <w:pPr>
        <w:keepNext/>
        <w:spacing w:before="240" w:after="80"/>
        <w:jc w:val="left"/>
      </w:pPr>
      <w:r>
        <w:rPr>
          <w:rFonts w:ascii="Times New Roman" w:hAnsi="Times New Roman"/>
          <w:b/>
          <w:i w:val="0"/>
          <w:sz w:val="24"/>
          <w:u w:val="none"/>
        </w:rPr>
        <w:t>B. Consultas previas, gratuitas, que deben hacerse antes de radicar</w:t>
      </w:r>
    </w:p>
    <w:tbl>
      <w:tblPr>
        <w:tblStyle w:val="TableGrid"/>
        <w:tblW w:type="auto" w:w="0"/>
        <w:jc w:val="center"/>
        <w:tblLayout w:type="fixed"/>
        <w:tblLook w:firstColumn="1" w:firstRow="1" w:lastColumn="0" w:lastRow="0" w:noHBand="0" w:noVBand="1" w:val="04A0"/>
        <w:tblW w:w="9122" w:type="dxa"/>
        <w:tblLayout w:type="fixed"/>
      </w:tblPr>
      <w:tblGrid>
        <w:gridCol w:w="2737"/>
        <w:gridCol w:w="4105"/>
        <w:gridCol w:w="2280"/>
      </w:tblGrid>
      <w:tr>
        <w:tc>
          <w:tcPr>
            <w:tcW w:type="dxa" w:w="2737"/>
            <w:shd w:val="clear" w:color="auto" w:fill="D9D9D9"/>
          </w:tcPr>
          <w:p>
            <w:pPr>
              <w:spacing w:after="40" w:before="40" w:line="240" w:lineRule="auto"/>
              <w:jc w:val="center"/>
            </w:pPr>
            <w:r>
              <w:rPr>
                <w:rFonts w:ascii="Times New Roman" w:hAnsi="Times New Roman"/>
                <w:b/>
                <w:i w:val="0"/>
                <w:sz w:val="20"/>
                <w:u w:val="none"/>
              </w:rPr>
              <w:t>Consulta</w:t>
            </w:r>
          </w:p>
        </w:tc>
        <w:tc>
          <w:tcPr>
            <w:tcW w:type="dxa" w:w="4105"/>
            <w:shd w:val="clear" w:color="auto" w:fill="D9D9D9"/>
          </w:tcPr>
          <w:p>
            <w:pPr>
              <w:spacing w:after="40" w:before="40" w:line="240" w:lineRule="auto"/>
              <w:jc w:val="center"/>
            </w:pPr>
            <w:r>
              <w:rPr>
                <w:rFonts w:ascii="Times New Roman" w:hAnsi="Times New Roman"/>
                <w:b/>
                <w:i w:val="0"/>
                <w:sz w:val="20"/>
                <w:u w:val="none"/>
              </w:rPr>
              <w:t>Dónde</w:t>
            </w:r>
          </w:p>
        </w:tc>
        <w:tc>
          <w:tcPr>
            <w:tcW w:type="dxa" w:w="2280"/>
            <w:shd w:val="clear" w:color="auto" w:fill="D9D9D9"/>
          </w:tcPr>
          <w:p>
            <w:pPr>
              <w:spacing w:after="40" w:before="40" w:line="240" w:lineRule="auto"/>
              <w:jc w:val="center"/>
            </w:pPr>
            <w:r>
              <w:rPr>
                <w:rFonts w:ascii="Times New Roman" w:hAnsi="Times New Roman"/>
                <w:b/>
                <w:i w:val="0"/>
                <w:sz w:val="20"/>
                <w:u w:val="none"/>
              </w:rPr>
              <w:t>Para qué</w:t>
            </w:r>
          </w:p>
        </w:tc>
      </w:tr>
      <w:tr>
        <w:tc>
          <w:tcPr>
            <w:tcW w:type="dxa" w:w="2737"/>
          </w:tcPr>
          <w:p>
            <w:pPr>
              <w:spacing w:after="40" w:before="40" w:line="240" w:lineRule="auto"/>
              <w:jc w:val="left"/>
            </w:pPr>
            <w:r>
              <w:rPr>
                <w:rFonts w:ascii="Times New Roman" w:hAnsi="Times New Roman"/>
                <w:b w:val="0"/>
                <w:i w:val="0"/>
                <w:sz w:val="20"/>
                <w:u w:val="none"/>
              </w:rPr>
              <w:t>Homonimia de la denominación</w:t>
            </w:r>
          </w:p>
        </w:tc>
        <w:tc>
          <w:tcPr>
            <w:tcW w:type="dxa" w:w="4105"/>
          </w:tcPr>
          <w:p>
            <w:pPr>
              <w:spacing w:after="40" w:before="40" w:line="240" w:lineRule="auto"/>
              <w:jc w:val="left"/>
            </w:pPr>
            <w:r>
              <w:rPr>
                <w:rFonts w:ascii="Times New Roman" w:hAnsi="Times New Roman"/>
                <w:b w:val="0"/>
                <w:i w:val="0"/>
                <w:sz w:val="20"/>
                <w:u w:val="none"/>
              </w:rPr>
              <w:t>rues.org.co, consulta de nombre</w:t>
            </w:r>
          </w:p>
        </w:tc>
        <w:tc>
          <w:tcPr>
            <w:tcW w:type="dxa" w:w="2280"/>
          </w:tcPr>
          <w:p>
            <w:pPr>
              <w:spacing w:after="40" w:before="40" w:line="240" w:lineRule="auto"/>
              <w:jc w:val="left"/>
            </w:pPr>
            <w:r>
              <w:rPr>
                <w:rFonts w:ascii="Times New Roman" w:hAnsi="Times New Roman"/>
                <w:b w:val="0"/>
                <w:i w:val="0"/>
                <w:sz w:val="20"/>
                <w:u w:val="none"/>
              </w:rPr>
              <w:t>El artículo 35 del Código de Comercio obliga a la Cámara a abstenerse de matricular un nombre ya inscrito. La verificación es nacional, no local</w:t>
            </w:r>
          </w:p>
        </w:tc>
      </w:tr>
      <w:tr>
        <w:tc>
          <w:tcPr>
            <w:tcW w:type="dxa" w:w="2737"/>
          </w:tcPr>
          <w:p>
            <w:pPr>
              <w:spacing w:after="40" w:before="40" w:line="240" w:lineRule="auto"/>
              <w:jc w:val="left"/>
            </w:pPr>
            <w:r>
              <w:rPr>
                <w:rFonts w:ascii="Times New Roman" w:hAnsi="Times New Roman"/>
                <w:b w:val="0"/>
                <w:i w:val="0"/>
                <w:sz w:val="20"/>
                <w:u w:val="none"/>
              </w:rPr>
              <w:t>Clasificación CIIU</w:t>
            </w:r>
          </w:p>
        </w:tc>
        <w:tc>
          <w:tcPr>
            <w:tcW w:type="dxa" w:w="4105"/>
          </w:tcPr>
          <w:p>
            <w:pPr>
              <w:spacing w:after="40" w:before="40" w:line="240" w:lineRule="auto"/>
              <w:jc w:val="left"/>
            </w:pPr>
            <w:r>
              <w:rPr>
                <w:rFonts w:ascii="Times New Roman" w:hAnsi="Times New Roman"/>
                <w:b w:val="0"/>
                <w:i w:val="0"/>
                <w:sz w:val="20"/>
                <w:u w:val="none"/>
              </w:rPr>
              <w:t>Estructura CIIU Rev. 4 A.C. del DANE</w:t>
            </w:r>
          </w:p>
        </w:tc>
        <w:tc>
          <w:tcPr>
            <w:tcW w:type="dxa" w:w="2280"/>
          </w:tcPr>
          <w:p>
            <w:pPr>
              <w:spacing w:after="40" w:before="40" w:line="240" w:lineRule="auto"/>
              <w:jc w:val="left"/>
            </w:pPr>
            <w:r>
              <w:rPr>
                <w:rFonts w:ascii="Times New Roman" w:hAnsi="Times New Roman"/>
                <w:b w:val="0"/>
                <w:i w:val="0"/>
                <w:sz w:val="20"/>
                <w:u w:val="none"/>
              </w:rPr>
              <w:t>Confirmar que 8692, 9311 y 9609 describen la operación real</w:t>
            </w:r>
          </w:p>
        </w:tc>
      </w:tr>
      <w:tr>
        <w:tc>
          <w:tcPr>
            <w:tcW w:type="dxa" w:w="2737"/>
          </w:tcPr>
          <w:p>
            <w:pPr>
              <w:spacing w:after="40" w:before="40" w:line="240" w:lineRule="auto"/>
              <w:jc w:val="left"/>
            </w:pPr>
            <w:r>
              <w:rPr>
                <w:rFonts w:ascii="Times New Roman" w:hAnsi="Times New Roman"/>
                <w:b w:val="0"/>
                <w:i w:val="0"/>
                <w:sz w:val="20"/>
                <w:u w:val="none"/>
              </w:rPr>
              <w:t>Uso del suelo</w:t>
            </w:r>
          </w:p>
        </w:tc>
        <w:tc>
          <w:tcPr>
            <w:tcW w:type="dxa" w:w="4105"/>
          </w:tcPr>
          <w:p>
            <w:pPr>
              <w:spacing w:after="40" w:before="40" w:line="240" w:lineRule="auto"/>
              <w:jc w:val="left"/>
            </w:pPr>
            <w:r>
              <w:rPr>
                <w:rFonts w:ascii="Times New Roman" w:hAnsi="Times New Roman"/>
                <w:b w:val="0"/>
                <w:i w:val="0"/>
                <w:sz w:val="20"/>
                <w:u w:val="none"/>
              </w:rPr>
              <w:t>Curaduría Urbana o Planeación de Medellín</w:t>
            </w:r>
          </w:p>
        </w:tc>
        <w:tc>
          <w:tcPr>
            <w:tcW w:type="dxa" w:w="2280"/>
          </w:tcPr>
          <w:p>
            <w:pPr>
              <w:spacing w:after="40" w:before="40" w:line="240" w:lineRule="auto"/>
              <w:jc w:val="left"/>
            </w:pPr>
            <w:r>
              <w:rPr>
                <w:rFonts w:ascii="Times New Roman" w:hAnsi="Times New Roman"/>
                <w:b w:val="0"/>
                <w:i w:val="0"/>
                <w:sz w:val="20"/>
                <w:u w:val="none"/>
              </w:rPr>
              <w:t>Verificar que la dirección admita uso deportivo, no solo de oficina</w:t>
            </w:r>
          </w:p>
        </w:tc>
      </w:tr>
      <w:tr>
        <w:tc>
          <w:tcPr>
            <w:tcW w:type="dxa" w:w="2737"/>
          </w:tcPr>
          <w:p>
            <w:pPr>
              <w:spacing w:after="40" w:before="40" w:line="240" w:lineRule="auto"/>
              <w:jc w:val="left"/>
            </w:pPr>
            <w:r>
              <w:rPr>
                <w:rFonts w:ascii="Times New Roman" w:hAnsi="Times New Roman"/>
                <w:b w:val="0"/>
                <w:i w:val="0"/>
                <w:sz w:val="20"/>
                <w:u w:val="none"/>
              </w:rPr>
              <w:t>Tarifa de matrícula del establecimiento</w:t>
            </w:r>
          </w:p>
        </w:tc>
        <w:tc>
          <w:tcPr>
            <w:tcW w:type="dxa" w:w="4105"/>
          </w:tcPr>
          <w:p>
            <w:pPr>
              <w:spacing w:after="40" w:before="40" w:line="240" w:lineRule="auto"/>
              <w:jc w:val="left"/>
            </w:pPr>
            <w:r>
              <w:rPr>
                <w:rFonts w:ascii="Times New Roman" w:hAnsi="Times New Roman"/>
                <w:b w:val="0"/>
                <w:i w:val="0"/>
                <w:sz w:val="20"/>
                <w:u w:val="none"/>
              </w:rPr>
              <w:t>Liquidador de la sede virtual de la Cámara</w:t>
            </w:r>
          </w:p>
        </w:tc>
        <w:tc>
          <w:tcPr>
            <w:tcW w:type="dxa" w:w="2280"/>
          </w:tcPr>
          <w:p>
            <w:pPr>
              <w:spacing w:after="40" w:before="40" w:line="240" w:lineRule="auto"/>
              <w:jc w:val="left"/>
            </w:pPr>
            <w:r>
              <w:rPr>
                <w:rFonts w:ascii="Times New Roman" w:hAnsi="Times New Roman"/>
                <w:b w:val="0"/>
                <w:i w:val="0"/>
                <w:sz w:val="20"/>
                <w:u w:val="none"/>
              </w:rPr>
              <w:t>Conocer el valor exacto antes de radicar</w:t>
            </w:r>
          </w:p>
        </w:tc>
      </w:tr>
    </w:tbl>
    <w:p>
      <w:pPr>
        <w:spacing w:after="80"/>
      </w:pPr>
    </w:p>
    <w:p>
      <w:pPr>
        <w:keepNext/>
        <w:spacing w:before="240" w:after="80"/>
        <w:jc w:val="left"/>
      </w:pPr>
      <w:r>
        <w:rPr>
          <w:rFonts w:ascii="Times New Roman" w:hAnsi="Times New Roman"/>
          <w:b/>
          <w:i w:val="0"/>
          <w:sz w:val="24"/>
          <w:u w:val="none"/>
        </w:rPr>
        <w:t>C. Datos que solo el cliente puede aportar</w:t>
      </w:r>
    </w:p>
    <w:p>
      <w:r>
        <w:rPr>
          <w:rFonts w:ascii="Times New Roman" w:hAnsi="Times New Roman"/>
          <w:b w:val="0"/>
          <w:i w:val="0"/>
          <w:u w:val="none"/>
        </w:rPr>
        <w:t>Los documentos quedaron con espacios en blanco donde la información depende de hechos que aún no ocurren o de terceros. No son omisiones: son campos que se llenan en el momento del trámite.</w:t>
      </w:r>
    </w:p>
    <w:tbl>
      <w:tblPr>
        <w:tblStyle w:val="TableGrid"/>
        <w:tblW w:type="auto" w:w="0"/>
        <w:jc w:val="center"/>
        <w:tblLayout w:type="fixed"/>
        <w:tblLook w:firstColumn="1" w:firstRow="1" w:lastColumn="0" w:lastRow="0" w:noHBand="0" w:noVBand="1" w:val="04A0"/>
        <w:tblW w:w="9122" w:type="dxa"/>
        <w:tblLayout w:type="fixed"/>
      </w:tblPr>
      <w:tblGrid>
        <w:gridCol w:w="3101"/>
        <w:gridCol w:w="2737"/>
        <w:gridCol w:w="3284"/>
      </w:tblGrid>
      <w:tr>
        <w:tc>
          <w:tcPr>
            <w:tcW w:type="dxa" w:w="3101"/>
            <w:shd w:val="clear" w:color="auto" w:fill="D9D9D9"/>
          </w:tcPr>
          <w:p>
            <w:pPr>
              <w:spacing w:after="40" w:before="40" w:line="240" w:lineRule="auto"/>
              <w:jc w:val="center"/>
            </w:pPr>
            <w:r>
              <w:rPr>
                <w:rFonts w:ascii="Times New Roman" w:hAnsi="Times New Roman"/>
                <w:b/>
                <w:i w:val="0"/>
                <w:sz w:val="20"/>
                <w:u w:val="none"/>
              </w:rPr>
              <w:t>Dato faltante</w:t>
            </w:r>
          </w:p>
        </w:tc>
        <w:tc>
          <w:tcPr>
            <w:tcW w:type="dxa" w:w="2737"/>
            <w:shd w:val="clear" w:color="auto" w:fill="D9D9D9"/>
          </w:tcPr>
          <w:p>
            <w:pPr>
              <w:spacing w:after="40" w:before="40" w:line="240" w:lineRule="auto"/>
              <w:jc w:val="center"/>
            </w:pPr>
            <w:r>
              <w:rPr>
                <w:rFonts w:ascii="Times New Roman" w:hAnsi="Times New Roman"/>
                <w:b/>
                <w:i w:val="0"/>
                <w:sz w:val="20"/>
                <w:u w:val="none"/>
              </w:rPr>
              <w:t>Documentos afectados</w:t>
            </w:r>
          </w:p>
        </w:tc>
        <w:tc>
          <w:tcPr>
            <w:tcW w:type="dxa" w:w="3284"/>
            <w:shd w:val="clear" w:color="auto" w:fill="D9D9D9"/>
          </w:tcPr>
          <w:p>
            <w:pPr>
              <w:spacing w:after="40" w:before="40" w:line="240" w:lineRule="auto"/>
              <w:jc w:val="center"/>
            </w:pPr>
            <w:r>
              <w:rPr>
                <w:rFonts w:ascii="Times New Roman" w:hAnsi="Times New Roman"/>
                <w:b/>
                <w:i w:val="0"/>
                <w:sz w:val="20"/>
                <w:u w:val="none"/>
              </w:rPr>
              <w:t>De dónde sale</w:t>
            </w:r>
          </w:p>
        </w:tc>
      </w:tr>
      <w:tr>
        <w:tc>
          <w:tcPr>
            <w:tcW w:type="dxa" w:w="3101"/>
          </w:tcPr>
          <w:p>
            <w:pPr>
              <w:spacing w:after="40" w:before="40" w:line="240" w:lineRule="auto"/>
              <w:jc w:val="left"/>
            </w:pPr>
            <w:r>
              <w:rPr>
                <w:rFonts w:ascii="Times New Roman" w:hAnsi="Times New Roman"/>
                <w:b w:val="0"/>
                <w:i w:val="0"/>
                <w:sz w:val="20"/>
                <w:u w:val="none"/>
              </w:rPr>
              <w:t>Nombre, cédula y tarjeta profesional del contador público</w:t>
            </w:r>
          </w:p>
        </w:tc>
        <w:tc>
          <w:tcPr>
            <w:tcW w:type="dxa" w:w="2737"/>
          </w:tcPr>
          <w:p>
            <w:pPr>
              <w:spacing w:after="40" w:before="40" w:line="240" w:lineRule="auto"/>
              <w:jc w:val="left"/>
            </w:pPr>
            <w:r>
              <w:rPr>
                <w:rFonts w:ascii="Times New Roman" w:hAnsi="Times New Roman"/>
                <w:b w:val="0"/>
                <w:i w:val="0"/>
                <w:sz w:val="20"/>
                <w:u w:val="none"/>
              </w:rPr>
              <w:t>03, 09, 12, 13</w:t>
            </w:r>
          </w:p>
        </w:tc>
        <w:tc>
          <w:tcPr>
            <w:tcW w:type="dxa" w:w="3284"/>
          </w:tcPr>
          <w:p>
            <w:pPr>
              <w:spacing w:after="40" w:before="40" w:line="240" w:lineRule="auto"/>
              <w:jc w:val="left"/>
            </w:pPr>
            <w:r>
              <w:rPr>
                <w:rFonts w:ascii="Times New Roman" w:hAnsi="Times New Roman"/>
                <w:b w:val="0"/>
                <w:i w:val="0"/>
                <w:sz w:val="20"/>
                <w:u w:val="none"/>
              </w:rPr>
              <w:t>Del contador que se contrate. La tarjeta se verifica en la Junta Central de Contadores</w:t>
            </w:r>
          </w:p>
        </w:tc>
      </w:tr>
      <w:tr>
        <w:tc>
          <w:tcPr>
            <w:tcW w:type="dxa" w:w="3101"/>
          </w:tcPr>
          <w:p>
            <w:pPr>
              <w:spacing w:after="40" w:before="40" w:line="240" w:lineRule="auto"/>
              <w:jc w:val="left"/>
            </w:pPr>
            <w:r>
              <w:rPr>
                <w:rFonts w:ascii="Times New Roman" w:hAnsi="Times New Roman"/>
                <w:b w:val="0"/>
                <w:i w:val="0"/>
                <w:sz w:val="20"/>
                <w:u w:val="none"/>
              </w:rPr>
              <w:t>Número de cuenta bancaria y comprobantes de consignación</w:t>
            </w:r>
          </w:p>
        </w:tc>
        <w:tc>
          <w:tcPr>
            <w:tcW w:type="dxa" w:w="2737"/>
          </w:tcPr>
          <w:p>
            <w:pPr>
              <w:spacing w:after="40" w:before="40" w:line="240" w:lineRule="auto"/>
              <w:jc w:val="left"/>
            </w:pPr>
            <w:r>
              <w:rPr>
                <w:rFonts w:ascii="Times New Roman" w:hAnsi="Times New Roman"/>
                <w:b w:val="0"/>
                <w:i w:val="0"/>
                <w:sz w:val="20"/>
                <w:u w:val="none"/>
              </w:rPr>
              <w:t>03, 09</w:t>
            </w:r>
          </w:p>
        </w:tc>
        <w:tc>
          <w:tcPr>
            <w:tcW w:type="dxa" w:w="3284"/>
          </w:tcPr>
          <w:p>
            <w:pPr>
              <w:spacing w:after="40" w:before="40" w:line="240" w:lineRule="auto"/>
              <w:jc w:val="left"/>
            </w:pPr>
            <w:r>
              <w:rPr>
                <w:rFonts w:ascii="Times New Roman" w:hAnsi="Times New Roman"/>
                <w:b w:val="0"/>
                <w:i w:val="0"/>
                <w:sz w:val="20"/>
                <w:u w:val="none"/>
              </w:rPr>
              <w:t>Del banco, al abrir la cuenta de la sociedad en formación</w:t>
            </w:r>
          </w:p>
        </w:tc>
      </w:tr>
      <w:tr>
        <w:tc>
          <w:tcPr>
            <w:tcW w:type="dxa" w:w="3101"/>
          </w:tcPr>
          <w:p>
            <w:pPr>
              <w:spacing w:after="40" w:before="40" w:line="240" w:lineRule="auto"/>
              <w:jc w:val="left"/>
            </w:pPr>
            <w:r>
              <w:rPr>
                <w:rFonts w:ascii="Times New Roman" w:hAnsi="Times New Roman"/>
                <w:b w:val="0"/>
                <w:i w:val="0"/>
                <w:sz w:val="20"/>
                <w:u w:val="none"/>
              </w:rPr>
              <w:t>Barrio, código postal, matrícula inmobiliaria, identificación catastral y área del inmueble</w:t>
            </w:r>
          </w:p>
        </w:tc>
        <w:tc>
          <w:tcPr>
            <w:tcW w:type="dxa" w:w="2737"/>
          </w:tcPr>
          <w:p>
            <w:pPr>
              <w:spacing w:after="40" w:before="40" w:line="240" w:lineRule="auto"/>
              <w:jc w:val="left"/>
            </w:pPr>
            <w:r>
              <w:rPr>
                <w:rFonts w:ascii="Times New Roman" w:hAnsi="Times New Roman"/>
                <w:b w:val="0"/>
                <w:i w:val="0"/>
                <w:sz w:val="20"/>
                <w:u w:val="none"/>
              </w:rPr>
              <w:t>07, 13</w:t>
            </w:r>
          </w:p>
        </w:tc>
        <w:tc>
          <w:tcPr>
            <w:tcW w:type="dxa" w:w="3284"/>
          </w:tcPr>
          <w:p>
            <w:pPr>
              <w:spacing w:after="40" w:before="40" w:line="240" w:lineRule="auto"/>
              <w:jc w:val="left"/>
            </w:pPr>
            <w:r>
              <w:rPr>
                <w:rFonts w:ascii="Times New Roman" w:hAnsi="Times New Roman"/>
                <w:b w:val="0"/>
                <w:i w:val="0"/>
                <w:sz w:val="20"/>
                <w:u w:val="none"/>
              </w:rPr>
              <w:t>Del certificado de tradición y del contrato de arrendamiento</w:t>
            </w:r>
          </w:p>
        </w:tc>
      </w:tr>
      <w:tr>
        <w:tc>
          <w:tcPr>
            <w:tcW w:type="dxa" w:w="3101"/>
          </w:tcPr>
          <w:p>
            <w:pPr>
              <w:spacing w:after="40" w:before="40" w:line="240" w:lineRule="auto"/>
              <w:jc w:val="left"/>
            </w:pPr>
            <w:r>
              <w:rPr>
                <w:rFonts w:ascii="Times New Roman" w:hAnsi="Times New Roman"/>
                <w:b w:val="0"/>
                <w:i w:val="0"/>
                <w:sz w:val="20"/>
                <w:u w:val="none"/>
              </w:rPr>
              <w:t>Contrato de arrendamiento de la oficina</w:t>
            </w:r>
          </w:p>
        </w:tc>
        <w:tc>
          <w:tcPr>
            <w:tcW w:type="dxa" w:w="2737"/>
          </w:tcPr>
          <w:p>
            <w:pPr>
              <w:spacing w:after="40" w:before="40" w:line="240" w:lineRule="auto"/>
              <w:jc w:val="left"/>
            </w:pPr>
            <w:r>
              <w:rPr>
                <w:rFonts w:ascii="Times New Roman" w:hAnsi="Times New Roman"/>
                <w:b w:val="0"/>
                <w:i w:val="0"/>
                <w:sz w:val="20"/>
                <w:u w:val="none"/>
              </w:rPr>
              <w:t>12, 13</w:t>
            </w:r>
          </w:p>
        </w:tc>
        <w:tc>
          <w:tcPr>
            <w:tcW w:type="dxa" w:w="3284"/>
          </w:tcPr>
          <w:p>
            <w:pPr>
              <w:spacing w:after="40" w:before="40" w:line="240" w:lineRule="auto"/>
              <w:jc w:val="left"/>
            </w:pPr>
            <w:r>
              <w:rPr>
                <w:rFonts w:ascii="Times New Roman" w:hAnsi="Times New Roman"/>
                <w:b w:val="0"/>
                <w:i w:val="0"/>
                <w:sz w:val="20"/>
                <w:u w:val="none"/>
              </w:rPr>
              <w:t>Del arrendador</w:t>
            </w:r>
          </w:p>
        </w:tc>
      </w:tr>
      <w:tr>
        <w:tc>
          <w:tcPr>
            <w:tcW w:type="dxa" w:w="3101"/>
          </w:tcPr>
          <w:p>
            <w:pPr>
              <w:spacing w:after="40" w:before="40" w:line="240" w:lineRule="auto"/>
              <w:jc w:val="left"/>
            </w:pPr>
            <w:r>
              <w:rPr>
                <w:rFonts w:ascii="Times New Roman" w:hAnsi="Times New Roman"/>
                <w:b w:val="0"/>
                <w:i w:val="0"/>
                <w:sz w:val="20"/>
                <w:u w:val="none"/>
              </w:rPr>
              <w:t>Remuneración del representante legal</w:t>
            </w:r>
          </w:p>
        </w:tc>
        <w:tc>
          <w:tcPr>
            <w:tcW w:type="dxa" w:w="2737"/>
          </w:tcPr>
          <w:p>
            <w:pPr>
              <w:spacing w:after="40" w:before="40" w:line="240" w:lineRule="auto"/>
              <w:jc w:val="left"/>
            </w:pPr>
            <w:r>
              <w:rPr>
                <w:rFonts w:ascii="Times New Roman" w:hAnsi="Times New Roman"/>
                <w:b w:val="0"/>
                <w:i w:val="0"/>
                <w:sz w:val="20"/>
                <w:u w:val="none"/>
              </w:rPr>
              <w:t>12</w:t>
            </w:r>
          </w:p>
        </w:tc>
        <w:tc>
          <w:tcPr>
            <w:tcW w:type="dxa" w:w="3284"/>
          </w:tcPr>
          <w:p>
            <w:pPr>
              <w:spacing w:after="40" w:before="40" w:line="240" w:lineRule="auto"/>
              <w:jc w:val="left"/>
            </w:pPr>
            <w:r>
              <w:rPr>
                <w:rFonts w:ascii="Times New Roman" w:hAnsi="Times New Roman"/>
                <w:b w:val="0"/>
                <w:i w:val="0"/>
                <w:sz w:val="20"/>
                <w:u w:val="none"/>
              </w:rPr>
              <w:t>Decisión de los accionistas</w:t>
            </w:r>
          </w:p>
        </w:tc>
      </w:tr>
      <w:tr>
        <w:tc>
          <w:tcPr>
            <w:tcW w:type="dxa" w:w="3101"/>
          </w:tcPr>
          <w:p>
            <w:pPr>
              <w:spacing w:after="40" w:before="40" w:line="240" w:lineRule="auto"/>
              <w:jc w:val="left"/>
            </w:pPr>
            <w:r>
              <w:rPr>
                <w:rFonts w:ascii="Times New Roman" w:hAnsi="Times New Roman"/>
                <w:b w:val="0"/>
                <w:i w:val="0"/>
                <w:sz w:val="20"/>
                <w:u w:val="none"/>
              </w:rPr>
              <w:t>NIT y dígito de verificación</w:t>
            </w:r>
          </w:p>
        </w:tc>
        <w:tc>
          <w:tcPr>
            <w:tcW w:type="dxa" w:w="2737"/>
          </w:tcPr>
          <w:p>
            <w:pPr>
              <w:spacing w:after="40" w:before="40" w:line="240" w:lineRule="auto"/>
              <w:jc w:val="left"/>
            </w:pPr>
            <w:r>
              <w:rPr>
                <w:rFonts w:ascii="Times New Roman" w:hAnsi="Times New Roman"/>
                <w:b w:val="0"/>
                <w:i w:val="0"/>
                <w:sz w:val="20"/>
                <w:u w:val="none"/>
              </w:rPr>
              <w:t>07, 08, 09, 11, 13</w:t>
            </w:r>
          </w:p>
        </w:tc>
        <w:tc>
          <w:tcPr>
            <w:tcW w:type="dxa" w:w="3284"/>
          </w:tcPr>
          <w:p>
            <w:pPr>
              <w:spacing w:after="40" w:before="40" w:line="240" w:lineRule="auto"/>
              <w:jc w:val="left"/>
            </w:pPr>
            <w:r>
              <w:rPr>
                <w:rFonts w:ascii="Times New Roman" w:hAnsi="Times New Roman"/>
                <w:b w:val="0"/>
                <w:i w:val="0"/>
                <w:sz w:val="20"/>
                <w:u w:val="none"/>
              </w:rPr>
              <w:t>Los asigna la DIAN en el RUT provisional</w:t>
            </w:r>
          </w:p>
        </w:tc>
      </w:tr>
      <w:tr>
        <w:tc>
          <w:tcPr>
            <w:tcW w:type="dxa" w:w="3101"/>
          </w:tcPr>
          <w:p>
            <w:pPr>
              <w:spacing w:after="40" w:before="40" w:line="240" w:lineRule="auto"/>
              <w:jc w:val="left"/>
            </w:pPr>
            <w:r>
              <w:rPr>
                <w:rFonts w:ascii="Times New Roman" w:hAnsi="Times New Roman"/>
                <w:b w:val="0"/>
                <w:i w:val="0"/>
                <w:sz w:val="20"/>
                <w:u w:val="none"/>
              </w:rPr>
              <w:t>Número de matrícula mercantil y de inscripción en el libro IX</w:t>
            </w:r>
          </w:p>
        </w:tc>
        <w:tc>
          <w:tcPr>
            <w:tcW w:type="dxa" w:w="2737"/>
          </w:tcPr>
          <w:p>
            <w:pPr>
              <w:spacing w:after="40" w:before="40" w:line="240" w:lineRule="auto"/>
              <w:jc w:val="left"/>
            </w:pPr>
            <w:r>
              <w:rPr>
                <w:rFonts w:ascii="Times New Roman" w:hAnsi="Times New Roman"/>
                <w:b w:val="0"/>
                <w:i w:val="0"/>
                <w:sz w:val="20"/>
                <w:u w:val="none"/>
              </w:rPr>
              <w:t>09, 13</w:t>
            </w:r>
          </w:p>
        </w:tc>
        <w:tc>
          <w:tcPr>
            <w:tcW w:type="dxa" w:w="3284"/>
          </w:tcPr>
          <w:p>
            <w:pPr>
              <w:spacing w:after="40" w:before="40" w:line="240" w:lineRule="auto"/>
              <w:jc w:val="left"/>
            </w:pPr>
            <w:r>
              <w:rPr>
                <w:rFonts w:ascii="Times New Roman" w:hAnsi="Times New Roman"/>
                <w:b w:val="0"/>
                <w:i w:val="0"/>
                <w:sz w:val="20"/>
                <w:u w:val="none"/>
              </w:rPr>
              <w:t>Los asigna la Cámara al inscribir</w:t>
            </w:r>
          </w:p>
        </w:tc>
      </w:tr>
      <w:tr>
        <w:tc>
          <w:tcPr>
            <w:tcW w:type="dxa" w:w="3101"/>
          </w:tcPr>
          <w:p>
            <w:pPr>
              <w:spacing w:after="40" w:before="40" w:line="240" w:lineRule="auto"/>
              <w:jc w:val="left"/>
            </w:pPr>
            <w:r>
              <w:rPr>
                <w:rFonts w:ascii="Times New Roman" w:hAnsi="Times New Roman"/>
                <w:b w:val="0"/>
                <w:i w:val="0"/>
                <w:sz w:val="20"/>
                <w:u w:val="none"/>
              </w:rPr>
              <w:t>Notaría y notario del reconocimiento</w:t>
            </w:r>
          </w:p>
        </w:tc>
        <w:tc>
          <w:tcPr>
            <w:tcW w:type="dxa" w:w="2737"/>
          </w:tcPr>
          <w:p>
            <w:pPr>
              <w:spacing w:after="40" w:before="40" w:line="240" w:lineRule="auto"/>
              <w:jc w:val="left"/>
            </w:pPr>
            <w:r>
              <w:rPr>
                <w:rFonts w:ascii="Times New Roman" w:hAnsi="Times New Roman"/>
                <w:b w:val="0"/>
                <w:i w:val="0"/>
                <w:sz w:val="20"/>
                <w:u w:val="none"/>
              </w:rPr>
              <w:t>10</w:t>
            </w:r>
          </w:p>
        </w:tc>
        <w:tc>
          <w:tcPr>
            <w:tcW w:type="dxa" w:w="3284"/>
          </w:tcPr>
          <w:p>
            <w:pPr>
              <w:spacing w:after="40" w:before="40" w:line="240" w:lineRule="auto"/>
              <w:jc w:val="left"/>
            </w:pPr>
            <w:r>
              <w:rPr>
                <w:rFonts w:ascii="Times New Roman" w:hAnsi="Times New Roman"/>
                <w:b w:val="0"/>
                <w:i w:val="0"/>
                <w:sz w:val="20"/>
                <w:u w:val="none"/>
              </w:rPr>
              <w:t>La que elija cada accionista en su municipio</w:t>
            </w:r>
          </w:p>
        </w:tc>
      </w:tr>
      <w:tr>
        <w:tc>
          <w:tcPr>
            <w:tcW w:type="dxa" w:w="3101"/>
          </w:tcPr>
          <w:p>
            <w:pPr>
              <w:spacing w:after="40" w:before="40" w:line="240" w:lineRule="auto"/>
              <w:jc w:val="left"/>
            </w:pPr>
            <w:r>
              <w:rPr>
                <w:rFonts w:ascii="Times New Roman" w:hAnsi="Times New Roman"/>
                <w:b w:val="0"/>
                <w:i w:val="0"/>
                <w:sz w:val="20"/>
                <w:u w:val="none"/>
              </w:rPr>
              <w:t>Nombre del apoderado, si lo hay</w:t>
            </w:r>
          </w:p>
        </w:tc>
        <w:tc>
          <w:tcPr>
            <w:tcW w:type="dxa" w:w="2737"/>
          </w:tcPr>
          <w:p>
            <w:pPr>
              <w:spacing w:after="40" w:before="40" w:line="240" w:lineRule="auto"/>
              <w:jc w:val="left"/>
            </w:pPr>
            <w:r>
              <w:rPr>
                <w:rFonts w:ascii="Times New Roman" w:hAnsi="Times New Roman"/>
                <w:b w:val="0"/>
                <w:i w:val="0"/>
                <w:sz w:val="20"/>
                <w:u w:val="none"/>
              </w:rPr>
              <w:t>10</w:t>
            </w:r>
          </w:p>
        </w:tc>
        <w:tc>
          <w:tcPr>
            <w:tcW w:type="dxa" w:w="3284"/>
          </w:tcPr>
          <w:p>
            <w:pPr>
              <w:spacing w:after="40" w:before="40" w:line="240" w:lineRule="auto"/>
              <w:jc w:val="left"/>
            </w:pPr>
            <w:r>
              <w:rPr>
                <w:rFonts w:ascii="Times New Roman" w:hAnsi="Times New Roman"/>
                <w:b w:val="0"/>
                <w:i w:val="0"/>
                <w:sz w:val="20"/>
                <w:u w:val="none"/>
              </w:rPr>
              <w:t>Solo si radica un tercero</w:t>
            </w:r>
          </w:p>
        </w:tc>
      </w:tr>
      <w:tr>
        <w:tc>
          <w:tcPr>
            <w:tcW w:type="dxa" w:w="3101"/>
          </w:tcPr>
          <w:p>
            <w:pPr>
              <w:spacing w:after="40" w:before="40" w:line="240" w:lineRule="auto"/>
              <w:jc w:val="left"/>
            </w:pPr>
            <w:r>
              <w:rPr>
                <w:rFonts w:ascii="Times New Roman" w:hAnsi="Times New Roman"/>
                <w:b w:val="0"/>
                <w:i w:val="0"/>
                <w:sz w:val="20"/>
                <w:u w:val="none"/>
              </w:rPr>
              <w:t>Copias ampliadas de las cédulas</w:t>
            </w:r>
          </w:p>
        </w:tc>
        <w:tc>
          <w:tcPr>
            <w:tcW w:type="dxa" w:w="2737"/>
          </w:tcPr>
          <w:p>
            <w:pPr>
              <w:spacing w:after="40" w:before="40" w:line="240" w:lineRule="auto"/>
              <w:jc w:val="left"/>
            </w:pPr>
            <w:r>
              <w:rPr>
                <w:rFonts w:ascii="Times New Roman" w:hAnsi="Times New Roman"/>
                <w:b w:val="0"/>
                <w:i w:val="0"/>
                <w:sz w:val="20"/>
                <w:u w:val="none"/>
              </w:rPr>
              <w:t>Anexo del expediente</w:t>
            </w:r>
          </w:p>
        </w:tc>
        <w:tc>
          <w:tcPr>
            <w:tcW w:type="dxa" w:w="3284"/>
          </w:tcPr>
          <w:p>
            <w:pPr>
              <w:spacing w:after="40" w:before="40" w:line="240" w:lineRule="auto"/>
              <w:jc w:val="left"/>
            </w:pPr>
            <w:r>
              <w:rPr>
                <w:rFonts w:ascii="Times New Roman" w:hAnsi="Times New Roman"/>
                <w:b w:val="0"/>
                <w:i w:val="0"/>
                <w:sz w:val="20"/>
                <w:u w:val="none"/>
              </w:rPr>
              <w:t>De los accionistas, ampliadas al 150 %</w:t>
            </w:r>
          </w:p>
        </w:tc>
      </w:tr>
      <w:tr>
        <w:tc>
          <w:tcPr>
            <w:tcW w:type="dxa" w:w="3101"/>
          </w:tcPr>
          <w:p>
            <w:pPr>
              <w:spacing w:after="40" w:before="40" w:line="240" w:lineRule="auto"/>
              <w:jc w:val="left"/>
            </w:pPr>
            <w:r>
              <w:rPr>
                <w:rFonts w:ascii="Times New Roman" w:hAnsi="Times New Roman"/>
                <w:b w:val="0"/>
                <w:i w:val="0"/>
                <w:sz w:val="20"/>
                <w:u w:val="none"/>
              </w:rPr>
              <w:t>Fecha de nacimiento de la accionista para la Ley 1780</w:t>
            </w:r>
          </w:p>
        </w:tc>
        <w:tc>
          <w:tcPr>
            <w:tcW w:type="dxa" w:w="2737"/>
          </w:tcPr>
          <w:p>
            <w:pPr>
              <w:spacing w:after="40" w:before="40" w:line="240" w:lineRule="auto"/>
              <w:jc w:val="left"/>
            </w:pPr>
            <w:r>
              <w:rPr>
                <w:rFonts w:ascii="Times New Roman" w:hAnsi="Times New Roman"/>
                <w:b w:val="0"/>
                <w:i w:val="0"/>
                <w:sz w:val="20"/>
                <w:u w:val="none"/>
              </w:rPr>
              <w:t>07</w:t>
            </w:r>
          </w:p>
        </w:tc>
        <w:tc>
          <w:tcPr>
            <w:tcW w:type="dxa" w:w="3284"/>
          </w:tcPr>
          <w:p>
            <w:pPr>
              <w:spacing w:after="40" w:before="40" w:line="240" w:lineRule="auto"/>
              <w:jc w:val="left"/>
            </w:pPr>
            <w:r>
              <w:rPr>
                <w:rFonts w:ascii="Times New Roman" w:hAnsi="Times New Roman"/>
                <w:b w:val="0"/>
                <w:i w:val="0"/>
                <w:sz w:val="20"/>
                <w:u w:val="none"/>
              </w:rPr>
              <w:t>De la cédula de Mariana López Castaño</w:t>
            </w:r>
          </w:p>
        </w:tc>
      </w:tr>
    </w:tbl>
    <w:p>
      <w:pPr>
        <w:spacing w:after="80"/>
      </w:pPr>
    </w:p>
    <w:p>
      <w:pPr>
        <w:keepNext/>
        <w:spacing w:before="240" w:after="80"/>
        <w:jc w:val="left"/>
      </w:pPr>
      <w:r>
        <w:rPr>
          <w:rFonts w:ascii="Times New Roman" w:hAnsi="Times New Roman"/>
          <w:b/>
          <w:i w:val="0"/>
          <w:sz w:val="24"/>
          <w:u w:val="none"/>
        </w:rPr>
        <w:t>D. Puntos que deben confirmarse con la autoridad</w:t>
      </w:r>
    </w:p>
    <w:p>
      <w:r>
        <w:rPr>
          <w:rFonts w:ascii="Times New Roman" w:hAnsi="Times New Roman"/>
          <w:b w:val="0"/>
          <w:i w:val="0"/>
          <w:u w:val="none"/>
        </w:rPr>
        <w:t>Siete extremos quedaron marcados en los documentos porque dependen de normas locales, tablas anuales o competencias territoriales que no pueden darse por supuestas.</w:t>
      </w:r>
    </w:p>
    <w:tbl>
      <w:tblPr>
        <w:tblStyle w:val="TableGrid"/>
        <w:tblW w:type="auto" w:w="0"/>
        <w:jc w:val="center"/>
        <w:tblLayout w:type="fixed"/>
        <w:tblLook w:firstColumn="1" w:firstRow="1" w:lastColumn="0" w:lastRow="0" w:noHBand="0" w:noVBand="1" w:val="04A0"/>
        <w:tblW w:w="9121" w:type="dxa"/>
        <w:tblLayout w:type="fixed"/>
      </w:tblPr>
      <w:tblGrid>
        <w:gridCol w:w="3101"/>
        <w:gridCol w:w="6020"/>
      </w:tblGrid>
      <w:tr>
        <w:tc>
          <w:tcPr>
            <w:tcW w:type="dxa" w:w="3101"/>
            <w:shd w:val="clear" w:color="auto" w:fill="D9D9D9"/>
          </w:tcPr>
          <w:p>
            <w:pPr>
              <w:spacing w:after="40" w:before="40" w:line="240" w:lineRule="auto"/>
              <w:jc w:val="center"/>
            </w:pPr>
            <w:r>
              <w:rPr>
                <w:rFonts w:ascii="Times New Roman" w:hAnsi="Times New Roman"/>
                <w:b/>
                <w:i w:val="0"/>
                <w:sz w:val="20"/>
                <w:u w:val="none"/>
              </w:rPr>
              <w:t>Punto</w:t>
            </w:r>
          </w:p>
        </w:tc>
        <w:tc>
          <w:tcPr>
            <w:tcW w:type="dxa" w:w="6020"/>
            <w:shd w:val="clear" w:color="auto" w:fill="D9D9D9"/>
          </w:tcPr>
          <w:p>
            <w:pPr>
              <w:spacing w:after="40" w:before="40" w:line="240" w:lineRule="auto"/>
              <w:jc w:val="center"/>
            </w:pPr>
            <w:r>
              <w:rPr>
                <w:rFonts w:ascii="Times New Roman" w:hAnsi="Times New Roman"/>
                <w:b/>
                <w:i w:val="0"/>
                <w:sz w:val="20"/>
                <w:u w:val="none"/>
              </w:rPr>
              <w:t>Qué hay que confirmar y dónde</w:t>
            </w:r>
          </w:p>
        </w:tc>
      </w:tr>
      <w:tr>
        <w:tc>
          <w:tcPr>
            <w:tcW w:type="dxa" w:w="3101"/>
          </w:tcPr>
          <w:p>
            <w:pPr>
              <w:spacing w:after="40" w:before="40" w:line="240" w:lineRule="auto"/>
              <w:jc w:val="left"/>
            </w:pPr>
            <w:r>
              <w:rPr>
                <w:rFonts w:ascii="Times New Roman" w:hAnsi="Times New Roman"/>
                <w:b w:val="0"/>
                <w:i w:val="0"/>
                <w:sz w:val="20"/>
                <w:u w:val="none"/>
              </w:rPr>
              <w:t>Tarifa del impuesto de registro</w:t>
            </w:r>
          </w:p>
        </w:tc>
        <w:tc>
          <w:tcPr>
            <w:tcW w:type="dxa" w:w="6020"/>
          </w:tcPr>
          <w:p>
            <w:pPr>
              <w:spacing w:after="40" w:before="40" w:line="240" w:lineRule="auto"/>
              <w:jc w:val="left"/>
            </w:pPr>
            <w:r>
              <w:rPr>
                <w:rFonts w:ascii="Times New Roman" w:hAnsi="Times New Roman"/>
                <w:b w:val="0"/>
                <w:i w:val="0"/>
                <w:sz w:val="20"/>
                <w:u w:val="none"/>
              </w:rPr>
              <w:t xml:space="preserve">El artículo 230 de la Ley 223 de 1995 fija un rango de </w:t>
            </w:r>
            <w:r>
              <w:rPr>
                <w:rFonts w:ascii="Times New Roman" w:hAnsi="Times New Roman"/>
                <w:b/>
                <w:i w:val="0"/>
                <w:sz w:val="20"/>
                <w:u w:val="none"/>
              </w:rPr>
              <w:t>0,3 % a 0,7 %</w:t>
            </w:r>
            <w:r>
              <w:rPr>
                <w:rFonts w:ascii="Times New Roman" w:hAnsi="Times New Roman"/>
                <w:b w:val="0"/>
                <w:i w:val="0"/>
                <w:sz w:val="20"/>
                <w:u w:val="none"/>
              </w:rPr>
              <w:t xml:space="preserve"> y corresponde a la asamblea departamental fijarla por ordenanza. La liquidación asume el tope de 0,7 %, que es el aplicado en Antioquia. Confirmar en el portal tributario de la Gobernación o en la liquidación de la Cámara: una tarifa menor reduce el valor a pagar</w:t>
            </w:r>
          </w:p>
        </w:tc>
      </w:tr>
      <w:tr>
        <w:tc>
          <w:tcPr>
            <w:tcW w:type="dxa" w:w="3101"/>
          </w:tcPr>
          <w:p>
            <w:pPr>
              <w:spacing w:after="40" w:before="40" w:line="240" w:lineRule="auto"/>
              <w:jc w:val="left"/>
            </w:pPr>
            <w:r>
              <w:rPr>
                <w:rFonts w:ascii="Times New Roman" w:hAnsi="Times New Roman"/>
                <w:b w:val="0"/>
                <w:i w:val="0"/>
                <w:sz w:val="20"/>
                <w:u w:val="none"/>
              </w:rPr>
              <w:t>Tarifa de matrícula del establecimiento</w:t>
            </w:r>
          </w:p>
        </w:tc>
        <w:tc>
          <w:tcPr>
            <w:tcW w:type="dxa" w:w="6020"/>
          </w:tcPr>
          <w:p>
            <w:pPr>
              <w:spacing w:after="40" w:before="40" w:line="240" w:lineRule="auto"/>
              <w:jc w:val="left"/>
            </w:pPr>
            <w:r>
              <w:rPr>
                <w:rFonts w:ascii="Times New Roman" w:hAnsi="Times New Roman"/>
                <w:b w:val="0"/>
                <w:i w:val="0"/>
                <w:sz w:val="20"/>
                <w:u w:val="none"/>
              </w:rPr>
              <w:t xml:space="preserve">Los activos de $55.000.000 equivalen a </w:t>
            </w:r>
            <w:r>
              <w:rPr>
                <w:rFonts w:ascii="Times New Roman" w:hAnsi="Times New Roman"/>
                <w:b/>
                <w:i w:val="0"/>
                <w:sz w:val="20"/>
                <w:u w:val="none"/>
              </w:rPr>
              <w:t>4.541,7 UVB</w:t>
            </w:r>
            <w:r>
              <w:rPr>
                <w:rFonts w:ascii="Times New Roman" w:hAnsi="Times New Roman"/>
                <w:b w:val="0"/>
                <w:i w:val="0"/>
                <w:sz w:val="20"/>
                <w:u w:val="none"/>
              </w:rPr>
              <w:t>, dentro del rango 1 (de 0 a 6.500 UVB) de la tabla del Decreto 1074 de 2015, modificado por el Decreto 045 de 2024. El valor exacto se obtiene del liquidador de la Cámara</w:t>
            </w:r>
          </w:p>
        </w:tc>
      </w:tr>
      <w:tr>
        <w:tc>
          <w:tcPr>
            <w:tcW w:type="dxa" w:w="3101"/>
          </w:tcPr>
          <w:p>
            <w:pPr>
              <w:spacing w:after="40" w:before="40" w:line="240" w:lineRule="auto"/>
              <w:jc w:val="left"/>
            </w:pPr>
            <w:r>
              <w:rPr>
                <w:rFonts w:ascii="Times New Roman" w:hAnsi="Times New Roman"/>
                <w:b w:val="0"/>
                <w:i w:val="0"/>
                <w:sz w:val="20"/>
                <w:u w:val="none"/>
              </w:rPr>
              <w:t>Alcance de la exención de la Ley 1780</w:t>
            </w:r>
          </w:p>
        </w:tc>
        <w:tc>
          <w:tcPr>
            <w:tcW w:type="dxa" w:w="6020"/>
          </w:tcPr>
          <w:p>
            <w:pPr>
              <w:spacing w:after="40" w:before="40" w:line="240" w:lineRule="auto"/>
              <w:jc w:val="left"/>
            </w:pPr>
            <w:r>
              <w:rPr>
                <w:rFonts w:ascii="Times New Roman" w:hAnsi="Times New Roman"/>
                <w:b w:val="0"/>
                <w:i w:val="0"/>
                <w:sz w:val="20"/>
                <w:u w:val="none"/>
              </w:rPr>
              <w:t>El artículo 3.º habla genéricamente de «matrícula mercantil» y la práctica de las cámaras no es uniforme sobre si cubre también la del establecimiento. El expediente asume la lectura restrictiva —prever el pago— y solicitar pronunciamiento escrito. Si la Cámara aplica la lectura extensiva, el resultado es un menor valor, no un vicio</w:t>
            </w:r>
          </w:p>
        </w:tc>
      </w:tr>
      <w:tr>
        <w:tc>
          <w:tcPr>
            <w:tcW w:type="dxa" w:w="3101"/>
          </w:tcPr>
          <w:p>
            <w:pPr>
              <w:spacing w:after="40" w:before="40" w:line="240" w:lineRule="auto"/>
              <w:jc w:val="left"/>
            </w:pPr>
            <w:r>
              <w:rPr>
                <w:rFonts w:ascii="Times New Roman" w:hAnsi="Times New Roman"/>
                <w:b w:val="0"/>
                <w:i w:val="0"/>
                <w:sz w:val="20"/>
                <w:u w:val="none"/>
              </w:rPr>
              <w:t>Competencia para la habilitación en salud</w:t>
            </w:r>
          </w:p>
        </w:tc>
        <w:tc>
          <w:tcPr>
            <w:tcW w:type="dxa" w:w="6020"/>
          </w:tcPr>
          <w:p>
            <w:pPr>
              <w:spacing w:after="40" w:before="40" w:line="240" w:lineRule="auto"/>
              <w:jc w:val="left"/>
            </w:pPr>
            <w:r>
              <w:rPr>
                <w:rFonts w:ascii="Times New Roman" w:hAnsi="Times New Roman"/>
                <w:b w:val="0"/>
                <w:i w:val="0"/>
                <w:sz w:val="20"/>
                <w:u w:val="none"/>
              </w:rPr>
              <w:t>La solicitud del documento 13 está dirigida a la Secretaría de Salud de Medellín, con mención alternativa de la Secretaría Seccional de Salud de Antioquia. Medellín es distrito, lo que pudo alterar la competencia territorial. Confirmar antes de radicar</w:t>
            </w:r>
          </w:p>
        </w:tc>
      </w:tr>
      <w:tr>
        <w:tc>
          <w:tcPr>
            <w:tcW w:type="dxa" w:w="3101"/>
          </w:tcPr>
          <w:p>
            <w:pPr>
              <w:spacing w:after="40" w:before="40" w:line="240" w:lineRule="auto"/>
              <w:jc w:val="left"/>
            </w:pPr>
            <w:r>
              <w:rPr>
                <w:rFonts w:ascii="Times New Roman" w:hAnsi="Times New Roman"/>
                <w:b w:val="0"/>
                <w:i w:val="0"/>
                <w:sz w:val="20"/>
                <w:u w:val="none"/>
              </w:rPr>
              <w:t>Salario mínimo vigente para 2026</w:t>
            </w:r>
          </w:p>
        </w:tc>
        <w:tc>
          <w:tcPr>
            <w:tcW w:type="dxa" w:w="6020"/>
          </w:tcPr>
          <w:p>
            <w:pPr>
              <w:spacing w:after="40" w:before="40" w:line="240" w:lineRule="auto"/>
              <w:jc w:val="left"/>
            </w:pPr>
            <w:r>
              <w:rPr>
                <w:rFonts w:ascii="Times New Roman" w:hAnsi="Times New Roman"/>
                <w:b w:val="0"/>
                <w:i w:val="0"/>
                <w:sz w:val="20"/>
                <w:u w:val="none"/>
              </w:rPr>
              <w:t>Determina el valor real del umbral de 100 SMLMV del artículo 28 y los topes de revisoría fiscal (5.000 y 3.000 SMLMV) y de la Ley 1780 (5.000 SMLMV). Los cálculos del expediente usan una referencia del orden de $1.400.000</w:t>
            </w:r>
          </w:p>
        </w:tc>
      </w:tr>
      <w:tr>
        <w:tc>
          <w:tcPr>
            <w:tcW w:type="dxa" w:w="3101"/>
          </w:tcPr>
          <w:p>
            <w:pPr>
              <w:spacing w:after="40" w:before="40" w:line="240" w:lineRule="auto"/>
              <w:jc w:val="left"/>
            </w:pPr>
            <w:r>
              <w:rPr>
                <w:rFonts w:ascii="Times New Roman" w:hAnsi="Times New Roman"/>
                <w:b w:val="0"/>
                <w:i w:val="0"/>
                <w:sz w:val="20"/>
                <w:u w:val="none"/>
              </w:rPr>
              <w:t>Códigos de la casilla de responsabilidades del RUT</w:t>
            </w:r>
          </w:p>
        </w:tc>
        <w:tc>
          <w:tcPr>
            <w:tcW w:type="dxa" w:w="6020"/>
          </w:tcPr>
          <w:p>
            <w:pPr>
              <w:spacing w:after="40" w:before="40" w:line="240" w:lineRule="auto"/>
              <w:jc w:val="left"/>
            </w:pPr>
            <w:r>
              <w:rPr>
                <w:rFonts w:ascii="Times New Roman" w:hAnsi="Times New Roman"/>
                <w:b w:val="0"/>
                <w:i w:val="0"/>
                <w:sz w:val="20"/>
                <w:u w:val="none"/>
              </w:rPr>
              <w:t xml:space="preserve">La tabla es actualizada por la DIAN. El documento 08 identifica cada responsabilidad </w:t>
            </w:r>
            <w:r>
              <w:rPr>
                <w:rFonts w:ascii="Times New Roman" w:hAnsi="Times New Roman"/>
                <w:b/>
                <w:i w:val="0"/>
                <w:sz w:val="20"/>
                <w:u w:val="none"/>
              </w:rPr>
              <w:t>por su nombre</w:t>
            </w:r>
            <w:r>
              <w:rPr>
                <w:rFonts w:ascii="Times New Roman" w:hAnsi="Times New Roman"/>
                <w:b w:val="0"/>
                <w:i w:val="0"/>
                <w:sz w:val="20"/>
                <w:u w:val="none"/>
              </w:rPr>
              <w:t>, que es estable, e indica el código usual. Verificar los códigos en la versión vigente del formulario</w:t>
            </w:r>
          </w:p>
        </w:tc>
      </w:tr>
      <w:tr>
        <w:tc>
          <w:tcPr>
            <w:tcW w:type="dxa" w:w="3101"/>
          </w:tcPr>
          <w:p>
            <w:pPr>
              <w:spacing w:after="40" w:before="40" w:line="240" w:lineRule="auto"/>
              <w:jc w:val="left"/>
            </w:pPr>
            <w:r>
              <w:rPr>
                <w:rFonts w:ascii="Times New Roman" w:hAnsi="Times New Roman"/>
                <w:b w:val="0"/>
                <w:i w:val="0"/>
                <w:sz w:val="20"/>
                <w:u w:val="none"/>
              </w:rPr>
              <w:t>Denominación exacta de los servicios de salud</w:t>
            </w:r>
          </w:p>
        </w:tc>
        <w:tc>
          <w:tcPr>
            <w:tcW w:type="dxa" w:w="6020"/>
          </w:tcPr>
          <w:p>
            <w:pPr>
              <w:spacing w:after="40" w:before="40" w:line="240" w:lineRule="auto"/>
              <w:jc w:val="left"/>
            </w:pPr>
            <w:r>
              <w:rPr>
                <w:rFonts w:ascii="Times New Roman" w:hAnsi="Times New Roman"/>
                <w:b w:val="0"/>
                <w:i w:val="0"/>
                <w:sz w:val="20"/>
                <w:u w:val="none"/>
              </w:rPr>
              <w:t>El documento 13 propone fisioterapia, terapia ocupacional y terapia respiratoria. Deben ajustarse a la denominación del Manual de Inscripción de Prestadores vigente y a los servicios que realmente se prestarán: habilitar servicios que no se prestarán obliga a mantener estándares imposibles de acreditar en la visita</w:t>
            </w:r>
          </w:p>
        </w:tc>
      </w:tr>
    </w:tbl>
    <w:p>
      <w:pPr>
        <w:spacing w:after="80"/>
      </w:pPr>
    </w:p>
    <w:p>
      <w:pPr>
        <w:keepNext/>
        <w:spacing w:before="240" w:after="80"/>
        <w:jc w:val="left"/>
      </w:pPr>
      <w:r>
        <w:rPr>
          <w:rFonts w:ascii="Times New Roman" w:hAnsi="Times New Roman"/>
          <w:b/>
          <w:i w:val="0"/>
          <w:sz w:val="24"/>
          <w:u w:val="none"/>
        </w:rPr>
        <w:t>E. Documentos que NO se necesitan, y por qué</w:t>
      </w:r>
    </w:p>
    <w:p>
      <w:r>
        <w:rPr>
          <w:rFonts w:ascii="Times New Roman" w:hAnsi="Times New Roman"/>
          <w:b w:val="0"/>
          <w:i w:val="0"/>
          <w:u w:val="none"/>
        </w:rPr>
        <w:t>Tan importante como saber qué falta es saber qué no hace falta. Estas son las exigencias que suelen suponerse y que en este caso no aplican.</w:t>
      </w:r>
    </w:p>
    <w:tbl>
      <w:tblPr>
        <w:tblStyle w:val="TableGrid"/>
        <w:tblW w:type="auto" w:w="0"/>
        <w:jc w:val="center"/>
        <w:tblLayout w:type="fixed"/>
        <w:tblLook w:firstColumn="1" w:firstRow="1" w:lastColumn="0" w:lastRow="0" w:noHBand="0" w:noVBand="1" w:val="04A0"/>
        <w:tblW w:w="9122" w:type="dxa"/>
        <w:tblLayout w:type="fixed"/>
      </w:tblPr>
      <w:tblGrid>
        <w:gridCol w:w="2919"/>
        <w:gridCol w:w="6203"/>
      </w:tblGrid>
      <w:tr>
        <w:tc>
          <w:tcPr>
            <w:tcW w:type="dxa" w:w="2919"/>
            <w:shd w:val="clear" w:color="auto" w:fill="D9D9D9"/>
          </w:tcPr>
          <w:p>
            <w:pPr>
              <w:spacing w:after="40" w:before="40" w:line="240" w:lineRule="auto"/>
              <w:jc w:val="center"/>
            </w:pPr>
            <w:r>
              <w:rPr>
                <w:rFonts w:ascii="Times New Roman" w:hAnsi="Times New Roman"/>
                <w:b/>
                <w:i w:val="0"/>
                <w:sz w:val="20"/>
                <w:u w:val="none"/>
              </w:rPr>
              <w:t>No se requiere</w:t>
            </w:r>
          </w:p>
        </w:tc>
        <w:tc>
          <w:tcPr>
            <w:tcW w:type="dxa" w:w="6203"/>
            <w:shd w:val="clear" w:color="auto" w:fill="D9D9D9"/>
          </w:tcPr>
          <w:p>
            <w:pPr>
              <w:spacing w:after="40" w:before="40" w:line="240" w:lineRule="auto"/>
              <w:jc w:val="center"/>
            </w:pPr>
            <w:r>
              <w:rPr>
                <w:rFonts w:ascii="Times New Roman" w:hAnsi="Times New Roman"/>
                <w:b/>
                <w:i w:val="0"/>
                <w:sz w:val="20"/>
                <w:u w:val="none"/>
              </w:rPr>
              <w:t>Razón</w:t>
            </w:r>
          </w:p>
        </w:tc>
      </w:tr>
      <w:tr>
        <w:tc>
          <w:tcPr>
            <w:tcW w:type="dxa" w:w="2919"/>
          </w:tcPr>
          <w:p>
            <w:pPr>
              <w:spacing w:after="40" w:before="40" w:line="240" w:lineRule="auto"/>
              <w:jc w:val="left"/>
            </w:pPr>
            <w:r>
              <w:rPr>
                <w:rFonts w:ascii="Times New Roman" w:hAnsi="Times New Roman"/>
                <w:b w:val="0"/>
                <w:i w:val="0"/>
                <w:sz w:val="20"/>
                <w:u w:val="none"/>
              </w:rPr>
              <w:t>Escritura pública</w:t>
            </w:r>
          </w:p>
        </w:tc>
        <w:tc>
          <w:tcPr>
            <w:tcW w:type="dxa" w:w="6203"/>
          </w:tcPr>
          <w:p>
            <w:pPr>
              <w:spacing w:after="40" w:before="40" w:line="240" w:lineRule="auto"/>
              <w:jc w:val="left"/>
            </w:pPr>
            <w:r>
              <w:rPr>
                <w:rFonts w:ascii="Times New Roman" w:hAnsi="Times New Roman"/>
                <w:b w:val="0"/>
                <w:i w:val="0"/>
                <w:sz w:val="20"/>
                <w:u w:val="none"/>
              </w:rPr>
              <w:t>El artículo 5.º de la Ley 1258 de 2008 permite constituir la S.A.S. por documento privado. Solo sería obligatoria si se aportaran bienes cuya transferencia exija escritura —un inmueble—, según el parágrafo 2.º de esa norma. Los aportes son en dinero</w:t>
            </w:r>
          </w:p>
        </w:tc>
      </w:tr>
      <w:tr>
        <w:tc>
          <w:tcPr>
            <w:tcW w:type="dxa" w:w="2919"/>
          </w:tcPr>
          <w:p>
            <w:pPr>
              <w:spacing w:after="40" w:before="40" w:line="240" w:lineRule="auto"/>
              <w:jc w:val="left"/>
            </w:pPr>
            <w:r>
              <w:rPr>
                <w:rFonts w:ascii="Times New Roman" w:hAnsi="Times New Roman"/>
                <w:b w:val="0"/>
                <w:i w:val="0"/>
                <w:sz w:val="20"/>
                <w:u w:val="none"/>
              </w:rPr>
              <w:t>Revisor fiscal</w:t>
            </w:r>
          </w:p>
        </w:tc>
        <w:tc>
          <w:tcPr>
            <w:tcW w:type="dxa" w:w="6203"/>
          </w:tcPr>
          <w:p>
            <w:pPr>
              <w:spacing w:after="40" w:before="40" w:line="240" w:lineRule="auto"/>
              <w:jc w:val="left"/>
            </w:pPr>
            <w:r>
              <w:rPr>
                <w:rFonts w:ascii="Times New Roman" w:hAnsi="Times New Roman"/>
                <w:b w:val="0"/>
                <w:i w:val="0"/>
                <w:sz w:val="20"/>
                <w:u w:val="none"/>
              </w:rPr>
              <w:t>Los activos de $600.000.000 están muy por debajo de los 5.000 SMLMV, y al constituirse no hay ejercicio anterior con ingresos que medir (artículo 28 de la Ley 1258 y parágrafo 2.º del artículo 13 de la Ley 43 de 1990)</w:t>
            </w:r>
          </w:p>
        </w:tc>
      </w:tr>
      <w:tr>
        <w:tc>
          <w:tcPr>
            <w:tcW w:type="dxa" w:w="2919"/>
          </w:tcPr>
          <w:p>
            <w:pPr>
              <w:spacing w:after="40" w:before="40" w:line="240" w:lineRule="auto"/>
              <w:jc w:val="left"/>
            </w:pPr>
            <w:r>
              <w:rPr>
                <w:rFonts w:ascii="Times New Roman" w:hAnsi="Times New Roman"/>
                <w:b w:val="0"/>
                <w:i w:val="0"/>
                <w:sz w:val="20"/>
                <w:u w:val="none"/>
              </w:rPr>
              <w:t>Junta directiva</w:t>
            </w:r>
          </w:p>
        </w:tc>
        <w:tc>
          <w:tcPr>
            <w:tcW w:type="dxa" w:w="6203"/>
          </w:tcPr>
          <w:p>
            <w:pPr>
              <w:spacing w:after="40" w:before="40" w:line="240" w:lineRule="auto"/>
              <w:jc w:val="left"/>
            </w:pPr>
            <w:r>
              <w:rPr>
                <w:rFonts w:ascii="Times New Roman" w:hAnsi="Times New Roman"/>
                <w:b w:val="0"/>
                <w:i w:val="0"/>
                <w:sz w:val="20"/>
                <w:u w:val="none"/>
              </w:rPr>
              <w:t>El artículo 25 de la Ley 1258 no la exige. En una sociedad de dos accionistas que son los dos administradores, sería un órgano redundante</w:t>
            </w:r>
          </w:p>
        </w:tc>
      </w:tr>
      <w:tr>
        <w:tc>
          <w:tcPr>
            <w:tcW w:type="dxa" w:w="2919"/>
          </w:tcPr>
          <w:p>
            <w:pPr>
              <w:spacing w:after="40" w:before="40" w:line="240" w:lineRule="auto"/>
              <w:jc w:val="left"/>
            </w:pPr>
            <w:r>
              <w:rPr>
                <w:rFonts w:ascii="Times New Roman" w:hAnsi="Times New Roman"/>
                <w:b w:val="0"/>
                <w:i w:val="0"/>
                <w:sz w:val="20"/>
                <w:u w:val="none"/>
              </w:rPr>
              <w:t>Acta de constitución separada</w:t>
            </w:r>
          </w:p>
        </w:tc>
        <w:tc>
          <w:tcPr>
            <w:tcW w:type="dxa" w:w="6203"/>
          </w:tcPr>
          <w:p>
            <w:pPr>
              <w:spacing w:after="40" w:before="40" w:line="240" w:lineRule="auto"/>
              <w:jc w:val="left"/>
            </w:pPr>
            <w:r>
              <w:rPr>
                <w:rFonts w:ascii="Times New Roman" w:hAnsi="Times New Roman"/>
                <w:b w:val="0"/>
                <w:i w:val="0"/>
                <w:sz w:val="20"/>
                <w:u w:val="none"/>
              </w:rPr>
              <w:t>Los nombramientos constan en el artículo transitorio 1.º del documento privado, y es ese documento —no un acta— el que la Cámara inscribe. El acta n.º 1 del documento 12 cumple una función distinta: abrir el libro de actas y adoptar las decisiones de puesta en marcha</w:t>
            </w:r>
          </w:p>
        </w:tc>
      </w:tr>
      <w:tr>
        <w:tc>
          <w:tcPr>
            <w:tcW w:type="dxa" w:w="2919"/>
          </w:tcPr>
          <w:p>
            <w:pPr>
              <w:spacing w:after="40" w:before="40" w:line="240" w:lineRule="auto"/>
              <w:jc w:val="left"/>
            </w:pPr>
            <w:r>
              <w:rPr>
                <w:rFonts w:ascii="Times New Roman" w:hAnsi="Times New Roman"/>
                <w:b w:val="0"/>
                <w:i w:val="0"/>
                <w:sz w:val="20"/>
                <w:u w:val="none"/>
              </w:rPr>
              <w:t>Inscripción del acta n.º 1 en el registro mercantil</w:t>
            </w:r>
          </w:p>
        </w:tc>
        <w:tc>
          <w:tcPr>
            <w:tcW w:type="dxa" w:w="6203"/>
          </w:tcPr>
          <w:p>
            <w:pPr>
              <w:spacing w:after="40" w:before="40" w:line="240" w:lineRule="auto"/>
              <w:jc w:val="left"/>
            </w:pPr>
            <w:r>
              <w:rPr>
                <w:rFonts w:ascii="Times New Roman" w:hAnsi="Times New Roman"/>
                <w:b w:val="0"/>
                <w:i w:val="0"/>
                <w:sz w:val="20"/>
                <w:u w:val="none"/>
              </w:rPr>
              <w:t>Ninguna de sus decisiones es acto sujeto a registro</w:t>
            </w:r>
          </w:p>
        </w:tc>
      </w:tr>
      <w:tr>
        <w:tc>
          <w:tcPr>
            <w:tcW w:type="dxa" w:w="2919"/>
          </w:tcPr>
          <w:p>
            <w:pPr>
              <w:spacing w:after="40" w:before="40" w:line="240" w:lineRule="auto"/>
              <w:jc w:val="left"/>
            </w:pPr>
            <w:r>
              <w:rPr>
                <w:rFonts w:ascii="Times New Roman" w:hAnsi="Times New Roman"/>
                <w:b w:val="0"/>
                <w:i w:val="0"/>
                <w:sz w:val="20"/>
                <w:u w:val="none"/>
              </w:rPr>
              <w:t>Avalúo de aportes</w:t>
            </w:r>
          </w:p>
        </w:tc>
        <w:tc>
          <w:tcPr>
            <w:tcW w:type="dxa" w:w="6203"/>
          </w:tcPr>
          <w:p>
            <w:pPr>
              <w:spacing w:after="40" w:before="40" w:line="240" w:lineRule="auto"/>
              <w:jc w:val="left"/>
            </w:pPr>
            <w:r>
              <w:rPr>
                <w:rFonts w:ascii="Times New Roman" w:hAnsi="Times New Roman"/>
                <w:b w:val="0"/>
                <w:i w:val="0"/>
                <w:sz w:val="20"/>
                <w:u w:val="none"/>
              </w:rPr>
              <w:t>El artículo 398 del Código de Comercio lo exige para aportes en especie. No hay</w:t>
            </w:r>
          </w:p>
        </w:tc>
      </w:tr>
      <w:tr>
        <w:tc>
          <w:tcPr>
            <w:tcW w:type="dxa" w:w="2919"/>
          </w:tcPr>
          <w:p>
            <w:pPr>
              <w:spacing w:after="40" w:before="40" w:line="240" w:lineRule="auto"/>
              <w:jc w:val="left"/>
            </w:pPr>
            <w:r>
              <w:rPr>
                <w:rFonts w:ascii="Times New Roman" w:hAnsi="Times New Roman"/>
                <w:b w:val="0"/>
                <w:i w:val="0"/>
                <w:sz w:val="20"/>
                <w:u w:val="none"/>
              </w:rPr>
              <w:t>Registro Nacional de Bases de Datos ante la SIC</w:t>
            </w:r>
          </w:p>
        </w:tc>
        <w:tc>
          <w:tcPr>
            <w:tcW w:type="dxa" w:w="6203"/>
          </w:tcPr>
          <w:p>
            <w:pPr>
              <w:spacing w:after="40" w:before="40" w:line="240" w:lineRule="auto"/>
              <w:jc w:val="left"/>
            </w:pPr>
            <w:r>
              <w:rPr>
                <w:rFonts w:ascii="Times New Roman" w:hAnsi="Times New Roman"/>
                <w:b w:val="0"/>
                <w:i w:val="0"/>
                <w:sz w:val="20"/>
                <w:u w:val="none"/>
              </w:rPr>
              <w:t>La obligación depende de superar los topes de activos fijados por la reglamentación; con $600.000.000 la sociedad queda por debajo. Debe revisarse cada año</w:t>
            </w:r>
          </w:p>
        </w:tc>
      </w:tr>
      <w:tr>
        <w:tc>
          <w:tcPr>
            <w:tcW w:type="dxa" w:w="2919"/>
          </w:tcPr>
          <w:p>
            <w:pPr>
              <w:spacing w:after="40" w:before="40" w:line="240" w:lineRule="auto"/>
              <w:jc w:val="left"/>
            </w:pPr>
            <w:r>
              <w:rPr>
                <w:rFonts w:ascii="Times New Roman" w:hAnsi="Times New Roman"/>
                <w:b w:val="0"/>
                <w:i w:val="0"/>
                <w:sz w:val="20"/>
                <w:u w:val="none"/>
              </w:rPr>
              <w:t>Certificado de antecedentes o de no inhabilidad</w:t>
            </w:r>
          </w:p>
        </w:tc>
        <w:tc>
          <w:tcPr>
            <w:tcW w:type="dxa" w:w="6203"/>
          </w:tcPr>
          <w:p>
            <w:pPr>
              <w:spacing w:after="40" w:before="40" w:line="240" w:lineRule="auto"/>
              <w:jc w:val="left"/>
            </w:pPr>
            <w:r>
              <w:rPr>
                <w:rFonts w:ascii="Times New Roman" w:hAnsi="Times New Roman"/>
                <w:b w:val="0"/>
                <w:i w:val="0"/>
                <w:sz w:val="20"/>
                <w:u w:val="none"/>
              </w:rPr>
              <w:t>No se exige para la matrícula. La declaración va en las cartas de aceptación de cargo</w:t>
            </w:r>
          </w:p>
        </w:tc>
      </w:tr>
      <w:tr>
        <w:tc>
          <w:tcPr>
            <w:tcW w:type="dxa" w:w="2919"/>
          </w:tcPr>
          <w:p>
            <w:pPr>
              <w:spacing w:after="40" w:before="40" w:line="240" w:lineRule="auto"/>
              <w:jc w:val="left"/>
            </w:pPr>
            <w:r>
              <w:rPr>
                <w:rFonts w:ascii="Times New Roman" w:hAnsi="Times New Roman"/>
                <w:b w:val="0"/>
                <w:i w:val="0"/>
                <w:sz w:val="20"/>
                <w:u w:val="none"/>
              </w:rPr>
              <w:t>Publicación o aviso de prensa</w:t>
            </w:r>
          </w:p>
        </w:tc>
        <w:tc>
          <w:tcPr>
            <w:tcW w:type="dxa" w:w="6203"/>
          </w:tcPr>
          <w:p>
            <w:pPr>
              <w:spacing w:after="40" w:before="40" w:line="240" w:lineRule="auto"/>
              <w:jc w:val="left"/>
            </w:pPr>
            <w:r>
              <w:rPr>
                <w:rFonts w:ascii="Times New Roman" w:hAnsi="Times New Roman"/>
                <w:b w:val="0"/>
                <w:i w:val="0"/>
                <w:sz w:val="20"/>
                <w:u w:val="none"/>
              </w:rPr>
              <w:t>El régimen de la S.A.S. no lo prevé para la constitución</w:t>
            </w:r>
          </w:p>
        </w:tc>
      </w:tr>
      <w:tr>
        <w:tc>
          <w:tcPr>
            <w:tcW w:type="dxa" w:w="2919"/>
          </w:tcPr>
          <w:p>
            <w:pPr>
              <w:spacing w:after="40" w:before="40" w:line="240" w:lineRule="auto"/>
              <w:jc w:val="left"/>
            </w:pPr>
            <w:r>
              <w:rPr>
                <w:rFonts w:ascii="Times New Roman" w:hAnsi="Times New Roman"/>
                <w:b w:val="0"/>
                <w:i w:val="0"/>
                <w:sz w:val="20"/>
                <w:u w:val="none"/>
              </w:rPr>
              <w:t>Permiso genérico de funcionamiento</w:t>
            </w:r>
          </w:p>
        </w:tc>
        <w:tc>
          <w:tcPr>
            <w:tcW w:type="dxa" w:w="6203"/>
          </w:tcPr>
          <w:p>
            <w:pPr>
              <w:spacing w:after="40" w:before="40" w:line="240" w:lineRule="auto"/>
              <w:jc w:val="left"/>
            </w:pPr>
            <w:r>
              <w:rPr>
                <w:rFonts w:ascii="Times New Roman" w:hAnsi="Times New Roman"/>
                <w:b w:val="0"/>
                <w:i w:val="0"/>
                <w:sz w:val="20"/>
                <w:u w:val="none"/>
              </w:rPr>
              <w:t>No existe como tal. Lo que existe son los cinco requisitos del artículo 2.º de la Ley 232 de 1995 y, aquí, la habilitación sanitaria</w:t>
            </w:r>
          </w:p>
        </w:tc>
      </w:tr>
    </w:tbl>
    <w:p>
      <w:pPr>
        <w:spacing w:after="80"/>
      </w:pPr>
    </w:p>
    <w:p>
      <w:pPr>
        <w:keepNext/>
        <w:spacing w:before="320" w:after="160"/>
        <w:jc w:val="center"/>
      </w:pPr>
      <w:r>
        <w:rPr>
          <w:rFonts w:ascii="Times New Roman" w:hAnsi="Times New Roman"/>
          <w:b/>
          <w:i w:val="0"/>
          <w:sz w:val="24"/>
          <w:u w:val="none"/>
        </w:rPr>
        <w:t>V. RUTA DE EJECUCIÓN</w:t>
      </w:r>
    </w:p>
    <w:tbl>
      <w:tblPr>
        <w:tblStyle w:val="TableGrid"/>
        <w:tblW w:type="auto" w:w="0"/>
        <w:jc w:val="center"/>
        <w:tblLayout w:type="fixed"/>
        <w:tblLook w:firstColumn="1" w:firstRow="1" w:lastColumn="0" w:lastRow="0" w:noHBand="0" w:noVBand="1" w:val="04A0"/>
        <w:tblW w:w="9123" w:type="dxa"/>
        <w:tblLayout w:type="fixed"/>
      </w:tblPr>
      <w:tblGrid>
        <w:gridCol w:w="730"/>
        <w:gridCol w:w="2737"/>
        <w:gridCol w:w="2737"/>
        <w:gridCol w:w="2919"/>
      </w:tblGrid>
      <w:tr>
        <w:tc>
          <w:tcPr>
            <w:tcW w:type="dxa" w:w="730"/>
            <w:shd w:val="clear" w:color="auto" w:fill="D9D9D9"/>
          </w:tcPr>
          <w:p>
            <w:pPr>
              <w:spacing w:after="40" w:before="40" w:line="240" w:lineRule="auto"/>
              <w:jc w:val="center"/>
            </w:pPr>
            <w:r>
              <w:rPr>
                <w:rFonts w:ascii="Times New Roman" w:hAnsi="Times New Roman"/>
                <w:b/>
                <w:i w:val="0"/>
                <w:sz w:val="20"/>
                <w:u w:val="none"/>
              </w:rPr>
              <w:t>Orden</w:t>
            </w:r>
          </w:p>
        </w:tc>
        <w:tc>
          <w:tcPr>
            <w:tcW w:type="dxa" w:w="2737"/>
            <w:shd w:val="clear" w:color="auto" w:fill="D9D9D9"/>
          </w:tcPr>
          <w:p>
            <w:pPr>
              <w:spacing w:after="40" w:before="40" w:line="240" w:lineRule="auto"/>
              <w:jc w:val="center"/>
            </w:pPr>
            <w:r>
              <w:rPr>
                <w:rFonts w:ascii="Times New Roman" w:hAnsi="Times New Roman"/>
                <w:b/>
                <w:i w:val="0"/>
                <w:sz w:val="20"/>
                <w:u w:val="none"/>
              </w:rPr>
              <w:t>Actuación</w:t>
            </w:r>
          </w:p>
        </w:tc>
        <w:tc>
          <w:tcPr>
            <w:tcW w:type="dxa" w:w="2737"/>
            <w:shd w:val="clear" w:color="auto" w:fill="D9D9D9"/>
          </w:tcPr>
          <w:p>
            <w:pPr>
              <w:spacing w:after="40" w:before="40" w:line="240" w:lineRule="auto"/>
              <w:jc w:val="center"/>
            </w:pPr>
            <w:r>
              <w:rPr>
                <w:rFonts w:ascii="Times New Roman" w:hAnsi="Times New Roman"/>
                <w:b/>
                <w:i w:val="0"/>
                <w:sz w:val="20"/>
                <w:u w:val="none"/>
              </w:rPr>
              <w:t>Dónde</w:t>
            </w:r>
          </w:p>
        </w:tc>
        <w:tc>
          <w:tcPr>
            <w:tcW w:type="dxa" w:w="2919"/>
            <w:shd w:val="clear" w:color="auto" w:fill="D9D9D9"/>
          </w:tcPr>
          <w:p>
            <w:pPr>
              <w:spacing w:after="40" w:before="40" w:line="240" w:lineRule="auto"/>
              <w:jc w:val="center"/>
            </w:pPr>
            <w:r>
              <w:rPr>
                <w:rFonts w:ascii="Times New Roman" w:hAnsi="Times New Roman"/>
                <w:b/>
                <w:i w:val="0"/>
                <w:sz w:val="20"/>
                <w:u w:val="none"/>
              </w:rPr>
              <w:t>Producto</w:t>
            </w:r>
          </w:p>
        </w:tc>
      </w:tr>
      <w:tr>
        <w:tc>
          <w:tcPr>
            <w:tcW w:type="dxa" w:w="730"/>
          </w:tcPr>
          <w:p>
            <w:pPr>
              <w:spacing w:after="40" w:before="40" w:line="240" w:lineRule="auto"/>
              <w:jc w:val="left"/>
            </w:pPr>
            <w:r>
              <w:rPr>
                <w:rFonts w:ascii="Times New Roman" w:hAnsi="Times New Roman"/>
                <w:b w:val="0"/>
                <w:i w:val="0"/>
                <w:sz w:val="20"/>
                <w:u w:val="none"/>
              </w:rPr>
              <w:t>1</w:t>
            </w:r>
          </w:p>
        </w:tc>
        <w:tc>
          <w:tcPr>
            <w:tcW w:type="dxa" w:w="2737"/>
          </w:tcPr>
          <w:p>
            <w:pPr>
              <w:spacing w:after="40" w:before="40" w:line="240" w:lineRule="auto"/>
              <w:jc w:val="left"/>
            </w:pPr>
            <w:r>
              <w:rPr>
                <w:rFonts w:ascii="Times New Roman" w:hAnsi="Times New Roman"/>
                <w:b w:val="0"/>
                <w:i w:val="0"/>
                <w:sz w:val="20"/>
                <w:u w:val="none"/>
              </w:rPr>
              <w:t>Consulta de homonimia</w:t>
            </w:r>
          </w:p>
        </w:tc>
        <w:tc>
          <w:tcPr>
            <w:tcW w:type="dxa" w:w="2737"/>
          </w:tcPr>
          <w:p>
            <w:pPr>
              <w:spacing w:after="40" w:before="40" w:line="240" w:lineRule="auto"/>
              <w:jc w:val="left"/>
            </w:pPr>
            <w:r>
              <w:rPr>
                <w:rFonts w:ascii="Times New Roman" w:hAnsi="Times New Roman"/>
                <w:b w:val="0"/>
                <w:i w:val="0"/>
                <w:sz w:val="20"/>
                <w:u w:val="none"/>
              </w:rPr>
              <w:t>rues.org.co</w:t>
            </w:r>
          </w:p>
        </w:tc>
        <w:tc>
          <w:tcPr>
            <w:tcW w:type="dxa" w:w="2919"/>
          </w:tcPr>
          <w:p>
            <w:pPr>
              <w:spacing w:after="40" w:before="40" w:line="240" w:lineRule="auto"/>
              <w:jc w:val="left"/>
            </w:pPr>
            <w:r>
              <w:rPr>
                <w:rFonts w:ascii="Times New Roman" w:hAnsi="Times New Roman"/>
                <w:b w:val="0"/>
                <w:i w:val="0"/>
                <w:sz w:val="20"/>
                <w:u w:val="none"/>
              </w:rPr>
              <w:t>Nombre disponible</w:t>
            </w:r>
          </w:p>
        </w:tc>
      </w:tr>
      <w:tr>
        <w:tc>
          <w:tcPr>
            <w:tcW w:type="dxa" w:w="730"/>
          </w:tcPr>
          <w:p>
            <w:pPr>
              <w:spacing w:after="40" w:before="40" w:line="240" w:lineRule="auto"/>
              <w:jc w:val="left"/>
            </w:pPr>
            <w:r>
              <w:rPr>
                <w:rFonts w:ascii="Times New Roman" w:hAnsi="Times New Roman"/>
                <w:b w:val="0"/>
                <w:i w:val="0"/>
                <w:sz w:val="20"/>
                <w:u w:val="none"/>
              </w:rPr>
              <w:t>2</w:t>
            </w:r>
          </w:p>
        </w:tc>
        <w:tc>
          <w:tcPr>
            <w:tcW w:type="dxa" w:w="2737"/>
          </w:tcPr>
          <w:p>
            <w:pPr>
              <w:spacing w:after="40" w:before="40" w:line="240" w:lineRule="auto"/>
              <w:jc w:val="left"/>
            </w:pPr>
            <w:r>
              <w:rPr>
                <w:rFonts w:ascii="Times New Roman" w:hAnsi="Times New Roman"/>
                <w:b w:val="0"/>
                <w:i w:val="0"/>
                <w:sz w:val="20"/>
                <w:u w:val="none"/>
              </w:rPr>
              <w:t>Consulta de uso del suelo</w:t>
            </w:r>
          </w:p>
        </w:tc>
        <w:tc>
          <w:tcPr>
            <w:tcW w:type="dxa" w:w="2737"/>
          </w:tcPr>
          <w:p>
            <w:pPr>
              <w:spacing w:after="40" w:before="40" w:line="240" w:lineRule="auto"/>
              <w:jc w:val="left"/>
            </w:pPr>
            <w:r>
              <w:rPr>
                <w:rFonts w:ascii="Times New Roman" w:hAnsi="Times New Roman"/>
                <w:b w:val="0"/>
                <w:i w:val="0"/>
                <w:sz w:val="20"/>
                <w:u w:val="none"/>
              </w:rPr>
              <w:t>Curaduría / Planeación de Medellín</w:t>
            </w:r>
          </w:p>
        </w:tc>
        <w:tc>
          <w:tcPr>
            <w:tcW w:type="dxa" w:w="2919"/>
          </w:tcPr>
          <w:p>
            <w:pPr>
              <w:spacing w:after="40" w:before="40" w:line="240" w:lineRule="auto"/>
              <w:jc w:val="left"/>
            </w:pPr>
            <w:r>
              <w:rPr>
                <w:rFonts w:ascii="Times New Roman" w:hAnsi="Times New Roman"/>
                <w:b w:val="0"/>
                <w:i w:val="0"/>
                <w:sz w:val="20"/>
                <w:u w:val="none"/>
              </w:rPr>
              <w:t>Concepto de viabilidad</w:t>
            </w:r>
          </w:p>
        </w:tc>
      </w:tr>
      <w:tr>
        <w:tc>
          <w:tcPr>
            <w:tcW w:type="dxa" w:w="730"/>
          </w:tcPr>
          <w:p>
            <w:pPr>
              <w:spacing w:after="40" w:before="40" w:line="240" w:lineRule="auto"/>
              <w:jc w:val="left"/>
            </w:pPr>
            <w:r>
              <w:rPr>
                <w:rFonts w:ascii="Times New Roman" w:hAnsi="Times New Roman"/>
                <w:b w:val="0"/>
                <w:i w:val="0"/>
                <w:sz w:val="20"/>
                <w:u w:val="none"/>
              </w:rPr>
              <w:t>3</w:t>
            </w:r>
          </w:p>
        </w:tc>
        <w:tc>
          <w:tcPr>
            <w:tcW w:type="dxa" w:w="2737"/>
          </w:tcPr>
          <w:p>
            <w:pPr>
              <w:spacing w:after="40" w:before="40" w:line="240" w:lineRule="auto"/>
              <w:jc w:val="left"/>
            </w:pPr>
            <w:r>
              <w:rPr>
                <w:rFonts w:ascii="Times New Roman" w:hAnsi="Times New Roman"/>
                <w:b w:val="0"/>
                <w:i w:val="0"/>
                <w:sz w:val="20"/>
                <w:u w:val="none"/>
              </w:rPr>
              <w:t>Firma del documento de constitución</w:t>
            </w:r>
          </w:p>
        </w:tc>
        <w:tc>
          <w:tcPr>
            <w:tcW w:type="dxa" w:w="2737"/>
          </w:tcPr>
          <w:p>
            <w:pPr>
              <w:spacing w:after="40" w:before="40" w:line="240" w:lineRule="auto"/>
              <w:jc w:val="left"/>
            </w:pPr>
            <w:r>
              <w:rPr>
                <w:rFonts w:ascii="Times New Roman" w:hAnsi="Times New Roman"/>
                <w:b w:val="0"/>
                <w:i w:val="0"/>
                <w:sz w:val="20"/>
                <w:u w:val="none"/>
              </w:rPr>
              <w:t>Entre los accionistas</w:t>
            </w:r>
          </w:p>
        </w:tc>
        <w:tc>
          <w:tcPr>
            <w:tcW w:type="dxa" w:w="2919"/>
          </w:tcPr>
          <w:p>
            <w:pPr>
              <w:spacing w:after="40" w:before="40" w:line="240" w:lineRule="auto"/>
              <w:jc w:val="left"/>
            </w:pPr>
            <w:r>
              <w:rPr>
                <w:rFonts w:ascii="Times New Roman" w:hAnsi="Times New Roman"/>
                <w:b w:val="0"/>
                <w:i w:val="0"/>
                <w:sz w:val="20"/>
                <w:u w:val="none"/>
              </w:rPr>
              <w:t>Acto constitutivo</w:t>
            </w:r>
          </w:p>
        </w:tc>
      </w:tr>
      <w:tr>
        <w:tc>
          <w:tcPr>
            <w:tcW w:type="dxa" w:w="730"/>
          </w:tcPr>
          <w:p>
            <w:pPr>
              <w:spacing w:after="40" w:before="40" w:line="240" w:lineRule="auto"/>
              <w:jc w:val="left"/>
            </w:pPr>
            <w:r>
              <w:rPr>
                <w:rFonts w:ascii="Times New Roman" w:hAnsi="Times New Roman"/>
                <w:b w:val="0"/>
                <w:i w:val="0"/>
                <w:sz w:val="20"/>
                <w:u w:val="none"/>
              </w:rPr>
              <w:t>4</w:t>
            </w:r>
          </w:p>
        </w:tc>
        <w:tc>
          <w:tcPr>
            <w:tcW w:type="dxa" w:w="2737"/>
          </w:tcPr>
          <w:p>
            <w:pPr>
              <w:spacing w:after="40" w:before="40" w:line="240" w:lineRule="auto"/>
              <w:jc w:val="left"/>
            </w:pPr>
            <w:r>
              <w:rPr>
                <w:rFonts w:ascii="Times New Roman" w:hAnsi="Times New Roman"/>
                <w:b w:val="0"/>
                <w:i w:val="0"/>
                <w:sz w:val="20"/>
                <w:u w:val="none"/>
              </w:rPr>
              <w:t>Reconocimiento de firma</w:t>
            </w:r>
          </w:p>
        </w:tc>
        <w:tc>
          <w:tcPr>
            <w:tcW w:type="dxa" w:w="2737"/>
          </w:tcPr>
          <w:p>
            <w:pPr>
              <w:spacing w:after="40" w:before="40" w:line="240" w:lineRule="auto"/>
              <w:jc w:val="left"/>
            </w:pPr>
            <w:r>
              <w:rPr>
                <w:rFonts w:ascii="Times New Roman" w:hAnsi="Times New Roman"/>
                <w:b w:val="0"/>
                <w:i w:val="0"/>
                <w:sz w:val="20"/>
                <w:u w:val="none"/>
              </w:rPr>
              <w:t>Notaría de Medellín y notaría de Envigado</w:t>
            </w:r>
          </w:p>
        </w:tc>
        <w:tc>
          <w:tcPr>
            <w:tcW w:type="dxa" w:w="2919"/>
          </w:tcPr>
          <w:p>
            <w:pPr>
              <w:spacing w:after="40" w:before="40" w:line="240" w:lineRule="auto"/>
              <w:jc w:val="left"/>
            </w:pPr>
            <w:r>
              <w:rPr>
                <w:rFonts w:ascii="Times New Roman" w:hAnsi="Times New Roman"/>
                <w:b w:val="0"/>
                <w:i w:val="0"/>
                <w:sz w:val="20"/>
                <w:u w:val="none"/>
              </w:rPr>
              <w:t>Documento auténtico</w:t>
            </w:r>
          </w:p>
        </w:tc>
      </w:tr>
      <w:tr>
        <w:tc>
          <w:tcPr>
            <w:tcW w:type="dxa" w:w="730"/>
          </w:tcPr>
          <w:p>
            <w:pPr>
              <w:spacing w:after="40" w:before="40" w:line="240" w:lineRule="auto"/>
              <w:jc w:val="left"/>
            </w:pPr>
            <w:r>
              <w:rPr>
                <w:rFonts w:ascii="Times New Roman" w:hAnsi="Times New Roman"/>
                <w:b w:val="0"/>
                <w:i w:val="0"/>
                <w:sz w:val="20"/>
                <w:u w:val="none"/>
              </w:rPr>
              <w:t>5</w:t>
            </w:r>
          </w:p>
        </w:tc>
        <w:tc>
          <w:tcPr>
            <w:tcW w:type="dxa" w:w="2737"/>
          </w:tcPr>
          <w:p>
            <w:pPr>
              <w:spacing w:after="40" w:before="40" w:line="240" w:lineRule="auto"/>
              <w:jc w:val="left"/>
            </w:pPr>
            <w:r>
              <w:rPr>
                <w:rFonts w:ascii="Times New Roman" w:hAnsi="Times New Roman"/>
                <w:b w:val="0"/>
                <w:i w:val="0"/>
                <w:sz w:val="20"/>
                <w:u w:val="none"/>
              </w:rPr>
              <w:t>Apertura de cuenta y consignación de aportes</w:t>
            </w:r>
          </w:p>
        </w:tc>
        <w:tc>
          <w:tcPr>
            <w:tcW w:type="dxa" w:w="2737"/>
          </w:tcPr>
          <w:p>
            <w:pPr>
              <w:spacing w:after="40" w:before="40" w:line="240" w:lineRule="auto"/>
              <w:jc w:val="left"/>
            </w:pPr>
            <w:r>
              <w:rPr>
                <w:rFonts w:ascii="Times New Roman" w:hAnsi="Times New Roman"/>
                <w:b w:val="0"/>
                <w:i w:val="0"/>
                <w:sz w:val="20"/>
                <w:u w:val="none"/>
              </w:rPr>
              <w:t>Entidad bancaria</w:t>
            </w:r>
          </w:p>
        </w:tc>
        <w:tc>
          <w:tcPr>
            <w:tcW w:type="dxa" w:w="2919"/>
          </w:tcPr>
          <w:p>
            <w:pPr>
              <w:spacing w:after="40" w:before="40" w:line="240" w:lineRule="auto"/>
              <w:jc w:val="left"/>
            </w:pPr>
            <w:r>
              <w:rPr>
                <w:rFonts w:ascii="Times New Roman" w:hAnsi="Times New Roman"/>
                <w:b w:val="0"/>
                <w:i w:val="0"/>
                <w:sz w:val="20"/>
                <w:u w:val="none"/>
              </w:rPr>
              <w:t>Comprobantes del capital</w:t>
            </w:r>
          </w:p>
        </w:tc>
      </w:tr>
      <w:tr>
        <w:tc>
          <w:tcPr>
            <w:tcW w:type="dxa" w:w="730"/>
          </w:tcPr>
          <w:p>
            <w:pPr>
              <w:spacing w:after="40" w:before="40" w:line="240" w:lineRule="auto"/>
              <w:jc w:val="left"/>
            </w:pPr>
            <w:r>
              <w:rPr>
                <w:rFonts w:ascii="Times New Roman" w:hAnsi="Times New Roman"/>
                <w:b w:val="0"/>
                <w:i w:val="0"/>
                <w:sz w:val="20"/>
                <w:u w:val="none"/>
              </w:rPr>
              <w:t>6</w:t>
            </w:r>
          </w:p>
        </w:tc>
        <w:tc>
          <w:tcPr>
            <w:tcW w:type="dxa" w:w="2737"/>
          </w:tcPr>
          <w:p>
            <w:pPr>
              <w:spacing w:after="40" w:before="40" w:line="240" w:lineRule="auto"/>
              <w:jc w:val="left"/>
            </w:pPr>
            <w:r>
              <w:rPr>
                <w:rFonts w:ascii="Times New Roman" w:hAnsi="Times New Roman"/>
                <w:b w:val="0"/>
                <w:i w:val="0"/>
                <w:sz w:val="20"/>
                <w:u w:val="none"/>
              </w:rPr>
              <w:t>Firma de la certificación de capital</w:t>
            </w:r>
          </w:p>
        </w:tc>
        <w:tc>
          <w:tcPr>
            <w:tcW w:type="dxa" w:w="2737"/>
          </w:tcPr>
          <w:p>
            <w:pPr>
              <w:spacing w:after="40" w:before="40" w:line="240" w:lineRule="auto"/>
              <w:jc w:val="left"/>
            </w:pPr>
            <w:r>
              <w:rPr>
                <w:rFonts w:ascii="Times New Roman" w:hAnsi="Times New Roman"/>
                <w:b w:val="0"/>
                <w:i w:val="0"/>
                <w:sz w:val="20"/>
                <w:u w:val="none"/>
              </w:rPr>
              <w:t>Contador público</w:t>
            </w:r>
          </w:p>
        </w:tc>
        <w:tc>
          <w:tcPr>
            <w:tcW w:type="dxa" w:w="2919"/>
          </w:tcPr>
          <w:p>
            <w:pPr>
              <w:spacing w:after="40" w:before="40" w:line="240" w:lineRule="auto"/>
              <w:jc w:val="left"/>
            </w:pPr>
            <w:r>
              <w:rPr>
                <w:rFonts w:ascii="Times New Roman" w:hAnsi="Times New Roman"/>
                <w:b w:val="0"/>
                <w:i w:val="0"/>
                <w:sz w:val="20"/>
                <w:u w:val="none"/>
              </w:rPr>
              <w:t>Soporte de los activos</w:t>
            </w:r>
          </w:p>
        </w:tc>
      </w:tr>
      <w:tr>
        <w:tc>
          <w:tcPr>
            <w:tcW w:type="dxa" w:w="730"/>
          </w:tcPr>
          <w:p>
            <w:pPr>
              <w:spacing w:after="40" w:before="40" w:line="240" w:lineRule="auto"/>
              <w:jc w:val="left"/>
            </w:pPr>
            <w:r>
              <w:rPr>
                <w:rFonts w:ascii="Times New Roman" w:hAnsi="Times New Roman"/>
                <w:b w:val="0"/>
                <w:i w:val="0"/>
                <w:sz w:val="20"/>
                <w:u w:val="none"/>
              </w:rPr>
              <w:t>7</w:t>
            </w:r>
          </w:p>
        </w:tc>
        <w:tc>
          <w:tcPr>
            <w:tcW w:type="dxa" w:w="2737"/>
          </w:tcPr>
          <w:p>
            <w:pPr>
              <w:spacing w:after="40" w:before="40" w:line="240" w:lineRule="auto"/>
              <w:jc w:val="left"/>
            </w:pPr>
            <w:r>
              <w:rPr>
                <w:rFonts w:ascii="Times New Roman" w:hAnsi="Times New Roman"/>
                <w:b w:val="0"/>
                <w:i w:val="0"/>
                <w:sz w:val="20"/>
                <w:u w:val="none"/>
              </w:rPr>
              <w:t>Inscripción en el RUT</w:t>
            </w:r>
          </w:p>
        </w:tc>
        <w:tc>
          <w:tcPr>
            <w:tcW w:type="dxa" w:w="2737"/>
          </w:tcPr>
          <w:p>
            <w:pPr>
              <w:spacing w:after="40" w:before="40" w:line="240" w:lineRule="auto"/>
              <w:jc w:val="left"/>
            </w:pPr>
            <w:r>
              <w:rPr>
                <w:rFonts w:ascii="Times New Roman" w:hAnsi="Times New Roman"/>
                <w:b w:val="0"/>
                <w:i w:val="0"/>
                <w:sz w:val="20"/>
                <w:u w:val="none"/>
              </w:rPr>
              <w:t>Portal DIAN</w:t>
            </w:r>
          </w:p>
        </w:tc>
        <w:tc>
          <w:tcPr>
            <w:tcW w:type="dxa" w:w="2919"/>
          </w:tcPr>
          <w:p>
            <w:pPr>
              <w:spacing w:after="40" w:before="40" w:line="240" w:lineRule="auto"/>
              <w:jc w:val="left"/>
            </w:pPr>
            <w:r>
              <w:rPr>
                <w:rFonts w:ascii="Times New Roman" w:hAnsi="Times New Roman"/>
                <w:b w:val="0"/>
                <w:i w:val="0"/>
                <w:sz w:val="20"/>
                <w:u w:val="none"/>
              </w:rPr>
              <w:t>RUT provisional con número de formulario</w:t>
            </w:r>
          </w:p>
        </w:tc>
      </w:tr>
      <w:tr>
        <w:tc>
          <w:tcPr>
            <w:tcW w:type="dxa" w:w="730"/>
          </w:tcPr>
          <w:p>
            <w:pPr>
              <w:spacing w:after="40" w:before="40" w:line="240" w:lineRule="auto"/>
              <w:jc w:val="left"/>
            </w:pPr>
            <w:r>
              <w:rPr>
                <w:rFonts w:ascii="Times New Roman" w:hAnsi="Times New Roman"/>
                <w:b w:val="0"/>
                <w:i w:val="0"/>
                <w:sz w:val="20"/>
                <w:u w:val="none"/>
              </w:rPr>
              <w:t>8</w:t>
            </w:r>
          </w:p>
        </w:tc>
        <w:tc>
          <w:tcPr>
            <w:tcW w:type="dxa" w:w="2737"/>
          </w:tcPr>
          <w:p>
            <w:pPr>
              <w:spacing w:after="40" w:before="40" w:line="240" w:lineRule="auto"/>
              <w:jc w:val="left"/>
            </w:pPr>
            <w:r>
              <w:rPr>
                <w:rFonts w:ascii="Times New Roman" w:hAnsi="Times New Roman"/>
                <w:b w:val="0"/>
                <w:i w:val="0"/>
                <w:sz w:val="20"/>
                <w:u w:val="none"/>
              </w:rPr>
              <w:t>Diligenciamiento de los formularios</w:t>
            </w:r>
          </w:p>
        </w:tc>
        <w:tc>
          <w:tcPr>
            <w:tcW w:type="dxa" w:w="2737"/>
          </w:tcPr>
          <w:p>
            <w:pPr>
              <w:spacing w:after="40" w:before="40" w:line="240" w:lineRule="auto"/>
              <w:jc w:val="left"/>
            </w:pPr>
            <w:r>
              <w:rPr>
                <w:rFonts w:ascii="Times New Roman" w:hAnsi="Times New Roman"/>
                <w:b w:val="0"/>
                <w:i w:val="0"/>
                <w:sz w:val="20"/>
                <w:u w:val="none"/>
              </w:rPr>
              <w:t>Sede virtual o taquilla de la Cámara</w:t>
            </w:r>
          </w:p>
        </w:tc>
        <w:tc>
          <w:tcPr>
            <w:tcW w:type="dxa" w:w="2919"/>
          </w:tcPr>
          <w:p>
            <w:pPr>
              <w:spacing w:after="40" w:before="40" w:line="240" w:lineRule="auto"/>
              <w:jc w:val="left"/>
            </w:pPr>
            <w:r>
              <w:rPr>
                <w:rFonts w:ascii="Times New Roman" w:hAnsi="Times New Roman"/>
                <w:b w:val="0"/>
                <w:i w:val="0"/>
                <w:sz w:val="20"/>
                <w:u w:val="none"/>
              </w:rPr>
              <w:t>Carátula, anexos y formulario de otras entidades</w:t>
            </w:r>
          </w:p>
        </w:tc>
      </w:tr>
      <w:tr>
        <w:tc>
          <w:tcPr>
            <w:tcW w:type="dxa" w:w="730"/>
          </w:tcPr>
          <w:p>
            <w:pPr>
              <w:spacing w:after="40" w:before="40" w:line="240" w:lineRule="auto"/>
              <w:jc w:val="left"/>
            </w:pPr>
            <w:r>
              <w:rPr>
                <w:rFonts w:ascii="Times New Roman" w:hAnsi="Times New Roman"/>
                <w:b w:val="0"/>
                <w:i w:val="0"/>
                <w:sz w:val="20"/>
                <w:u w:val="none"/>
              </w:rPr>
              <w:t>9</w:t>
            </w:r>
          </w:p>
        </w:tc>
        <w:tc>
          <w:tcPr>
            <w:tcW w:type="dxa" w:w="2737"/>
          </w:tcPr>
          <w:p>
            <w:pPr>
              <w:spacing w:after="40" w:before="40" w:line="240" w:lineRule="auto"/>
              <w:jc w:val="left"/>
            </w:pPr>
            <w:r>
              <w:rPr>
                <w:rFonts w:ascii="Times New Roman" w:hAnsi="Times New Roman"/>
                <w:b w:val="0"/>
                <w:i w:val="0"/>
                <w:sz w:val="20"/>
                <w:u w:val="none"/>
              </w:rPr>
              <w:t>Pago del impuesto de registro</w:t>
            </w:r>
          </w:p>
        </w:tc>
        <w:tc>
          <w:tcPr>
            <w:tcW w:type="dxa" w:w="2737"/>
          </w:tcPr>
          <w:p>
            <w:pPr>
              <w:spacing w:after="40" w:before="40" w:line="240" w:lineRule="auto"/>
              <w:jc w:val="left"/>
            </w:pPr>
            <w:r>
              <w:rPr>
                <w:rFonts w:ascii="Times New Roman" w:hAnsi="Times New Roman"/>
                <w:b w:val="0"/>
                <w:i w:val="0"/>
                <w:sz w:val="20"/>
                <w:u w:val="none"/>
              </w:rPr>
              <w:t>Gobernación de Antioquia o Cámara</w:t>
            </w:r>
          </w:p>
        </w:tc>
        <w:tc>
          <w:tcPr>
            <w:tcW w:type="dxa" w:w="2919"/>
          </w:tcPr>
          <w:p>
            <w:pPr>
              <w:spacing w:after="40" w:before="40" w:line="240" w:lineRule="auto"/>
              <w:jc w:val="left"/>
            </w:pPr>
            <w:r>
              <w:rPr>
                <w:rFonts w:ascii="Times New Roman" w:hAnsi="Times New Roman"/>
                <w:b w:val="0"/>
                <w:i w:val="0"/>
                <w:sz w:val="20"/>
                <w:u w:val="none"/>
              </w:rPr>
              <w:t>Comprobante por $4.200.000</w:t>
            </w:r>
          </w:p>
        </w:tc>
      </w:tr>
      <w:tr>
        <w:tc>
          <w:tcPr>
            <w:tcW w:type="dxa" w:w="730"/>
          </w:tcPr>
          <w:p>
            <w:pPr>
              <w:spacing w:after="40" w:before="40" w:line="240" w:lineRule="auto"/>
              <w:jc w:val="left"/>
            </w:pPr>
            <w:r>
              <w:rPr>
                <w:rFonts w:ascii="Times New Roman" w:hAnsi="Times New Roman"/>
                <w:b w:val="0"/>
                <w:i w:val="0"/>
                <w:sz w:val="20"/>
                <w:u w:val="none"/>
              </w:rPr>
              <w:t>10</w:t>
            </w:r>
          </w:p>
        </w:tc>
        <w:tc>
          <w:tcPr>
            <w:tcW w:type="dxa" w:w="2737"/>
          </w:tcPr>
          <w:p>
            <w:pPr>
              <w:spacing w:after="40" w:before="40" w:line="240" w:lineRule="auto"/>
              <w:jc w:val="left"/>
            </w:pPr>
            <w:r>
              <w:rPr>
                <w:rFonts w:ascii="Times New Roman" w:hAnsi="Times New Roman"/>
                <w:b w:val="0"/>
                <w:i w:val="0"/>
                <w:sz w:val="20"/>
                <w:u w:val="none"/>
              </w:rPr>
              <w:t>Radicación del expediente</w:t>
            </w:r>
          </w:p>
        </w:tc>
        <w:tc>
          <w:tcPr>
            <w:tcW w:type="dxa" w:w="2737"/>
          </w:tcPr>
          <w:p>
            <w:pPr>
              <w:spacing w:after="40" w:before="40" w:line="240" w:lineRule="auto"/>
              <w:jc w:val="left"/>
            </w:pPr>
            <w:r>
              <w:rPr>
                <w:rFonts w:ascii="Times New Roman" w:hAnsi="Times New Roman"/>
                <w:b w:val="0"/>
                <w:i w:val="0"/>
                <w:sz w:val="20"/>
                <w:u w:val="none"/>
              </w:rPr>
              <w:t>Cámara de Comercio de Medellín</w:t>
            </w:r>
          </w:p>
        </w:tc>
        <w:tc>
          <w:tcPr>
            <w:tcW w:type="dxa" w:w="2919"/>
          </w:tcPr>
          <w:p>
            <w:pPr>
              <w:spacing w:after="40" w:before="40" w:line="240" w:lineRule="auto"/>
              <w:jc w:val="left"/>
            </w:pPr>
            <w:r>
              <w:rPr>
                <w:rFonts w:ascii="Times New Roman" w:hAnsi="Times New Roman"/>
                <w:b w:val="0"/>
                <w:i w:val="0"/>
                <w:sz w:val="20"/>
                <w:u w:val="none"/>
              </w:rPr>
              <w:t>Matrícula de la sociedad y del establecimiento</w:t>
            </w:r>
          </w:p>
        </w:tc>
      </w:tr>
      <w:tr>
        <w:tc>
          <w:tcPr>
            <w:tcW w:type="dxa" w:w="730"/>
          </w:tcPr>
          <w:p>
            <w:pPr>
              <w:spacing w:after="40" w:before="40" w:line="240" w:lineRule="auto"/>
              <w:jc w:val="left"/>
            </w:pPr>
            <w:r>
              <w:rPr>
                <w:rFonts w:ascii="Times New Roman" w:hAnsi="Times New Roman"/>
                <w:b w:val="0"/>
                <w:i w:val="0"/>
                <w:sz w:val="20"/>
                <w:u w:val="none"/>
              </w:rPr>
              <w:t>11</w:t>
            </w:r>
          </w:p>
        </w:tc>
        <w:tc>
          <w:tcPr>
            <w:tcW w:type="dxa" w:w="2737"/>
          </w:tcPr>
          <w:p>
            <w:pPr>
              <w:spacing w:after="40" w:before="40" w:line="240" w:lineRule="auto"/>
              <w:jc w:val="left"/>
            </w:pPr>
            <w:r>
              <w:rPr>
                <w:rFonts w:ascii="Times New Roman" w:hAnsi="Times New Roman"/>
                <w:b w:val="0"/>
                <w:i w:val="0"/>
                <w:sz w:val="20"/>
                <w:u w:val="none"/>
              </w:rPr>
              <w:t>Inscripción de libros</w:t>
            </w:r>
          </w:p>
        </w:tc>
        <w:tc>
          <w:tcPr>
            <w:tcW w:type="dxa" w:w="2737"/>
          </w:tcPr>
          <w:p>
            <w:pPr>
              <w:spacing w:after="40" w:before="40" w:line="240" w:lineRule="auto"/>
              <w:jc w:val="left"/>
            </w:pPr>
            <w:r>
              <w:rPr>
                <w:rFonts w:ascii="Times New Roman" w:hAnsi="Times New Roman"/>
                <w:b w:val="0"/>
                <w:i w:val="0"/>
                <w:sz w:val="20"/>
                <w:u w:val="none"/>
              </w:rPr>
              <w:t>Cámara de Comercio</w:t>
            </w:r>
          </w:p>
        </w:tc>
        <w:tc>
          <w:tcPr>
            <w:tcW w:type="dxa" w:w="2919"/>
          </w:tcPr>
          <w:p>
            <w:pPr>
              <w:spacing w:after="40" w:before="40" w:line="240" w:lineRule="auto"/>
              <w:jc w:val="left"/>
            </w:pPr>
            <w:r>
              <w:rPr>
                <w:rFonts w:ascii="Times New Roman" w:hAnsi="Times New Roman"/>
                <w:b w:val="0"/>
                <w:i w:val="0"/>
                <w:sz w:val="20"/>
                <w:u w:val="none"/>
              </w:rPr>
              <w:t>Libros de accionistas y de actas</w:t>
            </w:r>
          </w:p>
        </w:tc>
      </w:tr>
      <w:tr>
        <w:tc>
          <w:tcPr>
            <w:tcW w:type="dxa" w:w="730"/>
          </w:tcPr>
          <w:p>
            <w:pPr>
              <w:spacing w:after="40" w:before="40" w:line="240" w:lineRule="auto"/>
              <w:jc w:val="left"/>
            </w:pPr>
            <w:r>
              <w:rPr>
                <w:rFonts w:ascii="Times New Roman" w:hAnsi="Times New Roman"/>
                <w:b w:val="0"/>
                <w:i w:val="0"/>
                <w:sz w:val="20"/>
                <w:u w:val="none"/>
              </w:rPr>
              <w:t>12</w:t>
            </w:r>
          </w:p>
        </w:tc>
        <w:tc>
          <w:tcPr>
            <w:tcW w:type="dxa" w:w="2737"/>
          </w:tcPr>
          <w:p>
            <w:pPr>
              <w:spacing w:after="40" w:before="40" w:line="240" w:lineRule="auto"/>
              <w:jc w:val="left"/>
            </w:pPr>
            <w:r>
              <w:rPr>
                <w:rFonts w:ascii="Times New Roman" w:hAnsi="Times New Roman"/>
                <w:b w:val="0"/>
                <w:i w:val="0"/>
                <w:sz w:val="20"/>
                <w:u w:val="none"/>
              </w:rPr>
              <w:t>Formalización del RUT</w:t>
            </w:r>
          </w:p>
        </w:tc>
        <w:tc>
          <w:tcPr>
            <w:tcW w:type="dxa" w:w="2737"/>
          </w:tcPr>
          <w:p>
            <w:pPr>
              <w:spacing w:after="40" w:before="40" w:line="240" w:lineRule="auto"/>
              <w:jc w:val="left"/>
            </w:pPr>
            <w:r>
              <w:rPr>
                <w:rFonts w:ascii="Times New Roman" w:hAnsi="Times New Roman"/>
                <w:b w:val="0"/>
                <w:i w:val="0"/>
                <w:sz w:val="20"/>
                <w:u w:val="none"/>
              </w:rPr>
              <w:t>DIAN</w:t>
            </w:r>
          </w:p>
        </w:tc>
        <w:tc>
          <w:tcPr>
            <w:tcW w:type="dxa" w:w="2919"/>
          </w:tcPr>
          <w:p>
            <w:pPr>
              <w:spacing w:after="40" w:before="40" w:line="240" w:lineRule="auto"/>
              <w:jc w:val="left"/>
            </w:pPr>
            <w:r>
              <w:rPr>
                <w:rFonts w:ascii="Times New Roman" w:hAnsi="Times New Roman"/>
                <w:b w:val="0"/>
                <w:i w:val="0"/>
                <w:sz w:val="20"/>
                <w:u w:val="none"/>
              </w:rPr>
              <w:t>NIT definitivo</w:t>
            </w:r>
          </w:p>
        </w:tc>
      </w:tr>
      <w:tr>
        <w:tc>
          <w:tcPr>
            <w:tcW w:type="dxa" w:w="730"/>
          </w:tcPr>
          <w:p>
            <w:pPr>
              <w:spacing w:after="40" w:before="40" w:line="240" w:lineRule="auto"/>
              <w:jc w:val="left"/>
            </w:pPr>
            <w:r>
              <w:rPr>
                <w:rFonts w:ascii="Times New Roman" w:hAnsi="Times New Roman"/>
                <w:b w:val="0"/>
                <w:i w:val="0"/>
                <w:sz w:val="20"/>
                <w:u w:val="none"/>
              </w:rPr>
              <w:t>13</w:t>
            </w:r>
          </w:p>
        </w:tc>
        <w:tc>
          <w:tcPr>
            <w:tcW w:type="dxa" w:w="2737"/>
          </w:tcPr>
          <w:p>
            <w:pPr>
              <w:spacing w:after="40" w:before="40" w:line="240" w:lineRule="auto"/>
              <w:jc w:val="left"/>
            </w:pPr>
            <w:r>
              <w:rPr>
                <w:rFonts w:ascii="Times New Roman" w:hAnsi="Times New Roman"/>
                <w:b w:val="0"/>
                <w:i w:val="0"/>
                <w:sz w:val="20"/>
                <w:u w:val="none"/>
              </w:rPr>
              <w:t>Expedición de títulos de acciones</w:t>
            </w:r>
          </w:p>
        </w:tc>
        <w:tc>
          <w:tcPr>
            <w:tcW w:type="dxa" w:w="2737"/>
          </w:tcPr>
          <w:p>
            <w:pPr>
              <w:spacing w:after="40" w:before="40" w:line="240" w:lineRule="auto"/>
              <w:jc w:val="left"/>
            </w:pPr>
            <w:r>
              <w:rPr>
                <w:rFonts w:ascii="Times New Roman" w:hAnsi="Times New Roman"/>
                <w:b w:val="0"/>
                <w:i w:val="0"/>
                <w:sz w:val="20"/>
                <w:u w:val="none"/>
              </w:rPr>
              <w:t>La sociedad</w:t>
            </w:r>
          </w:p>
        </w:tc>
        <w:tc>
          <w:tcPr>
            <w:tcW w:type="dxa" w:w="2919"/>
          </w:tcPr>
          <w:p>
            <w:pPr>
              <w:spacing w:after="40" w:before="40" w:line="240" w:lineRule="auto"/>
              <w:jc w:val="left"/>
            </w:pPr>
            <w:r>
              <w:rPr>
                <w:rFonts w:ascii="Times New Roman" w:hAnsi="Times New Roman"/>
                <w:b w:val="0"/>
                <w:i w:val="0"/>
                <w:sz w:val="20"/>
                <w:u w:val="none"/>
              </w:rPr>
              <w:t>Títulos 001 y 002</w:t>
            </w:r>
          </w:p>
        </w:tc>
      </w:tr>
      <w:tr>
        <w:tc>
          <w:tcPr>
            <w:tcW w:type="dxa" w:w="730"/>
          </w:tcPr>
          <w:p>
            <w:pPr>
              <w:spacing w:after="40" w:before="40" w:line="240" w:lineRule="auto"/>
              <w:jc w:val="left"/>
            </w:pPr>
            <w:r>
              <w:rPr>
                <w:rFonts w:ascii="Times New Roman" w:hAnsi="Times New Roman"/>
                <w:b w:val="0"/>
                <w:i w:val="0"/>
                <w:sz w:val="20"/>
                <w:u w:val="none"/>
              </w:rPr>
              <w:t>14</w:t>
            </w:r>
          </w:p>
        </w:tc>
        <w:tc>
          <w:tcPr>
            <w:tcW w:type="dxa" w:w="2737"/>
          </w:tcPr>
          <w:p>
            <w:pPr>
              <w:spacing w:after="40" w:before="40" w:line="240" w:lineRule="auto"/>
              <w:jc w:val="left"/>
            </w:pPr>
            <w:r>
              <w:rPr>
                <w:rFonts w:ascii="Times New Roman" w:hAnsi="Times New Roman"/>
                <w:b w:val="0"/>
                <w:i w:val="0"/>
                <w:sz w:val="20"/>
                <w:u w:val="none"/>
              </w:rPr>
              <w:t>Asamblea de puesta en marcha</w:t>
            </w:r>
          </w:p>
        </w:tc>
        <w:tc>
          <w:tcPr>
            <w:tcW w:type="dxa" w:w="2737"/>
          </w:tcPr>
          <w:p>
            <w:pPr>
              <w:spacing w:after="40" w:before="40" w:line="240" w:lineRule="auto"/>
              <w:jc w:val="left"/>
            </w:pPr>
            <w:r>
              <w:rPr>
                <w:rFonts w:ascii="Times New Roman" w:hAnsi="Times New Roman"/>
                <w:b w:val="0"/>
                <w:i w:val="0"/>
                <w:sz w:val="20"/>
                <w:u w:val="none"/>
              </w:rPr>
              <w:t>Domicilio social</w:t>
            </w:r>
          </w:p>
        </w:tc>
        <w:tc>
          <w:tcPr>
            <w:tcW w:type="dxa" w:w="2919"/>
          </w:tcPr>
          <w:p>
            <w:pPr>
              <w:spacing w:after="40" w:before="40" w:line="240" w:lineRule="auto"/>
              <w:jc w:val="left"/>
            </w:pPr>
            <w:r>
              <w:rPr>
                <w:rFonts w:ascii="Times New Roman" w:hAnsi="Times New Roman"/>
                <w:b w:val="0"/>
                <w:i w:val="0"/>
                <w:sz w:val="20"/>
                <w:u w:val="none"/>
              </w:rPr>
              <w:t>Acta n.º 1 en el libro</w:t>
            </w:r>
          </w:p>
        </w:tc>
      </w:tr>
      <w:tr>
        <w:tc>
          <w:tcPr>
            <w:tcW w:type="dxa" w:w="730"/>
          </w:tcPr>
          <w:p>
            <w:pPr>
              <w:spacing w:after="40" w:before="40" w:line="240" w:lineRule="auto"/>
              <w:jc w:val="left"/>
            </w:pPr>
            <w:r>
              <w:rPr>
                <w:rFonts w:ascii="Times New Roman" w:hAnsi="Times New Roman"/>
                <w:b w:val="0"/>
                <w:i w:val="0"/>
                <w:sz w:val="20"/>
                <w:u w:val="none"/>
              </w:rPr>
              <w:t>15</w:t>
            </w:r>
          </w:p>
        </w:tc>
        <w:tc>
          <w:tcPr>
            <w:tcW w:type="dxa" w:w="2737"/>
          </w:tcPr>
          <w:p>
            <w:pPr>
              <w:spacing w:after="40" w:before="40" w:line="240" w:lineRule="auto"/>
              <w:jc w:val="left"/>
            </w:pPr>
            <w:r>
              <w:rPr>
                <w:rFonts w:ascii="Times New Roman" w:hAnsi="Times New Roman"/>
                <w:b w:val="0"/>
                <w:i w:val="0"/>
                <w:sz w:val="20"/>
                <w:u w:val="none"/>
              </w:rPr>
              <w:t>Inscripción en el RIT</w:t>
            </w:r>
          </w:p>
        </w:tc>
        <w:tc>
          <w:tcPr>
            <w:tcW w:type="dxa" w:w="2737"/>
          </w:tcPr>
          <w:p>
            <w:pPr>
              <w:spacing w:after="40" w:before="40" w:line="240" w:lineRule="auto"/>
              <w:jc w:val="left"/>
            </w:pPr>
            <w:r>
              <w:rPr>
                <w:rFonts w:ascii="Times New Roman" w:hAnsi="Times New Roman"/>
                <w:b w:val="0"/>
                <w:i w:val="0"/>
                <w:sz w:val="20"/>
                <w:u w:val="none"/>
              </w:rPr>
              <w:t>Secretaría de Hacienda de Medellín</w:t>
            </w:r>
          </w:p>
        </w:tc>
        <w:tc>
          <w:tcPr>
            <w:tcW w:type="dxa" w:w="2919"/>
          </w:tcPr>
          <w:p>
            <w:pPr>
              <w:spacing w:after="40" w:before="40" w:line="240" w:lineRule="auto"/>
              <w:jc w:val="left"/>
            </w:pPr>
            <w:r>
              <w:rPr>
                <w:rFonts w:ascii="Times New Roman" w:hAnsi="Times New Roman"/>
                <w:b w:val="0"/>
                <w:i w:val="0"/>
                <w:sz w:val="20"/>
                <w:u w:val="none"/>
              </w:rPr>
              <w:t>Registro para el ICA</w:t>
            </w:r>
          </w:p>
        </w:tc>
      </w:tr>
      <w:tr>
        <w:tc>
          <w:tcPr>
            <w:tcW w:type="dxa" w:w="730"/>
          </w:tcPr>
          <w:p>
            <w:pPr>
              <w:spacing w:after="40" w:before="40" w:line="240" w:lineRule="auto"/>
              <w:jc w:val="left"/>
            </w:pPr>
            <w:r>
              <w:rPr>
                <w:rFonts w:ascii="Times New Roman" w:hAnsi="Times New Roman"/>
                <w:b w:val="0"/>
                <w:i w:val="0"/>
                <w:sz w:val="20"/>
                <w:u w:val="none"/>
              </w:rPr>
              <w:t>16</w:t>
            </w:r>
          </w:p>
        </w:tc>
        <w:tc>
          <w:tcPr>
            <w:tcW w:type="dxa" w:w="2737"/>
          </w:tcPr>
          <w:p>
            <w:pPr>
              <w:spacing w:after="40" w:before="40" w:line="240" w:lineRule="auto"/>
              <w:jc w:val="left"/>
            </w:pPr>
            <w:r>
              <w:rPr>
                <w:rFonts w:ascii="Times New Roman" w:hAnsi="Times New Roman"/>
                <w:b w:val="0"/>
                <w:i w:val="0"/>
                <w:sz w:val="20"/>
                <w:u w:val="none"/>
              </w:rPr>
              <w:t>Habilitación de servicios de salud</w:t>
            </w:r>
          </w:p>
        </w:tc>
        <w:tc>
          <w:tcPr>
            <w:tcW w:type="dxa" w:w="2737"/>
          </w:tcPr>
          <w:p>
            <w:pPr>
              <w:spacing w:after="40" w:before="40" w:line="240" w:lineRule="auto"/>
              <w:jc w:val="left"/>
            </w:pPr>
            <w:r>
              <w:rPr>
                <w:rFonts w:ascii="Times New Roman" w:hAnsi="Times New Roman"/>
                <w:b w:val="0"/>
                <w:i w:val="0"/>
                <w:sz w:val="20"/>
                <w:u w:val="none"/>
              </w:rPr>
              <w:t>Autoridad sanitaria</w:t>
            </w:r>
          </w:p>
        </w:tc>
        <w:tc>
          <w:tcPr>
            <w:tcW w:type="dxa" w:w="2919"/>
          </w:tcPr>
          <w:p>
            <w:pPr>
              <w:spacing w:after="40" w:before="40" w:line="240" w:lineRule="auto"/>
              <w:jc w:val="left"/>
            </w:pPr>
            <w:r>
              <w:rPr>
                <w:rFonts w:ascii="Times New Roman" w:hAnsi="Times New Roman"/>
                <w:b w:val="0"/>
                <w:i w:val="0"/>
                <w:sz w:val="20"/>
                <w:u w:val="none"/>
              </w:rPr>
              <w:t>Inscripción en el REPS</w:t>
            </w:r>
          </w:p>
        </w:tc>
      </w:tr>
      <w:tr>
        <w:tc>
          <w:tcPr>
            <w:tcW w:type="dxa" w:w="730"/>
          </w:tcPr>
          <w:p>
            <w:pPr>
              <w:spacing w:after="40" w:before="40" w:line="240" w:lineRule="auto"/>
              <w:jc w:val="left"/>
            </w:pPr>
            <w:r>
              <w:rPr>
                <w:rFonts w:ascii="Times New Roman" w:hAnsi="Times New Roman"/>
                <w:b w:val="0"/>
                <w:i w:val="0"/>
                <w:sz w:val="20"/>
                <w:u w:val="none"/>
              </w:rPr>
              <w:t>17</w:t>
            </w:r>
          </w:p>
        </w:tc>
        <w:tc>
          <w:tcPr>
            <w:tcW w:type="dxa" w:w="2737"/>
          </w:tcPr>
          <w:p>
            <w:pPr>
              <w:spacing w:after="40" w:before="40" w:line="240" w:lineRule="auto"/>
              <w:jc w:val="left"/>
            </w:pPr>
            <w:r>
              <w:rPr>
                <w:rFonts w:ascii="Times New Roman" w:hAnsi="Times New Roman"/>
                <w:b w:val="0"/>
                <w:i w:val="0"/>
                <w:sz w:val="20"/>
                <w:u w:val="none"/>
              </w:rPr>
              <w:t>Conceptos sanitario y de bomberos</w:t>
            </w:r>
          </w:p>
        </w:tc>
        <w:tc>
          <w:tcPr>
            <w:tcW w:type="dxa" w:w="2737"/>
          </w:tcPr>
          <w:p>
            <w:pPr>
              <w:spacing w:after="40" w:before="40" w:line="240" w:lineRule="auto"/>
              <w:jc w:val="left"/>
            </w:pPr>
            <w:r>
              <w:rPr>
                <w:rFonts w:ascii="Times New Roman" w:hAnsi="Times New Roman"/>
                <w:b w:val="0"/>
                <w:i w:val="0"/>
                <w:sz w:val="20"/>
                <w:u w:val="none"/>
              </w:rPr>
              <w:t>Municipio de Medellín</w:t>
            </w:r>
          </w:p>
        </w:tc>
        <w:tc>
          <w:tcPr>
            <w:tcW w:type="dxa" w:w="2919"/>
          </w:tcPr>
          <w:p>
            <w:pPr>
              <w:spacing w:after="40" w:before="40" w:line="240" w:lineRule="auto"/>
              <w:jc w:val="left"/>
            </w:pPr>
            <w:r>
              <w:rPr>
                <w:rFonts w:ascii="Times New Roman" w:hAnsi="Times New Roman"/>
                <w:b w:val="0"/>
                <w:i w:val="0"/>
                <w:sz w:val="20"/>
                <w:u w:val="none"/>
              </w:rPr>
              <w:t>Requisitos de la Ley 232 de 1995</w:t>
            </w:r>
          </w:p>
        </w:tc>
      </w:tr>
      <w:tr>
        <w:tc>
          <w:tcPr>
            <w:tcW w:type="dxa" w:w="730"/>
          </w:tcPr>
          <w:p>
            <w:pPr>
              <w:spacing w:after="40" w:before="40" w:line="240" w:lineRule="auto"/>
              <w:jc w:val="left"/>
            </w:pPr>
            <w:r>
              <w:rPr>
                <w:rFonts w:ascii="Times New Roman" w:hAnsi="Times New Roman"/>
                <w:b w:val="0"/>
                <w:i w:val="0"/>
                <w:sz w:val="20"/>
                <w:u w:val="none"/>
              </w:rPr>
              <w:t>18</w:t>
            </w:r>
          </w:p>
        </w:tc>
        <w:tc>
          <w:tcPr>
            <w:tcW w:type="dxa" w:w="2737"/>
          </w:tcPr>
          <w:p>
            <w:pPr>
              <w:spacing w:after="40" w:before="40" w:line="240" w:lineRule="auto"/>
              <w:jc w:val="left"/>
            </w:pPr>
            <w:r>
              <w:rPr>
                <w:rFonts w:ascii="Times New Roman" w:hAnsi="Times New Roman"/>
                <w:b w:val="0"/>
                <w:i w:val="0"/>
                <w:sz w:val="20"/>
                <w:u w:val="none"/>
              </w:rPr>
              <w:t>Afiliaciones a seguridad social</w:t>
            </w:r>
          </w:p>
        </w:tc>
        <w:tc>
          <w:tcPr>
            <w:tcW w:type="dxa" w:w="2737"/>
          </w:tcPr>
          <w:p>
            <w:pPr>
              <w:spacing w:after="40" w:before="40" w:line="240" w:lineRule="auto"/>
              <w:jc w:val="left"/>
            </w:pPr>
            <w:r>
              <w:rPr>
                <w:rFonts w:ascii="Times New Roman" w:hAnsi="Times New Roman"/>
                <w:b w:val="0"/>
                <w:i w:val="0"/>
                <w:sz w:val="20"/>
                <w:u w:val="none"/>
              </w:rPr>
              <w:t>EPS, pensiones, ARL, caja</w:t>
            </w:r>
          </w:p>
        </w:tc>
        <w:tc>
          <w:tcPr>
            <w:tcW w:type="dxa" w:w="2919"/>
          </w:tcPr>
          <w:p>
            <w:pPr>
              <w:spacing w:after="40" w:before="40" w:line="240" w:lineRule="auto"/>
              <w:jc w:val="left"/>
            </w:pPr>
            <w:r>
              <w:rPr>
                <w:rFonts w:ascii="Times New Roman" w:hAnsi="Times New Roman"/>
                <w:b w:val="0"/>
                <w:i w:val="0"/>
                <w:sz w:val="20"/>
                <w:u w:val="none"/>
              </w:rPr>
              <w:t>Nueve trabajadores cubiertos</w:t>
            </w:r>
          </w:p>
        </w:tc>
      </w:tr>
      <w:tr>
        <w:tc>
          <w:tcPr>
            <w:tcW w:type="dxa" w:w="730"/>
          </w:tcPr>
          <w:p>
            <w:pPr>
              <w:spacing w:after="40" w:before="40" w:line="240" w:lineRule="auto"/>
              <w:jc w:val="left"/>
            </w:pPr>
            <w:r>
              <w:rPr>
                <w:rFonts w:ascii="Times New Roman" w:hAnsi="Times New Roman"/>
                <w:b w:val="0"/>
                <w:i w:val="0"/>
                <w:sz w:val="20"/>
                <w:u w:val="none"/>
              </w:rPr>
              <w:t>19</w:t>
            </w:r>
          </w:p>
        </w:tc>
        <w:tc>
          <w:tcPr>
            <w:tcW w:type="dxa" w:w="2737"/>
          </w:tcPr>
          <w:p>
            <w:pPr>
              <w:spacing w:after="40" w:before="40" w:line="240" w:lineRule="auto"/>
              <w:jc w:val="left"/>
            </w:pPr>
            <w:r>
              <w:rPr>
                <w:rFonts w:ascii="Times New Roman" w:hAnsi="Times New Roman"/>
                <w:b w:val="0"/>
                <w:i w:val="0"/>
                <w:sz w:val="20"/>
                <w:u w:val="none"/>
              </w:rPr>
              <w:t>Renovación de la matrícula</w:t>
            </w:r>
          </w:p>
        </w:tc>
        <w:tc>
          <w:tcPr>
            <w:tcW w:type="dxa" w:w="2737"/>
          </w:tcPr>
          <w:p>
            <w:pPr>
              <w:spacing w:after="40" w:before="40" w:line="240" w:lineRule="auto"/>
              <w:jc w:val="left"/>
            </w:pPr>
            <w:r>
              <w:rPr>
                <w:rFonts w:ascii="Times New Roman" w:hAnsi="Times New Roman"/>
                <w:b w:val="0"/>
                <w:i w:val="0"/>
                <w:sz w:val="20"/>
                <w:u w:val="none"/>
              </w:rPr>
              <w:t>Cámara de Comercio</w:t>
            </w:r>
          </w:p>
        </w:tc>
        <w:tc>
          <w:tcPr>
            <w:tcW w:type="dxa" w:w="2919"/>
          </w:tcPr>
          <w:p>
            <w:pPr>
              <w:spacing w:after="40" w:before="40" w:line="240" w:lineRule="auto"/>
              <w:jc w:val="left"/>
            </w:pPr>
            <w:r>
              <w:rPr>
                <w:rFonts w:ascii="Times New Roman" w:hAnsi="Times New Roman"/>
                <w:b w:val="0"/>
                <w:i w:val="0"/>
                <w:sz w:val="20"/>
                <w:u w:val="none"/>
              </w:rPr>
              <w:t>Antes del 31 de marzo de 2027, exenta</w:t>
            </w:r>
          </w:p>
        </w:tc>
      </w:tr>
    </w:tbl>
    <w:p>
      <w:pPr>
        <w:spacing w:after="80"/>
      </w:pPr>
    </w:p>
    <w:p>
      <w:pPr>
        <w:keepNext/>
        <w:spacing w:before="240" w:after="80"/>
        <w:jc w:val="left"/>
      </w:pPr>
      <w:r>
        <w:rPr>
          <w:rFonts w:ascii="Times New Roman" w:hAnsi="Times New Roman"/>
          <w:b/>
          <w:i w:val="0"/>
          <w:sz w:val="24"/>
          <w:u w:val="none"/>
        </w:rPr>
        <w:t>El plazo que corre</w:t>
      </w:r>
    </w:p>
    <w:p>
      <w:r>
        <w:rPr>
          <w:rFonts w:ascii="Times New Roman" w:hAnsi="Times New Roman"/>
          <w:b w:val="0"/>
          <w:i w:val="0"/>
          <w:u w:val="none"/>
        </w:rPr>
        <w:t xml:space="preserve">El artículo 31 del Código de Comercio exige solicitar la matrícula </w:t>
      </w:r>
      <w:r>
        <w:rPr>
          <w:rFonts w:ascii="Times New Roman" w:hAnsi="Times New Roman"/>
          <w:b/>
          <w:i w:val="0"/>
          <w:u w:val="none"/>
        </w:rPr>
        <w:t>dentro del mes siguiente</w:t>
      </w:r>
      <w:r>
        <w:rPr>
          <w:rFonts w:ascii="Times New Roman" w:hAnsi="Times New Roman"/>
          <w:b w:val="0"/>
          <w:i w:val="0"/>
          <w:u w:val="none"/>
        </w:rPr>
        <w:t xml:space="preserve"> a la creación de la persona jurídica. Con documento fechado el 1.º de octubre de 2026, el plazo vence el </w:t>
      </w:r>
      <w:r>
        <w:rPr>
          <w:rFonts w:ascii="Times New Roman" w:hAnsi="Times New Roman"/>
          <w:b/>
          <w:i w:val="0"/>
          <w:u w:val="none"/>
        </w:rPr>
        <w:t>1.º de noviembre de 2026</w:t>
      </w:r>
      <w:r>
        <w:rPr>
          <w:rFonts w:ascii="Times New Roman" w:hAnsi="Times New Roman"/>
          <w:b w:val="0"/>
          <w:i w:val="0"/>
          <w:u w:val="none"/>
        </w:rPr>
        <w:t>. La extemporaneidad no impide la matrícula, pero acarrea la sanción del artículo 37 del mismo código.</w:t>
      </w:r>
    </w:p>
    <w:p>
      <w:r>
        <w:rPr>
          <w:rFonts w:ascii="Times New Roman" w:hAnsi="Times New Roman"/>
          <w:b w:val="0"/>
          <w:i w:val="0"/>
          <w:u w:val="none"/>
        </w:rPr>
        <w:t xml:space="preserve">Más relevante que la sanción es el artículo 7.º de la Ley 1258 de 2008: mientras no se inscriba el documento privado, quienes actúen por cuenta de la sociedad responden </w:t>
      </w:r>
      <w:r>
        <w:rPr>
          <w:rFonts w:ascii="Times New Roman" w:hAnsi="Times New Roman"/>
          <w:b/>
          <w:i w:val="0"/>
          <w:u w:val="none"/>
        </w:rPr>
        <w:t>solidaria e ilimitadamente</w:t>
      </w:r>
      <w:r>
        <w:rPr>
          <w:rFonts w:ascii="Times New Roman" w:hAnsi="Times New Roman"/>
          <w:b w:val="0"/>
          <w:i w:val="0"/>
          <w:u w:val="none"/>
        </w:rPr>
        <w:t xml:space="preserve"> frente a terceros. Ese es el verdadero costo de la demora, y la razón para no facturar ni contratar antes de tener el certificado de existencia y representación legal en la mano.</w:t>
      </w:r>
    </w:p>
    <w:p>
      <w:pPr>
        <w:keepNext/>
        <w:spacing w:before="320" w:after="160"/>
        <w:jc w:val="center"/>
      </w:pPr>
      <w:r>
        <w:rPr>
          <w:rFonts w:ascii="Times New Roman" w:hAnsi="Times New Roman"/>
          <w:b/>
          <w:i w:val="0"/>
          <w:sz w:val="24"/>
          <w:u w:val="none"/>
        </w:rPr>
        <w:t>VI. ESTADO FINAL</w:t>
      </w:r>
    </w:p>
    <w:p>
      <w:r>
        <w:rPr>
          <w:rFonts w:ascii="Times New Roman" w:hAnsi="Times New Roman"/>
          <w:b w:val="0"/>
          <w:i w:val="0"/>
          <w:u w:val="none"/>
        </w:rPr>
        <w:t>El expediente está completo en lo que depende del abogado. De los diecinueve pasos de la ruta, los documentos cubren todos aquellos en que la actuación consiste en redactar; los restantes dependen de un formato oficial, del pago de un tributo, de una consulta a la autoridad o de un hecho que aún no ocurre, y en cada caso se indica dónde obtenerlo.</w:t>
      </w:r>
    </w:p>
    <w:p>
      <w:r>
        <w:rPr>
          <w:rFonts w:ascii="Times New Roman" w:hAnsi="Times New Roman"/>
          <w:b w:val="0"/>
          <w:i w:val="0"/>
          <w:u w:val="none"/>
        </w:rPr>
        <w:t xml:space="preserve">Las cinco correcciones de la sección II eran defectos sustanciales, no de redacción: dos cláusulas inaplicables, un umbral inoperante, un plazo excedido y una cita equivocada. Ninguna se habría detectado leyendo los estatutos; aparecieron al confrontarlos con los números concretos de esta sociedad. Es, quizá, la conclusión más útil del ejercicio: </w:t>
      </w:r>
      <w:r>
        <w:rPr>
          <w:rFonts w:ascii="Times New Roman" w:hAnsi="Times New Roman"/>
          <w:b/>
          <w:i w:val="0"/>
          <w:u w:val="none"/>
        </w:rPr>
        <w:t>un estatuto se verifica aplicándolo, no leyéndolo</w:t>
      </w:r>
      <w:r>
        <w:rPr>
          <w:rFonts w:ascii="Times New Roman" w:hAnsi="Times New Roman"/>
          <w:b w:val="0"/>
          <w:i w:val="0"/>
          <w:u w:val="none"/>
        </w:rPr>
        <w:t>.</w:t>
      </w:r>
    </w:p>
    <w:sectPr w:rsidR="00FC693F" w:rsidRPr="0006063C" w:rsidSect="00034616">
      <w:headerReference w:type="default" r:id="rId9"/>
      <w:footerReference w:type="default" r:id="rId10"/>
      <w:pgSz w:w="12240" w:h="15840"/>
      <w:pgMar w:top="1701" w:right="1417" w:bottom="1417" w:left="1701"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55555"/>
        <w:sz w:val="16"/>
      </w:rPr>
      <w:t xml:space="preserve">Informe final — NOVA BIENESTAR INTEGRAL S.A.S.  |  </w:t>
    </w:r>
    <w:r>
      <w:rPr>
        <w:rFonts w:ascii="Times New Roman" w:hAnsi="Times New Roman"/>
        <w:color w:val="555555"/>
        <w:sz w:val="16"/>
      </w:rPr>
      <w:t xml:space="preserve">Página </w:t>
    </w:r>
    <w:r>
      <w:rPr>
        <w:rFonts w:ascii="Times New Roman" w:hAnsi="Times New Roman"/>
        <w:color w:val="555555"/>
        <w:sz w:val="16"/>
      </w:rPr>
      <w:fldChar w:fldCharType="begin"/>
      <w:instrText xml:space="preserve"> PAGE </w:instrText>
      <w:fldChar w:fldCharType="end"/>
    </w:r>
    <w:r>
      <w:rPr>
        <w:rFonts w:ascii="Times New Roman" w:hAnsi="Times New Roman"/>
        <w:color w:val="555555"/>
        <w:sz w:val="16"/>
      </w:rPr>
      <w:t xml:space="preserve"> de </w:t>
    </w:r>
    <w:r>
      <w:rPr>
        <w:rFonts w:ascii="Times New Roman" w:hAnsi="Times New Roman"/>
        <w:color w:val="555555"/>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1" w:color="AAAAAA"/>
      </w:pBdr>
    </w:pPr>
    <w:r>
      <w:rPr>
        <w:rFonts w:ascii="Times New Roman" w:hAnsi="Times New Roman"/>
        <w:i/>
        <w:color w:val="555555"/>
        <w:sz w:val="16"/>
      </w:rPr>
      <w:t>Informe final de auditoría y estado del expediente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