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MANIFESTACIÓN DE DESARROLLO DE EMPRENDIMIENTOS SOCIALES</w:t>
      </w:r>
    </w:p>
    <w:p>
      <w:pPr>
        <w:spacing w:after="280"/>
        <w:jc w:val="center"/>
      </w:pPr>
      <w:r>
        <w:rPr>
          <w:rFonts w:ascii="Times New Roman" w:hAnsi="Times New Roman"/>
          <w:b/>
          <w:i w:val="0"/>
          <w:sz w:val="24"/>
          <w:u w:val="none"/>
        </w:rPr>
        <w:t>Ley 2234 de 2022 — NOVA BIENESTAR INTEGRAL S.A.S.</w:t>
      </w:r>
    </w:p>
    <w:p>
      <w:pPr>
        <w:jc w:val="right"/>
      </w:pPr>
      <w:r>
        <w:rPr>
          <w:rFonts w:ascii="Times New Roman" w:hAnsi="Times New Roman"/>
          <w:b w:val="0"/>
          <w:i w:val="0"/>
          <w:u w:val="none"/>
        </w:rPr>
        <w:t>Medellín (Antioquia), primero (1) de octubre de dos mil veintiséis (2026)</w:t>
      </w:r>
    </w:p>
    <w:p>
      <w:pPr>
        <w:spacing w:after="0"/>
      </w:pPr>
    </w:p>
    <w:p>
      <w:r>
        <w:rPr>
          <w:rFonts w:ascii="Times New Roman" w:hAnsi="Times New Roman"/>
          <w:b/>
          <w:i w:val="0"/>
          <w:u w:val="none"/>
        </w:rPr>
        <w:t>Señores</w:t>
      </w:r>
    </w:p>
    <w:p>
      <w:r>
        <w:rPr>
          <w:rFonts w:ascii="Times New Roman" w:hAnsi="Times New Roman"/>
          <w:b/>
          <w:i w:val="0"/>
          <w:u w:val="none"/>
        </w:rPr>
        <w:t>CÁMARA DE COMERCIO DE MEDELLÍN PARA ANTIOQUIA</w:t>
      </w:r>
    </w:p>
    <w:p>
      <w:r>
        <w:rPr>
          <w:rFonts w:ascii="Times New Roman" w:hAnsi="Times New Roman"/>
          <w:b w:val="0"/>
          <w:i w:val="0"/>
          <w:u w:val="none"/>
        </w:rPr>
        <w:t>Departamento de Registros Públicos</w:t>
      </w:r>
    </w:p>
    <w:p>
      <w:r>
        <w:rPr>
          <w:rFonts w:ascii="Times New Roman" w:hAnsi="Times New Roman"/>
          <w:b w:val="0"/>
          <w:i w:val="0"/>
          <w:u w:val="none"/>
        </w:rPr>
        <w:t>Medellín (Antioquia)</w:t>
      </w:r>
    </w:p>
    <w:p>
      <w:pPr>
        <w:spacing w:after="0"/>
      </w:pPr>
    </w:p>
    <w:p>
      <w:r>
        <w:rPr>
          <w:rFonts w:ascii="Times New Roman" w:hAnsi="Times New Roman"/>
          <w:b/>
          <w:i w:val="0"/>
          <w:u w:val="none"/>
        </w:rPr>
        <w:t>Referencia:</w:t>
      </w:r>
      <w:r>
        <w:rPr>
          <w:rFonts w:ascii="Times New Roman" w:hAnsi="Times New Roman"/>
          <w:b w:val="0"/>
          <w:i w:val="0"/>
          <w:u w:val="none"/>
        </w:rPr>
        <w:t xml:space="preserve"> Manifestación de autorreconocimiento sobre el desarrollo de emprendimientos sociales, exigida para la matrícula mercantil — </w:t>
      </w:r>
      <w:r>
        <w:rPr>
          <w:rFonts w:ascii="Times New Roman" w:hAnsi="Times New Roman"/>
          <w:b/>
          <w:i w:val="0"/>
          <w:u w:val="none"/>
        </w:rPr>
        <w:t>NOVA BIENESTAR INTEGRAL S.A.S.</w:t>
      </w:r>
    </w:p>
    <w:p>
      <w:pPr>
        <w:spacing w:after="0"/>
      </w:pPr>
    </w:p>
    <w:p>
      <w:r>
        <w:rPr>
          <w:rFonts w:ascii="Times New Roman" w:hAnsi="Times New Roman"/>
          <w:b w:val="0"/>
          <w:i w:val="0"/>
          <w:u w:val="none"/>
        </w:rPr>
        <w:t>Respetados señores:</w:t>
      </w:r>
    </w:p>
    <w:p>
      <w:r>
        <w:rPr>
          <w:rFonts w:ascii="Times New Roman" w:hAnsi="Times New Roman"/>
          <w:b/>
          <w:i w:val="0"/>
          <w:u w:val="none"/>
        </w:rPr>
        <w:t>MARIANA LÓPEZ CASTAÑO</w:t>
      </w:r>
      <w:r>
        <w:rPr>
          <w:rFonts w:ascii="Times New Roman" w:hAnsi="Times New Roman"/>
          <w:b w:val="0"/>
          <w:i w:val="0"/>
          <w:u w:val="none"/>
        </w:rPr>
        <w:t xml:space="preserve">, mayor de edad, identificada con la cédula de ciudadanía número </w:t>
      </w:r>
      <w:r>
        <w:rPr>
          <w:rFonts w:ascii="Times New Roman" w:hAnsi="Times New Roman"/>
          <w:b/>
          <w:i w:val="0"/>
          <w:u w:val="none"/>
        </w:rPr>
        <w:t>1.039.672.481</w:t>
      </w:r>
      <w:r>
        <w:rPr>
          <w:rFonts w:ascii="Times New Roman" w:hAnsi="Times New Roman"/>
          <w:b w:val="0"/>
          <w:i w:val="0"/>
          <w:u w:val="none"/>
        </w:rPr>
        <w:t xml:space="preserve"> expedida en Medellín (Antioquia), obrando en calidad de </w:t>
      </w:r>
      <w:r>
        <w:rPr>
          <w:rFonts w:ascii="Times New Roman" w:hAnsi="Times New Roman"/>
          <w:b/>
          <w:i w:val="0"/>
          <w:u w:val="none"/>
        </w:rPr>
        <w:t>representante legal</w:t>
      </w:r>
      <w:r>
        <w:rPr>
          <w:rFonts w:ascii="Times New Roman" w:hAnsi="Times New Roman"/>
          <w:b w:val="0"/>
          <w:i w:val="0"/>
          <w:u w:val="none"/>
        </w:rPr>
        <w:t xml:space="preserve"> designada de la sociedad </w:t>
      </w:r>
      <w:r>
        <w:rPr>
          <w:rFonts w:ascii="Times New Roman" w:hAnsi="Times New Roman"/>
          <w:b/>
          <w:i w:val="0"/>
          <w:u w:val="none"/>
        </w:rPr>
        <w:t>NOVA BIENESTAR INTEGRAL S.A.S.</w:t>
      </w:r>
      <w:r>
        <w:rPr>
          <w:rFonts w:ascii="Times New Roman" w:hAnsi="Times New Roman"/>
          <w:b w:val="0"/>
          <w:i w:val="0"/>
          <w:u w:val="none"/>
        </w:rPr>
        <w:t>, en constitución, presento la manifestación que la lista de chequeo del trámite exige como documento anexo, en los siguientes términos:</w:t>
      </w:r>
    </w:p>
    <w:p>
      <w:pPr>
        <w:keepNext/>
        <w:spacing w:before="320" w:after="160"/>
        <w:jc w:val="center"/>
      </w:pPr>
      <w:r>
        <w:rPr>
          <w:rFonts w:ascii="Times New Roman" w:hAnsi="Times New Roman"/>
          <w:b/>
          <w:i w:val="0"/>
          <w:sz w:val="24"/>
          <w:u w:val="none"/>
        </w:rPr>
        <w:t>1. POR QUÉ SE PRESENTA ESTE DOCUMENTO</w:t>
      </w:r>
    </w:p>
    <w:p>
      <w:r>
        <w:rPr>
          <w:rFonts w:ascii="Times New Roman" w:hAnsi="Times New Roman"/>
          <w:b w:val="0"/>
          <w:i w:val="0"/>
          <w:u w:val="none"/>
        </w:rPr>
        <w:t xml:space="preserve">La </w:t>
      </w:r>
      <w:r>
        <w:rPr>
          <w:rFonts w:ascii="Times New Roman" w:hAnsi="Times New Roman"/>
          <w:b/>
          <w:i w:val="0"/>
          <w:u w:val="none"/>
        </w:rPr>
        <w:t>Ley 2234 de 2022</w:t>
      </w:r>
      <w:r>
        <w:rPr>
          <w:rFonts w:ascii="Times New Roman" w:hAnsi="Times New Roman"/>
          <w:b w:val="0"/>
          <w:i w:val="0"/>
          <w:u w:val="none"/>
        </w:rPr>
        <w:t xml:space="preserve"> estableció la política pública de emprendimiento social y dispuso que sus previsiones se aplican a los emprendimientos sociales </w:t>
      </w:r>
      <w:r>
        <w:rPr>
          <w:rFonts w:ascii="Times New Roman" w:hAnsi="Times New Roman"/>
          <w:b/>
          <w:i w:val="0"/>
          <w:u w:val="none"/>
        </w:rPr>
        <w:t>que se autorreconozcan</w:t>
      </w:r>
      <w:r>
        <w:rPr>
          <w:rFonts w:ascii="Times New Roman" w:hAnsi="Times New Roman"/>
          <w:b w:val="0"/>
          <w:i w:val="0"/>
          <w:u w:val="none"/>
        </w:rPr>
        <w:t xml:space="preserve"> como tales. Para recoger esa información, la Superintendencia de Sociedades solicitó que, a través del formulario del Registro Único Empresarial y Social, quienes se matriculen o renueven informen si desarrollan o no emprendimientos sociales, dato que se remite al Ministerio de Comercio, Industria y Turismo.</w:t>
      </w:r>
    </w:p>
    <w:p>
      <w:r>
        <w:rPr>
          <w:rFonts w:ascii="Times New Roman" w:hAnsi="Times New Roman"/>
          <w:b w:val="0"/>
          <w:i w:val="0"/>
          <w:u w:val="none"/>
        </w:rPr>
        <w:t>Mientras el formulario del RUES se ajusta para incorporar la casilla, las cámaras de comercio recogen esa manifestación en documento separado. Por eso la guía registral de la Cámara de Comercio de Medellín para Antioquia la enumera, en su lista de chequeo, entre los documentos que deben anexarse al trámite de constitución.</w:t>
      </w:r>
    </w:p>
    <w:p>
      <w:r>
        <w:rPr>
          <w:rFonts w:ascii="Times New Roman" w:hAnsi="Times New Roman"/>
          <w:b w:val="0"/>
          <w:i w:val="0"/>
          <w:u w:val="none"/>
        </w:rPr>
        <w:t xml:space="preserve">Conviene subrayar la naturaleza de la declaración: es de </w:t>
      </w:r>
      <w:r>
        <w:rPr>
          <w:rFonts w:ascii="Times New Roman" w:hAnsi="Times New Roman"/>
          <w:b/>
          <w:i w:val="0"/>
          <w:u w:val="none"/>
        </w:rPr>
        <w:t>autorreconocimiento</w:t>
      </w:r>
      <w:r>
        <w:rPr>
          <w:rFonts w:ascii="Times New Roman" w:hAnsi="Times New Roman"/>
          <w:b w:val="0"/>
          <w:i w:val="0"/>
          <w:u w:val="none"/>
        </w:rPr>
        <w:t>. No la califica la Cámara ni la otorga autoridad alguna; la hace el propio empresario, y por eso puede modificarse más adelante si la operación de la sociedad cambia.</w:t>
      </w:r>
    </w:p>
    <w:p>
      <w:pPr>
        <w:keepNext/>
        <w:spacing w:before="320" w:after="160"/>
        <w:jc w:val="center"/>
      </w:pPr>
      <w:r>
        <w:rPr>
          <w:rFonts w:ascii="Times New Roman" w:hAnsi="Times New Roman"/>
          <w:b/>
          <w:i w:val="0"/>
          <w:sz w:val="24"/>
          <w:u w:val="none"/>
        </w:rPr>
        <w:t>2. MANIFESTACIÓN</w:t>
      </w:r>
    </w:p>
    <w:p>
      <w:r>
        <w:rPr>
          <w:rFonts w:ascii="Times New Roman" w:hAnsi="Times New Roman"/>
          <w:b w:val="0"/>
          <w:i w:val="0"/>
          <w:u w:val="none"/>
        </w:rPr>
        <w:t xml:space="preserve">Declaro que la sociedad </w:t>
      </w:r>
      <w:r>
        <w:rPr>
          <w:rFonts w:ascii="Times New Roman" w:hAnsi="Times New Roman"/>
          <w:b/>
          <w:i w:val="0"/>
          <w:u w:val="none"/>
        </w:rPr>
        <w:t>NOVA BIENESTAR INTEGRAL S.A.S.</w:t>
      </w:r>
      <w:r>
        <w:rPr>
          <w:rFonts w:ascii="Times New Roman" w:hAnsi="Times New Roman"/>
          <w:b w:val="0"/>
          <w:i w:val="0"/>
          <w:u w:val="none"/>
        </w:rPr>
        <w:t>:</w:t>
      </w:r>
    </w:p>
    <w:tbl>
      <w:tblPr>
        <w:tblStyle w:val="TableGrid"/>
        <w:tblW w:type="auto" w:w="0"/>
        <w:jc w:val="center"/>
        <w:tblLayout w:type="fixed"/>
        <w:tblLook w:firstColumn="1" w:firstRow="1" w:lastColumn="0" w:lastRow="0" w:noHBand="0" w:noVBand="1" w:val="04A0"/>
        <w:tblW w:w="9122" w:type="dxa"/>
        <w:tblLayout w:type="fixed"/>
      </w:tblPr>
      <w:tblGrid>
        <w:gridCol w:w="6933"/>
        <w:gridCol w:w="2189"/>
      </w:tblGrid>
      <w:tr>
        <w:tc>
          <w:tcPr>
            <w:tcW w:type="dxa" w:w="6933"/>
            <w:shd w:val="clear" w:color="auto" w:fill="D9D9D9"/>
          </w:tcPr>
          <w:p>
            <w:pPr>
              <w:spacing w:after="40" w:before="40" w:line="240" w:lineRule="auto"/>
              <w:jc w:val="center"/>
            </w:pPr>
            <w:r>
              <w:rPr>
                <w:rFonts w:ascii="Times New Roman" w:hAnsi="Times New Roman"/>
                <w:b/>
                <w:i w:val="0"/>
                <w:sz w:val="20"/>
                <w:u w:val="none"/>
              </w:rPr>
              <w:t>Manifestación</w:t>
            </w:r>
          </w:p>
        </w:tc>
        <w:tc>
          <w:tcPr>
            <w:tcW w:type="dxa" w:w="2189"/>
            <w:shd w:val="clear" w:color="auto" w:fill="D9D9D9"/>
          </w:tcPr>
          <w:p>
            <w:pPr>
              <w:spacing w:after="40" w:before="40" w:line="240" w:lineRule="auto"/>
              <w:jc w:val="center"/>
            </w:pPr>
            <w:r>
              <w:rPr>
                <w:rFonts w:ascii="Times New Roman" w:hAnsi="Times New Roman"/>
                <w:b/>
                <w:i w:val="0"/>
                <w:sz w:val="20"/>
                <w:u w:val="none"/>
              </w:rPr>
              <w:t>Marque</w:t>
            </w:r>
          </w:p>
        </w:tc>
      </w:tr>
      <w:tr>
        <w:tc>
          <w:tcPr>
            <w:tcW w:type="dxa" w:w="6933"/>
          </w:tcPr>
          <w:p>
            <w:pPr>
              <w:spacing w:after="40" w:before="40" w:line="240" w:lineRule="auto"/>
              <w:jc w:val="left"/>
            </w:pPr>
            <w:r>
              <w:rPr>
                <w:rFonts w:ascii="Times New Roman" w:hAnsi="Times New Roman"/>
                <w:b/>
                <w:i w:val="0"/>
                <w:sz w:val="20"/>
                <w:u w:val="none"/>
              </w:rPr>
              <w:t>NO</w:t>
            </w:r>
            <w:r>
              <w:rPr>
                <w:rFonts w:ascii="Times New Roman" w:hAnsi="Times New Roman"/>
                <w:b w:val="0"/>
                <w:i w:val="0"/>
                <w:sz w:val="20"/>
                <w:u w:val="none"/>
              </w:rPr>
              <w:t xml:space="preserve"> se autorreconoce como emprendimiento social en los términos de la Ley 2234 de 2022</w:t>
            </w:r>
          </w:p>
        </w:tc>
        <w:tc>
          <w:tcPr>
            <w:tcW w:type="dxa" w:w="2189"/>
          </w:tcPr>
          <w:p>
            <w:pPr>
              <w:spacing w:after="40" w:before="40" w:line="240" w:lineRule="auto"/>
              <w:jc w:val="left"/>
            </w:pPr>
            <w:r>
              <w:rPr>
                <w:rFonts w:ascii="Times New Roman" w:hAnsi="Times New Roman"/>
                <w:b/>
                <w:i w:val="0"/>
                <w:sz w:val="20"/>
                <w:u w:val="none"/>
              </w:rPr>
              <w:t>X</w:t>
            </w:r>
          </w:p>
        </w:tc>
      </w:tr>
      <w:tr>
        <w:tc>
          <w:tcPr>
            <w:tcW w:type="dxa" w:w="6933"/>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se autorreconoce como emprendimiento social en los términos de la Ley 2234 de 2022</w:t>
            </w:r>
          </w:p>
        </w:tc>
        <w:tc>
          <w:tcPr>
            <w:tcW w:type="dxa" w:w="2189"/>
          </w:tcPr>
          <w:p>
            <w:pPr>
              <w:spacing w:after="40" w:before="40" w:line="240" w:lineRule="auto"/>
              <w:jc w:val="left"/>
            </w:pPr>
          </w:p>
        </w:tc>
      </w:tr>
    </w:tbl>
    <w:p>
      <w:pPr>
        <w:spacing w:after="80"/>
      </w:pPr>
    </w:p>
    <w:p>
      <w:pPr>
        <w:keepNext/>
        <w:spacing w:before="320" w:after="160"/>
        <w:jc w:val="center"/>
      </w:pPr>
      <w:r>
        <w:rPr>
          <w:rFonts w:ascii="Times New Roman" w:hAnsi="Times New Roman"/>
          <w:b/>
          <w:i w:val="0"/>
          <w:sz w:val="24"/>
          <w:u w:val="none"/>
        </w:rPr>
        <w:t>3. FUNDAMENTO DE LA MANIFESTACIÓN</w:t>
      </w:r>
    </w:p>
    <w:p>
      <w:r>
        <w:rPr>
          <w:rFonts w:ascii="Times New Roman" w:hAnsi="Times New Roman"/>
          <w:b w:val="0"/>
          <w:i w:val="0"/>
          <w:u w:val="none"/>
        </w:rPr>
        <w:t>La respuesta negativa no obedece a la naturaleza de la actividad —que sin duda tiene impacto social, pues comprende servicios de rehabilitación física y de promoción de la salud— sino a la estructura con que la sociedad fue concebida. Tres razones la sostienen:</w:t>
      </w:r>
    </w:p>
    <w:p>
      <w:r>
        <w:rPr>
          <w:rFonts w:ascii="Times New Roman" w:hAnsi="Times New Roman"/>
          <w:b/>
          <w:i w:val="0"/>
          <w:u w:val="none"/>
        </w:rPr>
        <w:t>Primera.</w:t>
      </w:r>
      <w:r>
        <w:rPr>
          <w:rFonts w:ascii="Times New Roman" w:hAnsi="Times New Roman"/>
          <w:b w:val="0"/>
          <w:i w:val="0"/>
          <w:u w:val="none"/>
        </w:rPr>
        <w:t xml:space="preserve"> La sociedad se constituye como una </w:t>
      </w:r>
      <w:r>
        <w:rPr>
          <w:rFonts w:ascii="Times New Roman" w:hAnsi="Times New Roman"/>
          <w:b/>
          <w:i w:val="0"/>
          <w:u w:val="none"/>
        </w:rPr>
        <w:t>sociedad comercial de capital con ánimo de lucro ordinario</w:t>
      </w:r>
      <w:r>
        <w:rPr>
          <w:rFonts w:ascii="Times New Roman" w:hAnsi="Times New Roman"/>
          <w:b w:val="0"/>
          <w:i w:val="0"/>
          <w:u w:val="none"/>
        </w:rPr>
        <w:t>. Sus estatutos, en el artículo 34, prevén la distribución de utilidades entre los accionistas a prorrata de sus acciones, sin reinversión obligatoria del excedente en la finalidad social, que es el rasgo que caracteriza al emprendimiento social.</w:t>
      </w:r>
    </w:p>
    <w:p>
      <w:r>
        <w:rPr>
          <w:rFonts w:ascii="Times New Roman" w:hAnsi="Times New Roman"/>
          <w:b/>
          <w:i w:val="0"/>
          <w:u w:val="none"/>
        </w:rPr>
        <w:t>Segunda.</w:t>
      </w:r>
      <w:r>
        <w:rPr>
          <w:rFonts w:ascii="Times New Roman" w:hAnsi="Times New Roman"/>
          <w:b w:val="0"/>
          <w:i w:val="0"/>
          <w:u w:val="none"/>
        </w:rPr>
        <w:t xml:space="preserve"> El objeto social del artículo 4.º de los estatutos describe la prestación de servicios de bienestar, rehabilitación física y acondicionamiento integral </w:t>
      </w:r>
      <w:r>
        <w:rPr>
          <w:rFonts w:ascii="Times New Roman" w:hAnsi="Times New Roman"/>
          <w:b/>
          <w:i w:val="0"/>
          <w:u w:val="none"/>
        </w:rPr>
        <w:t>en condiciones de mercado</w:t>
      </w:r>
      <w:r>
        <w:rPr>
          <w:rFonts w:ascii="Times New Roman" w:hAnsi="Times New Roman"/>
          <w:b w:val="0"/>
          <w:i w:val="0"/>
          <w:u w:val="none"/>
        </w:rPr>
        <w:t>, sin que se haya definido una población beneficiaria en situación de vulnerabilidad ni un mecanismo de medición de impacto social, elementos propios de la figura.</w:t>
      </w:r>
    </w:p>
    <w:p>
      <w:r>
        <w:rPr>
          <w:rFonts w:ascii="Times New Roman" w:hAnsi="Times New Roman"/>
          <w:b/>
          <w:i w:val="0"/>
          <w:u w:val="none"/>
        </w:rPr>
        <w:t>Tercera.</w:t>
      </w:r>
      <w:r>
        <w:rPr>
          <w:rFonts w:ascii="Times New Roman" w:hAnsi="Times New Roman"/>
          <w:b w:val="0"/>
          <w:i w:val="0"/>
          <w:u w:val="none"/>
        </w:rPr>
        <w:t xml:space="preserve"> Los estatutos no incorporan cláusulas de </w:t>
      </w:r>
      <w:r>
        <w:rPr>
          <w:rFonts w:ascii="Times New Roman" w:hAnsi="Times New Roman"/>
          <w:b/>
          <w:i w:val="0"/>
          <w:u w:val="none"/>
        </w:rPr>
        <w:t>gobernanza participativa</w:t>
      </w:r>
      <w:r>
        <w:rPr>
          <w:rFonts w:ascii="Times New Roman" w:hAnsi="Times New Roman"/>
          <w:b w:val="0"/>
          <w:i w:val="0"/>
          <w:u w:val="none"/>
        </w:rPr>
        <w:t xml:space="preserve"> ni de destinación específica de excedentes que permitan sostener el autorreconocimiento frente a una eventual verificación.</w:t>
      </w:r>
    </w:p>
    <w:p>
      <w:r>
        <w:rPr>
          <w:rFonts w:ascii="Times New Roman" w:hAnsi="Times New Roman"/>
          <w:b w:val="0"/>
          <w:i w:val="0"/>
          <w:u w:val="none"/>
        </w:rPr>
        <w:t>Declarar lo contrario sería cómodo y, al mismo tiempo, imprudente: el autorreconocimiento sin respaldo estatutario expone a la sociedad a que se le exijan condiciones que hoy no puede acreditar.</w:t>
      </w:r>
    </w:p>
    <w:p>
      <w:pPr>
        <w:keepNext/>
        <w:spacing w:before="320" w:after="160"/>
        <w:jc w:val="center"/>
      </w:pPr>
      <w:r>
        <w:rPr>
          <w:rFonts w:ascii="Times New Roman" w:hAnsi="Times New Roman"/>
          <w:b/>
          <w:i w:val="0"/>
          <w:sz w:val="24"/>
          <w:u w:val="none"/>
        </w:rPr>
        <w:t>4. POSIBILIDAD DE MODIFICAR LA MANIFESTACIÓN</w:t>
      </w:r>
    </w:p>
    <w:p>
      <w:r>
        <w:rPr>
          <w:rFonts w:ascii="Times New Roman" w:hAnsi="Times New Roman"/>
          <w:b w:val="0"/>
          <w:i w:val="0"/>
          <w:u w:val="none"/>
        </w:rPr>
        <w:t xml:space="preserve">La sociedad podrá </w:t>
      </w:r>
      <w:r>
        <w:rPr>
          <w:rFonts w:ascii="Times New Roman" w:hAnsi="Times New Roman"/>
          <w:b/>
          <w:i w:val="0"/>
          <w:u w:val="none"/>
        </w:rPr>
        <w:t>modificar esta manifestación en cualquier renovación posterior</w:t>
      </w:r>
      <w:r>
        <w:rPr>
          <w:rFonts w:ascii="Times New Roman" w:hAnsi="Times New Roman"/>
          <w:b w:val="0"/>
          <w:i w:val="0"/>
          <w:u w:val="none"/>
        </w:rPr>
        <w:t xml:space="preserve"> de la matrícula mercantil si decide adoptar la estructura propia de un emprendimiento social. Para hacerlo con fundamento, tendría que reformar sus estatutos e incorporar, cuando menos: la definición de la población beneficiaria, un mecanismo de reinversión de excedentes en la finalidad social, y un sistema de medición y reporte del impacto generado.</w:t>
      </w:r>
    </w:p>
    <w:p>
      <w:r>
        <w:rPr>
          <w:rFonts w:ascii="Times New Roman" w:hAnsi="Times New Roman"/>
          <w:b w:val="0"/>
          <w:i w:val="0"/>
          <w:u w:val="none"/>
        </w:rPr>
        <w:t>Esa decisión no es meramente declarativa: la Ley 2234 de 2022 y sus desarrollos prevén beneficios e incentivos para los emprendimientos sociales, de modo que el autorreconocimiento tiene consecuencias tanto favorables como de cumplimiento.</w:t>
      </w:r>
    </w:p>
    <w:p>
      <w:pPr>
        <w:keepNext/>
        <w:spacing w:before="320" w:after="160"/>
        <w:jc w:val="center"/>
      </w:pPr>
      <w:r>
        <w:rPr>
          <w:rFonts w:ascii="Times New Roman" w:hAnsi="Times New Roman"/>
          <w:b/>
          <w:i w:val="0"/>
          <w:sz w:val="24"/>
          <w:u w:val="none"/>
        </w:rPr>
        <w:t>5. CONSTANCIA</w:t>
      </w:r>
    </w:p>
    <w:p>
      <w:r>
        <w:rPr>
          <w:rFonts w:ascii="Times New Roman" w:hAnsi="Times New Roman"/>
          <w:b w:val="0"/>
          <w:i w:val="0"/>
          <w:u w:val="none"/>
        </w:rPr>
        <w:t>Declaro que la información contenida en esta manifestación es veraz y que la presento con destino al Registro Único Empresarial y Social y, por su intermedio, al Ministerio de Comercio, Industria y Turismo.</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MARIANA LÓPEZ CASTAÑO</w:t>
      </w:r>
    </w:p>
    <w:p>
      <w:pPr>
        <w:spacing w:after="0"/>
        <w:jc w:val="left"/>
      </w:pPr>
      <w:r>
        <w:rPr>
          <w:rFonts w:ascii="Times New Roman" w:hAnsi="Times New Roman"/>
          <w:b w:val="0"/>
          <w:i w:val="0"/>
          <w:sz w:val="22"/>
          <w:u w:val="none"/>
        </w:rPr>
        <w:t>C.C. 1.039.672.481 de Medellín</w:t>
      </w:r>
    </w:p>
    <w:p>
      <w:pPr>
        <w:spacing w:after="0"/>
        <w:jc w:val="left"/>
      </w:pPr>
      <w:r>
        <w:rPr>
          <w:rFonts w:ascii="Times New Roman" w:hAnsi="Times New Roman"/>
          <w:b w:val="0"/>
          <w:i w:val="0"/>
          <w:sz w:val="22"/>
          <w:u w:val="none"/>
        </w:rPr>
        <w:t>Representante legal</w:t>
      </w:r>
    </w:p>
    <w:p>
      <w:pPr>
        <w:spacing w:after="0"/>
        <w:jc w:val="left"/>
      </w:pPr>
      <w:r>
        <w:rPr>
          <w:rFonts w:ascii="Times New Roman" w:hAnsi="Times New Roman"/>
          <w:b w:val="0"/>
          <w:i w:val="0"/>
          <w:sz w:val="22"/>
          <w:u w:val="none"/>
        </w:rPr>
        <w:t>NOVA BIENESTAR INTEGRAL S.A.S.</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Manifestación de desarrollo de emprendimientos sociales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Manifestación de emprendimiento social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