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f7vn4o30o4s" w:id="0"/>
      <w:bookmarkEnd w:id="0"/>
      <w:r w:rsidDel="00000000" w:rsidR="00000000" w:rsidRPr="00000000">
        <w:rPr>
          <w:rtl w:val="0"/>
        </w:rPr>
        <w:t xml:space="preserve">State-of-the-Art Research Report: Explainable AI (XAI) for Geospatial Foundation Models (GFMs)</w:t>
      </w:r>
    </w:p>
    <w:p w:rsidR="00000000" w:rsidDel="00000000" w:rsidP="00000000" w:rsidRDefault="00000000" w:rsidRPr="00000000" w14:paraId="00000002">
      <w:pPr>
        <w:pStyle w:val="Heading4"/>
        <w:rPr/>
      </w:pPr>
      <w:bookmarkStart w:colFirst="0" w:colLast="0" w:name="_p752r4rwjlzv" w:id="1"/>
      <w:bookmarkEnd w:id="1"/>
      <w:r w:rsidDel="00000000" w:rsidR="00000000" w:rsidRPr="00000000">
        <w:rPr>
          <w:rtl w:val="0"/>
        </w:rPr>
        <w:t xml:space="preserve">1. Comprehensive Literature Review: Top 10 Sources</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Alemohammad et al. (2025):</w:t>
      </w:r>
      <w:r w:rsidDel="00000000" w:rsidR="00000000" w:rsidRPr="00000000">
        <w:rPr>
          <w:rtl w:val="0"/>
        </w:rPr>
        <w:t xml:space="preserve">  Introduces a global XAI benchmark for geospatial foundation models that evaluates spectral, spatial, and temporal learning properties within the embedding space using multispectral imagery.</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Gavade &amp; Gavade (2025):</w:t>
      </w:r>
      <w:r w:rsidDel="00000000" w:rsidR="00000000" w:rsidRPr="00000000">
        <w:rPr>
          <w:rtl w:val="0"/>
        </w:rPr>
        <w:t xml:space="preserve">  Explores the integration of XAI with Transformer models and Natural Language Processing (NLP) to improve transparency and interpretability in Land Use Land Cover (LULC) classification.</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Zhu et al. (2022):</w:t>
      </w:r>
      <w:r w:rsidDel="00000000" w:rsidR="00000000" w:rsidRPr="00000000">
        <w:rPr>
          <w:rtl w:val="0"/>
        </w:rPr>
        <w:t xml:space="preserve">  Demonstrates an innovative LIME-based data selection method for GAN-generated SAR imagery, utilizing interpretability to select training samples that possess representative target features rather than spurious background speckles.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Abdollahi &amp; Pradhan (2021):</w:t>
      </w:r>
      <w:r w:rsidDel="00000000" w:rsidR="00000000" w:rsidRPr="00000000">
        <w:rPr>
          <w:rtl w:val="0"/>
        </w:rPr>
        <w:t xml:space="preserve">  Investigates urban vegetation mapping using SHAP to rank input parameters, proving that textural features like GLCM homogeneity are often more critical than spectral bands alone for accurate interpretation.</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Ayush et al. (2020):</w:t>
      </w:r>
      <w:r w:rsidDel="00000000" w:rsidR="00000000" w:rsidRPr="00000000">
        <w:rPr>
          <w:rtl w:val="0"/>
        </w:rPr>
        <w:t xml:space="preserve">  Develops a framework for village-level poverty estimation in Uganda by using object detection to extract human-interpretable features from high-resolution satellite imagery.</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Ishikawa et al. (2023):</w:t>
      </w:r>
      <w:r w:rsidDel="00000000" w:rsidR="00000000" w:rsidRPr="00000000">
        <w:rPr>
          <w:rtl w:val="0"/>
        </w:rPr>
        <w:t xml:space="preserve">  Proposes an example-based XAI method for remote sensing that fosters stakeholder trust by providing visual analogs to explain complex model classification decisions.</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Ali et al. (2023):</w:t>
      </w:r>
      <w:r w:rsidDel="00000000" w:rsidR="00000000" w:rsidRPr="00000000">
        <w:rPr>
          <w:rtl w:val="0"/>
        </w:rPr>
        <w:t xml:space="preserve">  Establishes a hierarchical taxonomy for XAI, categorizing techniques into data, model, and post-hoc explainability to support the development of trustworthy AI systems.</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Bommer et al. (2023):</w:t>
      </w:r>
      <w:r w:rsidDel="00000000" w:rsidR="00000000" w:rsidRPr="00000000">
        <w:rPr>
          <w:rtl w:val="0"/>
        </w:rPr>
        <w:t xml:space="preserve">  Provides a structured guide for climate science to evaluate XAI methods based on domain relevance, scalability, and the ability to maintain physical consistency.</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Ibrahim &amp; Hall (2022):</w:t>
      </w:r>
      <w:r w:rsidDel="00000000" w:rsidR="00000000" w:rsidRPr="00000000">
        <w:rPr>
          <w:rtl w:val="0"/>
        </w:rPr>
        <w:t xml:space="preserve">  Conducts a correlation study between human expert ratings and machine estimations of poverty from satellite imagery, validating the alignment of machine features with domain knowledge.</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Hall et al. (2022):</w:t>
      </w:r>
      <w:r w:rsidDel="00000000" w:rsidR="00000000" w:rsidRPr="00000000">
        <w:rPr>
          <w:rtl w:val="0"/>
        </w:rPr>
        <w:t xml:space="preserve">  Reviews the intersection of deep learning and human development, advocating for interdisciplinary standards to ensure GFM explanations contribute to genuine scientific discovery.</w:t>
      </w:r>
    </w:p>
    <w:p w:rsidR="00000000" w:rsidDel="00000000" w:rsidP="00000000" w:rsidRDefault="00000000" w:rsidRPr="00000000" w14:paraId="0000000D">
      <w:pPr>
        <w:pStyle w:val="Heading4"/>
        <w:rPr/>
      </w:pPr>
      <w:bookmarkStart w:colFirst="0" w:colLast="0" w:name="_apjwtyt20dj8" w:id="2"/>
      <w:bookmarkEnd w:id="2"/>
      <w:r w:rsidDel="00000000" w:rsidR="00000000" w:rsidRPr="00000000">
        <w:rPr>
          <w:rtl w:val="0"/>
        </w:rPr>
        <w:t xml:space="preserve">2. Taxonomy of XAI Strategies in Geospatial Vision Models</w:t>
      </w:r>
    </w:p>
    <w:p w:rsidR="00000000" w:rsidDel="00000000" w:rsidP="00000000" w:rsidRDefault="00000000" w:rsidRPr="00000000" w14:paraId="0000000E">
      <w:pPr>
        <w:rPr/>
      </w:pPr>
      <w:r w:rsidDel="00000000" w:rsidR="00000000" w:rsidRPr="00000000">
        <w:rPr>
          <w:rtl w:val="0"/>
        </w:rPr>
        <w:t xml:space="preserve">Interpreting GFMs requires a selection of techniques that address the unique artifacts of remote sensing data, such as gradient noise in SAR or the long-range dependencies of Transformers.| XAI Technique | Core Mechanism | Geospatial Application || ------ | ------ | ------ || </w:t>
      </w:r>
      <w:r w:rsidDel="00000000" w:rsidR="00000000" w:rsidRPr="00000000">
        <w:rPr>
          <w:b w:val="1"/>
          <w:bCs w:val="1"/>
          <w:rtl w:val="0"/>
        </w:rPr>
        <w:t xml:space="preserve">SHAP</w:t>
      </w:r>
      <w:r w:rsidDel="00000000" w:rsidR="00000000" w:rsidRPr="00000000">
        <w:rPr>
          <w:rtl w:val="0"/>
        </w:rPr>
        <w:t xml:space="preserve"> | Assigns an importance value to each feature by calculating the average marginal contribution across all possible feature subsets. | Feature ranking in LULC and quantifying the impact of indices (NDVI/NDWI) on urban vegetation mapping. || </w:t>
      </w:r>
      <w:r w:rsidDel="00000000" w:rsidR="00000000" w:rsidRPr="00000000">
        <w:rPr>
          <w:b w:val="1"/>
          <w:bCs w:val="1"/>
          <w:rtl w:val="0"/>
        </w:rPr>
        <w:t xml:space="preserve">LIME</w:t>
      </w:r>
      <w:r w:rsidDel="00000000" w:rsidR="00000000" w:rsidRPr="00000000">
        <w:rPr>
          <w:rtl w:val="0"/>
        </w:rPr>
        <w:t xml:space="preserve"> | Generates a locally faithful linear surrogate model by perturbing input superpixels to approximate the complex model's decision boundary. | Detecting "Clever Hans" in SAR target recognition; ensuring models focus on scattering properties rather than background noise. || </w:t>
      </w:r>
      <w:r w:rsidDel="00000000" w:rsidR="00000000" w:rsidRPr="00000000">
        <w:rPr>
          <w:b w:val="1"/>
          <w:bCs w:val="1"/>
          <w:rtl w:val="0"/>
        </w:rPr>
        <w:t xml:space="preserve">Grad-CAM</w:t>
      </w:r>
      <w:r w:rsidDel="00000000" w:rsidR="00000000" w:rsidRPr="00000000">
        <w:rPr>
          <w:rtl w:val="0"/>
        </w:rPr>
        <w:t xml:space="preserve"> | Produces localization maps by using the gradients of a target class flowing into the final convolutional layer. | Highlighting spatial regions of interest in scene classification, though often subject to upsampling artifacts. || </w:t>
      </w:r>
      <w:r w:rsidDel="00000000" w:rsidR="00000000" w:rsidRPr="00000000">
        <w:rPr>
          <w:b w:val="1"/>
          <w:bCs w:val="1"/>
          <w:rtl w:val="0"/>
        </w:rPr>
        <w:t xml:space="preserve">Score-CAM</w:t>
      </w:r>
      <w:r w:rsidDel="00000000" w:rsidR="00000000" w:rsidRPr="00000000">
        <w:rPr>
          <w:rtl w:val="0"/>
        </w:rPr>
        <w:t xml:space="preserve"> | A gradient-free approach that weights feature maps by the "Increase in Confidence" (CIC) when the map is applied as a mask. | Visualizing model interest areas in hyperspectral data where gradient-based methods may be unstable. || </w:t>
      </w:r>
      <w:r w:rsidDel="00000000" w:rsidR="00000000" w:rsidRPr="00000000">
        <w:rPr>
          <w:b w:val="1"/>
          <w:bCs w:val="1"/>
          <w:rtl w:val="0"/>
        </w:rPr>
        <w:t xml:space="preserve">Attention Maps</w:t>
      </w:r>
      <w:r w:rsidDel="00000000" w:rsidR="00000000" w:rsidRPr="00000000">
        <w:rPr>
          <w:rtl w:val="0"/>
        </w:rPr>
        <w:t xml:space="preserve"> | Visualizes the self-attention weights in Transformer architectures to reveal contextual dependencies between image patches. | Understanding how multi-scale spatial arrangements and temporal cues influence land cover transitions. || </w:t>
      </w:r>
      <w:r w:rsidDel="00000000" w:rsidR="00000000" w:rsidRPr="00000000">
        <w:rPr>
          <w:b w:val="1"/>
          <w:bCs w:val="1"/>
          <w:rtl w:val="0"/>
        </w:rPr>
        <w:t xml:space="preserve">Rule Extraction</w:t>
      </w:r>
      <w:r w:rsidDel="00000000" w:rsidR="00000000" w:rsidRPr="00000000">
        <w:rPr>
          <w:rtl w:val="0"/>
        </w:rPr>
        <w:t xml:space="preserve"> | Simplifies complex "black-box" decisions into a set of human-readable IF-THEN logic paths or decision trees. | Validating classification logic for environmental monitoring and regulatory compliance. || </w:t>
      </w:r>
      <w:r w:rsidDel="00000000" w:rsidR="00000000" w:rsidRPr="00000000">
        <w:rPr>
          <w:b w:val="1"/>
          <w:bCs w:val="1"/>
          <w:rtl w:val="0"/>
        </w:rPr>
        <w:t xml:space="preserve">Model Visualization</w:t>
      </w:r>
      <w:r w:rsidDel="00000000" w:rsidR="00000000" w:rsidRPr="00000000">
        <w:rPr>
          <w:rtl w:val="0"/>
        </w:rPr>
        <w:t xml:space="preserve"> | Reduces high-dimensional features into 2D/3D space using t-SNE or UMAP to inspect clustering behavior. | Analyzing class separation and the distribution of land cover types in the GFM embedding space. |</w:t>
      </w:r>
    </w:p>
    <w:p w:rsidR="00000000" w:rsidDel="00000000" w:rsidP="00000000" w:rsidRDefault="00000000" w:rsidRPr="00000000" w14:paraId="0000000F">
      <w:pPr>
        <w:pStyle w:val="Heading4"/>
        <w:rPr/>
      </w:pPr>
      <w:bookmarkStart w:colFirst="0" w:colLast="0" w:name="_dv7iiu4sfmtm" w:id="3"/>
      <w:bookmarkEnd w:id="3"/>
      <w:r w:rsidDel="00000000" w:rsidR="00000000" w:rsidRPr="00000000">
        <w:rPr>
          <w:rtl w:val="0"/>
        </w:rPr>
        <w:t xml:space="preserve">3. Direct vs. Downstream Application</w:t>
      </w:r>
    </w:p>
    <w:p w:rsidR="00000000" w:rsidDel="00000000" w:rsidP="00000000" w:rsidRDefault="00000000" w:rsidRPr="00000000" w14:paraId="00000010">
      <w:pPr>
        <w:rPr/>
      </w:pPr>
      <w:r w:rsidDel="00000000" w:rsidR="00000000" w:rsidRPr="00000000">
        <w:rPr>
          <w:rtl w:val="0"/>
        </w:rPr>
        <w:t xml:space="preserve">A critical pivot in geospatial research is the shift from evaluating models via  </w:t>
      </w:r>
      <w:r w:rsidDel="00000000" w:rsidR="00000000" w:rsidRPr="00000000">
        <w:rPr>
          <w:b w:val="1"/>
          <w:bCs w:val="1"/>
          <w:rtl w:val="0"/>
        </w:rPr>
        <w:t xml:space="preserve">Downstream Tasks</w:t>
      </w:r>
      <w:r w:rsidDel="00000000" w:rsidR="00000000" w:rsidRPr="00000000">
        <w:rPr>
          <w:rtl w:val="0"/>
        </w:rPr>
        <w:t xml:space="preserve">  to evaluating the  </w:t>
      </w:r>
      <w:r w:rsidDel="00000000" w:rsidR="00000000" w:rsidRPr="00000000">
        <w:rPr>
          <w:b w:val="1"/>
          <w:bCs w:val="1"/>
          <w:rtl w:val="0"/>
        </w:rPr>
        <w:t xml:space="preserve">GFM Embedding Space</w:t>
      </w:r>
      <w:r w:rsidDel="00000000" w:rsidR="00000000" w:rsidRPr="00000000">
        <w:rPr>
          <w:rtl w:val="0"/>
        </w:rPr>
        <w:t xml:space="preserve">  directly. Traditionally, models were assessed solely on performance metrics (e.g., Top-1 accuracy) for specific tasks like LULC classification. However, as noted by the  </w:t>
      </w:r>
      <w:r w:rsidDel="00000000" w:rsidR="00000000" w:rsidRPr="00000000">
        <w:rPr>
          <w:b w:val="1"/>
          <w:bCs w:val="1"/>
          <w:rtl w:val="0"/>
        </w:rPr>
        <w:t xml:space="preserve">EGU 2025 Meeting Organizer</w:t>
      </w:r>
      <w:r w:rsidDel="00000000" w:rsidR="00000000" w:rsidRPr="00000000">
        <w:rPr>
          <w:rtl w:val="0"/>
        </w:rPr>
        <w:t xml:space="preserve"> , standard benchmarks often hide the fact that models are not "physically consistent."Evaluating the embedding space immediately after pre-training—testing spectral, spatial, and temporal learning—allows researchers to quantify model characteristics before task-specific biases are introduced. This "direct" evaluation is essential for bridging the gap between Earth Observation (EO) and Climate Science, ensuring the latent representations capture fundamental Earth system properties rather than just statistical correlations.</w:t>
      </w:r>
    </w:p>
    <w:p w:rsidR="00000000" w:rsidDel="00000000" w:rsidP="00000000" w:rsidRDefault="00000000" w:rsidRPr="00000000" w14:paraId="00000011">
      <w:pPr>
        <w:pStyle w:val="Heading4"/>
        <w:rPr/>
      </w:pPr>
      <w:bookmarkStart w:colFirst="0" w:colLast="0" w:name="_9aiee4d6z9l7" w:id="4"/>
      <w:bookmarkEnd w:id="4"/>
      <w:r w:rsidDel="00000000" w:rsidR="00000000" w:rsidRPr="00000000">
        <w:rPr>
          <w:rtl w:val="0"/>
        </w:rPr>
        <w:t xml:space="preserve">4. The Role of Raw Satellite Imagery in Explanations</w:t>
      </w:r>
    </w:p>
    <w:p w:rsidR="00000000" w:rsidDel="00000000" w:rsidP="00000000" w:rsidRDefault="00000000" w:rsidRPr="00000000" w14:paraId="00000012">
      <w:pPr>
        <w:rPr/>
      </w:pPr>
      <w:r w:rsidDel="00000000" w:rsidR="00000000" w:rsidRPr="00000000">
        <w:rPr>
          <w:rtl w:val="0"/>
        </w:rPr>
        <w:t xml:space="preserve">Returning to raw satellite imagery is mandatory for validating the reliability of GFMs, particularly in high-resolution or SAR contexts. The  </w:t>
      </w:r>
      <w:r w:rsidDel="00000000" w:rsidR="00000000" w:rsidRPr="00000000">
        <w:rPr>
          <w:b w:val="1"/>
          <w:bCs w:val="1"/>
          <w:rtl w:val="0"/>
        </w:rPr>
        <w:t xml:space="preserve">MDPI SAR study</w:t>
      </w:r>
      <w:r w:rsidDel="00000000" w:rsidR="00000000" w:rsidRPr="00000000">
        <w:rPr>
          <w:rtl w:val="0"/>
        </w:rPr>
        <w:t xml:space="preserve">  identifies the "Clever Hans" phenomenon, where a model achieves high accuracy by learning spurious relationships—such as the relationship between a target's class and the specific speckle noise in its background—rather than the target's physical electromagnetic scattering features.Because SAR targets are often represented by a minimal number of pixels,  </w:t>
      </w:r>
      <w:r w:rsidDel="00000000" w:rsidR="00000000" w:rsidRPr="00000000">
        <w:rPr>
          <w:b w:val="1"/>
          <w:bCs w:val="1"/>
          <w:rtl w:val="0"/>
        </w:rPr>
        <w:t xml:space="preserve">superpixel segmentation</w:t>
      </w:r>
      <w:r w:rsidDel="00000000" w:rsidR="00000000" w:rsidRPr="00000000">
        <w:rPr>
          <w:rtl w:val="0"/>
        </w:rPr>
        <w:t xml:space="preserve">  and LIME-based visualization are necessary to confirm that the positive contribution region matches the physical target. Without the raw context, it is impossible to determine if a model is ignoring the target and performing "data selection" based on background artifacts. Visual confirmation against raw imagery ensures the model has learned the intended physical scattering properties.</w:t>
      </w:r>
    </w:p>
    <w:p w:rsidR="00000000" w:rsidDel="00000000" w:rsidP="00000000" w:rsidRDefault="00000000" w:rsidRPr="00000000" w14:paraId="00000013">
      <w:pPr>
        <w:pStyle w:val="Heading4"/>
        <w:rPr/>
      </w:pPr>
      <w:bookmarkStart w:colFirst="0" w:colLast="0" w:name="_guubpfs9wje2" w:id="5"/>
      <w:bookmarkEnd w:id="5"/>
      <w:r w:rsidDel="00000000" w:rsidR="00000000" w:rsidRPr="00000000">
        <w:rPr>
          <w:rtl w:val="0"/>
        </w:rPr>
        <w:t xml:space="preserve">5. Testing and Benchmarking XAI Approaches</w:t>
      </w:r>
    </w:p>
    <w:p w:rsidR="00000000" w:rsidDel="00000000" w:rsidP="00000000" w:rsidRDefault="00000000" w:rsidRPr="00000000" w14:paraId="00000014">
      <w:pPr>
        <w:rPr/>
      </w:pPr>
      <w:r w:rsidDel="00000000" w:rsidR="00000000" w:rsidRPr="00000000">
        <w:rPr>
          <w:rtl w:val="0"/>
        </w:rPr>
        <w:t xml:space="preserve">To move beyond qualitative "eye-tests," GFMs require rigorous methodologies to validate explanation reliability:</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Perturbation &amp; Masking:</w:t>
      </w:r>
      <w:r w:rsidDel="00000000" w:rsidR="00000000" w:rsidRPr="00000000">
        <w:rPr>
          <w:rtl w:val="0"/>
        </w:rPr>
        <w:t xml:space="preserve">  Sensitivity is tested by systematically turning superpixels "on or off." If masking a region identified by LIME as a high contributor does not significantly change the model output, the explanation is deemed unfaithful.</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Synthetic Benchmarks:</w:t>
      </w:r>
      <w:r w:rsidDel="00000000" w:rsidR="00000000" w:rsidRPr="00000000">
        <w:rPr>
          <w:rtl w:val="0"/>
        </w:rPr>
        <w:t xml:space="preserve">  Models are challenged with image chips featuring  </w:t>
      </w:r>
      <w:r w:rsidDel="00000000" w:rsidR="00000000" w:rsidRPr="00000000">
        <w:rPr>
          <w:b w:val="1"/>
          <w:bCs w:val="1"/>
          <w:rtl w:val="0"/>
        </w:rPr>
        <w:t xml:space="preserve">homogeneous spatial patterns</w:t>
      </w:r>
      <w:r w:rsidDel="00000000" w:rsidR="00000000" w:rsidRPr="00000000">
        <w:rPr>
          <w:rtl w:val="0"/>
        </w:rPr>
        <w:t xml:space="preserve">  (to isolate spectral tasks) and  </w:t>
      </w:r>
      <w:r w:rsidDel="00000000" w:rsidR="00000000" w:rsidRPr="00000000">
        <w:rPr>
          <w:b w:val="1"/>
          <w:bCs w:val="1"/>
          <w:rtl w:val="0"/>
        </w:rPr>
        <w:t xml:space="preserve">heterogeneous features</w:t>
      </w:r>
      <w:r w:rsidDel="00000000" w:rsidR="00000000" w:rsidRPr="00000000">
        <w:rPr>
          <w:rtl w:val="0"/>
        </w:rPr>
        <w:t xml:space="preserve">  (to represent the true spatial distribution of land cover).</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Embedding Space Analysis:</w:t>
      </w:r>
      <w:r w:rsidDel="00000000" w:rsidR="00000000" w:rsidRPr="00000000">
        <w:rPr>
          <w:rtl w:val="0"/>
        </w:rPr>
        <w:t xml:space="preserve">  Testing specific properties in the latent space validates whether the GFM internalized multispectral and temporal features during self-supervised pre-training.</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Temporal Disturbances:</w:t>
      </w:r>
      <w:r w:rsidDel="00000000" w:rsidR="00000000" w:rsidRPr="00000000">
        <w:rPr>
          <w:rtl w:val="0"/>
        </w:rPr>
        <w:t xml:space="preserve">  The use of time-series chips showing  </w:t>
      </w:r>
      <w:r w:rsidDel="00000000" w:rsidR="00000000" w:rsidRPr="00000000">
        <w:rPr>
          <w:b w:val="1"/>
          <w:bCs w:val="1"/>
          <w:rtl w:val="0"/>
        </w:rPr>
        <w:t xml:space="preserve">pre- and post-event</w:t>
      </w:r>
      <w:r w:rsidDel="00000000" w:rsidR="00000000" w:rsidRPr="00000000">
        <w:rPr>
          <w:rtl w:val="0"/>
        </w:rPr>
        <w:t xml:space="preserve">  imagery (e.g., wildfire or flood disturbances) validates the model's ability to interpret the "time variable."</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Quantitative Metrics:</w:t>
      </w:r>
      <w:r w:rsidDel="00000000" w:rsidR="00000000" w:rsidRPr="00000000">
        <w:rPr>
          <w:rtl w:val="0"/>
        </w:rPr>
        <w:t xml:space="preserve">  Reliability is measured using  </w:t>
      </w:r>
      <w:r w:rsidDel="00000000" w:rsidR="00000000" w:rsidRPr="00000000">
        <w:rPr>
          <w:b w:val="1"/>
          <w:bCs w:val="1"/>
          <w:rtl w:val="0"/>
        </w:rPr>
        <w:t xml:space="preserve">Mutual Information (MI)</w:t>
      </w:r>
      <w:r w:rsidDel="00000000" w:rsidR="00000000" w:rsidRPr="00000000">
        <w:rPr>
          <w:rtl w:val="0"/>
        </w:rPr>
        <w:t xml:space="preserve">  to ensure the independence of generated features and the  </w:t>
      </w:r>
      <w:r w:rsidDel="00000000" w:rsidR="00000000" w:rsidRPr="00000000">
        <w:rPr>
          <w:b w:val="1"/>
          <w:bCs w:val="1"/>
          <w:rtl w:val="0"/>
        </w:rPr>
        <w:t xml:space="preserve">GAN-test</w:t>
      </w:r>
      <w:r w:rsidDel="00000000" w:rsidR="00000000" w:rsidRPr="00000000">
        <w:rPr>
          <w:rtl w:val="0"/>
        </w:rPr>
        <w:t xml:space="preserve"> , which uses a classifier trained on real data to validate the authenticity and distribution mapping of generated imagery.</w:t>
      </w:r>
    </w:p>
    <w:p w:rsidR="00000000" w:rsidDel="00000000" w:rsidP="00000000" w:rsidRDefault="00000000" w:rsidRPr="00000000" w14:paraId="0000001A">
      <w:pPr>
        <w:pStyle w:val="Heading4"/>
        <w:rPr/>
      </w:pPr>
      <w:bookmarkStart w:colFirst="0" w:colLast="0" w:name="_ovpd7wgmnvqm" w:id="6"/>
      <w:bookmarkEnd w:id="6"/>
      <w:r w:rsidDel="00000000" w:rsidR="00000000" w:rsidRPr="00000000">
        <w:rPr>
          <w:rtl w:val="0"/>
        </w:rPr>
        <w:t xml:space="preserve">6. Critical Factors for Geospatial Interpretation</w:t>
      </w:r>
    </w:p>
    <w:p w:rsidR="00000000" w:rsidDel="00000000" w:rsidP="00000000" w:rsidRDefault="00000000" w:rsidRPr="00000000" w14:paraId="0000001B">
      <w:pPr>
        <w:rPr/>
      </w:pPr>
      <w:r w:rsidDel="00000000" w:rsidR="00000000" w:rsidRPr="00000000">
        <w:rPr>
          <w:rtl w:val="0"/>
        </w:rPr>
        <w:t xml:space="preserve">To be considered "physically consistent" and scientifically sound, GFMs must account for factors grounded in Earth system physics, such as the Navier-Stokes equations for fluid dynamics or spectral reflectance properties:</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Spectral Band Attribution:</w:t>
      </w:r>
      <w:r w:rsidDel="00000000" w:rsidR="00000000" w:rsidRPr="00000000">
        <w:rPr>
          <w:rtl w:val="0"/>
        </w:rPr>
        <w:t xml:space="preserve">  Models must demonstrate an understanding of band-specific contributions, specifically identifying how indices like  </w:t>
      </w:r>
      <w:r w:rsidDel="00000000" w:rsidR="00000000" w:rsidRPr="00000000">
        <w:rPr>
          <w:b w:val="1"/>
          <w:bCs w:val="1"/>
          <w:rtl w:val="0"/>
        </w:rPr>
        <w:t xml:space="preserve">NDVI</w:t>
      </w:r>
      <w:r w:rsidDel="00000000" w:rsidR="00000000" w:rsidRPr="00000000">
        <w:rPr>
          <w:rtl w:val="0"/>
        </w:rPr>
        <w:t xml:space="preserve">  (vegetation) and  </w:t>
      </w:r>
      <w:r w:rsidDel="00000000" w:rsidR="00000000" w:rsidRPr="00000000">
        <w:rPr>
          <w:b w:val="1"/>
          <w:bCs w:val="1"/>
          <w:rtl w:val="0"/>
        </w:rPr>
        <w:t xml:space="preserve">NDWI</w:t>
      </w:r>
      <w:r w:rsidDel="00000000" w:rsidR="00000000" w:rsidRPr="00000000">
        <w:rPr>
          <w:rtl w:val="0"/>
        </w:rPr>
        <w:t xml:space="preserve">  (water) drive classification.</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Temporal Dynamics:</w:t>
      </w:r>
      <w:r w:rsidDel="00000000" w:rsidR="00000000" w:rsidRPr="00000000">
        <w:rPr>
          <w:rtl w:val="0"/>
        </w:rPr>
        <w:t xml:space="preserve">  Interpretation must include the time variable to recognize disturbances and seasonal phenology, ensuring the model distinguishes between permanent land cover changes and transient events.</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Spatial Texture &amp; arrangement:</w:t>
      </w:r>
      <w:r w:rsidDel="00000000" w:rsidR="00000000" w:rsidRPr="00000000">
        <w:rPr>
          <w:rtl w:val="0"/>
        </w:rPr>
        <w:t xml:space="preserve">  Using Gray-Level Co-occurrence Matrix ( </w:t>
      </w:r>
      <w:r w:rsidDel="00000000" w:rsidR="00000000" w:rsidRPr="00000000">
        <w:rPr>
          <w:b w:val="1"/>
          <w:bCs w:val="1"/>
          <w:rtl w:val="0"/>
        </w:rPr>
        <w:t xml:space="preserve">GLCM</w:t>
      </w:r>
      <w:r w:rsidDel="00000000" w:rsidR="00000000" w:rsidRPr="00000000">
        <w:rPr>
          <w:rtl w:val="0"/>
        </w:rPr>
        <w:t xml:space="preserve"> ) features, models must explain decisions based on  </w:t>
      </w:r>
      <w:r w:rsidDel="00000000" w:rsidR="00000000" w:rsidRPr="00000000">
        <w:rPr>
          <w:b w:val="1"/>
          <w:bCs w:val="1"/>
          <w:rtl w:val="0"/>
        </w:rPr>
        <w:t xml:space="preserve">Homogeneity</w:t>
      </w:r>
      <w:r w:rsidDel="00000000" w:rsidR="00000000" w:rsidRPr="00000000">
        <w:rPr>
          <w:rtl w:val="0"/>
        </w:rPr>
        <w:t xml:space="preserve">  and  </w:t>
      </w:r>
      <w:r w:rsidDel="00000000" w:rsidR="00000000" w:rsidRPr="00000000">
        <w:rPr>
          <w:b w:val="1"/>
          <w:bCs w:val="1"/>
          <w:rtl w:val="0"/>
        </w:rPr>
        <w:t xml:space="preserve">Dissimilarity</w:t>
      </w:r>
      <w:r w:rsidDel="00000000" w:rsidR="00000000" w:rsidRPr="00000000">
        <w:rPr>
          <w:rtl w:val="0"/>
        </w:rPr>
        <w:t xml:space="preserve"> . This is vital for differentiating classes that are spectrally similar but structurally distinct, such as different types of urban vegetation.</w:t>
      </w:r>
    </w:p>
    <w:p w:rsidR="00000000" w:rsidDel="00000000" w:rsidP="00000000" w:rsidRDefault="00000000" w:rsidRPr="00000000" w14:paraId="0000001F">
      <w:pPr>
        <w:pStyle w:val="Heading4"/>
        <w:rPr/>
      </w:pPr>
      <w:bookmarkStart w:colFirst="0" w:colLast="0" w:name="_bp3zq0ynf5lr" w:id="7"/>
      <w:bookmarkEnd w:id="7"/>
      <w:r w:rsidDel="00000000" w:rsidR="00000000" w:rsidRPr="00000000">
        <w:rPr>
          <w:rtl w:val="0"/>
        </w:rPr>
        <w:t xml:space="preserve">7. Challenges and The Way Forward</w:t>
      </w:r>
    </w:p>
    <w:p w:rsidR="00000000" w:rsidDel="00000000" w:rsidP="00000000" w:rsidRDefault="00000000" w:rsidRPr="00000000" w14:paraId="00000020">
      <w:pPr>
        <w:rPr>
          <w:b w:val="1"/>
          <w:bCs w:val="1"/>
        </w:rPr>
      </w:pPr>
      <w:r w:rsidDel="00000000" w:rsidR="00000000" w:rsidRPr="00000000">
        <w:rPr>
          <w:rtl w:val="0"/>
        </w:rPr>
        <w:t xml:space="preserve">The "black-box" nature of large Transformers remains a significant barrier. The way forward requires models that move beyond statistical mapping to become "ideal Earth FMs" that are task-agnostic and multisensory.</w:t>
      </w:r>
      <w:r w:rsidDel="00000000" w:rsidR="00000000" w:rsidRPr="00000000">
        <w:rPr>
          <w:b w:val="1"/>
          <w:bCs w:val="1"/>
          <w:rtl w:val="0"/>
        </w:rPr>
        <w:t xml:space="preserve">Future Research Checklist:</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Wavelength Embedding:</w:t>
      </w:r>
      <w:r w:rsidDel="00000000" w:rsidR="00000000" w:rsidRPr="00000000">
        <w:rPr>
          <w:rtl w:val="0"/>
        </w:rPr>
        <w:t xml:space="preserve">  Directly incorporating spectral wavelength information into the model architecture.</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Geolocation Embedding:</w:t>
      </w:r>
      <w:r w:rsidDel="00000000" w:rsidR="00000000" w:rsidRPr="00000000">
        <w:rPr>
          <w:rtl w:val="0"/>
        </w:rPr>
        <w:t xml:space="preserve">  Integrating precise spatial coordinates to ensure regional awareness.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Scale Awareness:</w:t>
      </w:r>
      <w:r w:rsidDel="00000000" w:rsidR="00000000" w:rsidRPr="00000000">
        <w:rPr>
          <w:rtl w:val="0"/>
        </w:rPr>
        <w:t xml:space="preserve">  Maintaining interpretability across varying spatial resolutions (from 0.1m to 30m).</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Multisensory Integration:</w:t>
      </w:r>
      <w:r w:rsidDel="00000000" w:rsidR="00000000" w:rsidRPr="00000000">
        <w:rPr>
          <w:rtl w:val="0"/>
        </w:rPr>
        <w:t xml:space="preserve">  Combining Optical, SAR, Radar, and Meteorological data in a unified framework.</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Task-Agnostic Pre-training:</w:t>
      </w:r>
      <w:r w:rsidDel="00000000" w:rsidR="00000000" w:rsidRPr="00000000">
        <w:rPr>
          <w:rtl w:val="0"/>
        </w:rPr>
        <w:t xml:space="preserve">  Developing representations that serve general purposes without being over-fit to specific labels.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Uncertainty Quantification:</w:t>
      </w:r>
      <w:r w:rsidDel="00000000" w:rsidR="00000000" w:rsidRPr="00000000">
        <w:rPr>
          <w:rtl w:val="0"/>
        </w:rPr>
        <w:t xml:space="preserve">  Providing confidence intervals to prevent overconfidence in high-stakes climate decisions.</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Physical Consistency:</w:t>
      </w:r>
      <w:r w:rsidDel="00000000" w:rsidR="00000000" w:rsidRPr="00000000">
        <w:rPr>
          <w:rtl w:val="0"/>
        </w:rPr>
        <w:t xml:space="preserve">  Ensuring model outputs align with known physical laws (e.g., mass and energy balance).</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Carbon Minimization:</w:t>
      </w:r>
      <w:r w:rsidDel="00000000" w:rsidR="00000000" w:rsidRPr="00000000">
        <w:rPr>
          <w:rtl w:val="0"/>
        </w:rPr>
        <w:t xml:space="preserve">  Optimizing training and adaptation (e.g., Parameter Efficient Fine Tuning) to reduce the environmental footprint of AI research.</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E61F3E1E792B4CB4F5D284CD22A30C" ma:contentTypeVersion="9" ma:contentTypeDescription="Create a new document." ma:contentTypeScope="" ma:versionID="ca160a2796a0e708ddf1711737ec1ee1">
  <xsd:schema xmlns:xsd="http://www.w3.org/2001/XMLSchema" xmlns:xs="http://www.w3.org/2001/XMLSchema" xmlns:p="http://schemas.microsoft.com/office/2006/metadata/properties" xmlns:ns2="59b83302-f99f-4cfc-87a2-34d6ec48a27e" targetNamespace="http://schemas.microsoft.com/office/2006/metadata/properties" ma:root="true" ma:fieldsID="ba35a39207cbe9f9547ed8001458ee0f" ns2:_="">
    <xsd:import namespace="59b83302-f99f-4cfc-87a2-34d6ec48a2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b83302-f99f-4cfc-87a2-34d6ec48a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f58ba8-1e8d-4aec-a6f5-993f6032dc7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b83302-f99f-4cfc-87a2-34d6ec48a2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5FC6A5-AE3E-4852-9013-F60736290E79}"/>
</file>

<file path=customXml/itemProps2.xml><?xml version="1.0" encoding="utf-8"?>
<ds:datastoreItem xmlns:ds="http://schemas.openxmlformats.org/officeDocument/2006/customXml" ds:itemID="{7459AEFF-6604-446E-A384-59768EFDF03E}"/>
</file>

<file path=customXml/itemProps3.xml><?xml version="1.0" encoding="utf-8"?>
<ds:datastoreItem xmlns:ds="http://schemas.openxmlformats.org/officeDocument/2006/customXml" ds:itemID="{7742D19A-B908-4CE0-8174-43B28C09F1E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0x0101004FE61F3E1E792B4CB4F5D284CD22A30C</vt:lpwstr>
  </property>
</Properties>
</file>