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ind w:firstLine="0"/>
        <w:jc w:val="both"/>
      </w:pPr>
      <w:r>
        <w:rPr>
          <w:rFonts w:ascii="Times New Roman" w:hAnsi="Times New Roman" w:eastAsia="Times New Roman"/>
          <w:b w:val="0"/>
          <w:i w:val="0"/>
          <w:color w:val="000000"/>
          <w:sz w:val="24"/>
        </w:rPr>
      </w:r>
    </w:p>
    <w:p>
      <w:pPr>
        <w:spacing w:after="0" w:before="0" w:line="360" w:lineRule="auto"/>
        <w:ind w:firstLine="0"/>
        <w:jc w:val="both"/>
      </w:pPr>
      <w:r>
        <w:rPr>
          <w:rFonts w:ascii="Times New Roman" w:hAnsi="Times New Roman" w:eastAsia="Times New Roman"/>
          <w:b w:val="0"/>
          <w:i w:val="0"/>
          <w:color w:val="000000"/>
          <w:sz w:val="24"/>
        </w:rPr>
      </w:r>
    </w:p>
    <w:p>
      <w:pPr>
        <w:spacing w:after="80" w:before="0" w:line="360" w:lineRule="auto"/>
        <w:ind w:firstLine="0"/>
        <w:jc w:val="center"/>
      </w:pPr>
      <w:r>
        <w:rPr>
          <w:rFonts w:ascii="Times New Roman" w:hAnsi="Times New Roman" w:eastAsia="Times New Roman"/>
          <w:b/>
          <w:i w:val="0"/>
          <w:color w:val="000000"/>
          <w:sz w:val="28"/>
        </w:rPr>
        <w:t>UNIVERSIDAD COOPERATIVA DE COLOMBIA</w:t>
      </w:r>
    </w:p>
    <w:p>
      <w:pPr>
        <w:spacing w:after="80" w:before="0" w:line="360" w:lineRule="auto"/>
        <w:ind w:firstLine="0"/>
        <w:jc w:val="center"/>
      </w:pPr>
      <w:r>
        <w:rPr>
          <w:rFonts w:ascii="Times New Roman" w:hAnsi="Times New Roman" w:eastAsia="Times New Roman"/>
          <w:b/>
          <w:i w:val="0"/>
          <w:color w:val="000000"/>
          <w:sz w:val="26"/>
        </w:rPr>
        <w:t>FACULTAD DE INGENIERÍA</w:t>
      </w:r>
    </w:p>
    <w:p>
      <w:pPr>
        <w:spacing w:after="560" w:before="0" w:line="360" w:lineRule="auto"/>
        <w:ind w:firstLine="0"/>
        <w:jc w:val="center"/>
      </w:pPr>
      <w:r>
        <w:rPr>
          <w:rFonts w:ascii="Times New Roman" w:hAnsi="Times New Roman" w:eastAsia="Times New Roman"/>
          <w:b/>
          <w:i w:val="0"/>
          <w:color w:val="000000"/>
          <w:sz w:val="26"/>
        </w:rPr>
        <w:t>PROGRAMA DE INGENIERÍA DE SISTEMAS</w:t>
      </w:r>
    </w:p>
    <w:p>
      <w:pPr>
        <w:spacing w:after="360" w:before="0" w:line="360" w:lineRule="auto"/>
        <w:ind w:firstLine="0"/>
        <w:jc w:val="center"/>
      </w:pPr>
      <w:r>
        <w:rPr>
          <w:rFonts w:ascii="Times New Roman" w:hAnsi="Times New Roman" w:eastAsia="Times New Roman"/>
          <w:b/>
          <w:i w:val="0"/>
          <w:color w:val="000000"/>
          <w:sz w:val="28"/>
        </w:rPr>
        <w:t>IMPLEMENTACIÓN DE UN PROTOTIPO DE PLATAFORMA INTELIGENTE PARA EL MONITOREO Y SIMULACIÓN DEL BIENESTAR ANIMAL EN SISTEMAS PRODUCTIVOS BOVINOS Y CAPRINOS CONFORME A LINEAMIENTOS ICA</w:t>
      </w:r>
    </w:p>
    <w:p>
      <w:pPr>
        <w:spacing w:after="80" w:before="0" w:line="360" w:lineRule="auto"/>
        <w:ind w:firstLine="0"/>
        <w:jc w:val="center"/>
      </w:pPr>
      <w:r>
        <w:rPr>
          <w:rFonts w:ascii="Times New Roman" w:hAnsi="Times New Roman" w:eastAsia="Times New Roman"/>
          <w:b w:val="0"/>
          <w:i w:val="0"/>
          <w:color w:val="000000"/>
          <w:sz w:val="26"/>
        </w:rPr>
        <w:t>Capítulos 12 a 16</w:t>
      </w:r>
    </w:p>
    <w:p>
      <w:pPr>
        <w:spacing w:after="560" w:before="0" w:line="360" w:lineRule="auto"/>
        <w:ind w:firstLine="0"/>
        <w:jc w:val="center"/>
      </w:pPr>
      <w:r>
        <w:rPr>
          <w:rFonts w:ascii="Times New Roman" w:hAnsi="Times New Roman" w:eastAsia="Times New Roman"/>
          <w:b w:val="0"/>
          <w:i/>
          <w:color w:val="000000"/>
          <w:sz w:val="24"/>
        </w:rPr>
        <w:t>Pruebas del sistema, resultados, discusión, conclusiones y recomendaciones</w:t>
      </w:r>
    </w:p>
    <w:p>
      <w:pPr>
        <w:spacing w:after="80" w:before="0" w:line="360" w:lineRule="auto"/>
        <w:ind w:firstLine="0"/>
        <w:jc w:val="center"/>
      </w:pPr>
      <w:r>
        <w:rPr>
          <w:rFonts w:ascii="Times New Roman" w:hAnsi="Times New Roman" w:eastAsia="Times New Roman"/>
          <w:b/>
          <w:i w:val="0"/>
          <w:color w:val="000000"/>
          <w:sz w:val="24"/>
        </w:rPr>
        <w:t>DAVID RAMIREZ GUTIERREZ</w:t>
      </w:r>
    </w:p>
    <w:p>
      <w:pPr>
        <w:spacing w:after="360" w:before="0" w:line="360" w:lineRule="auto"/>
        <w:ind w:firstLine="0"/>
        <w:jc w:val="center"/>
      </w:pPr>
      <w:r>
        <w:rPr>
          <w:rFonts w:ascii="Times New Roman" w:hAnsi="Times New Roman" w:eastAsia="Times New Roman"/>
          <w:b w:val="0"/>
          <w:i w:val="0"/>
          <w:color w:val="000000"/>
          <w:sz w:val="24"/>
        </w:rPr>
        <w:t>Auxiliar de investigación, Fábrica de Software</w:t>
      </w:r>
    </w:p>
    <w:p>
      <w:pPr>
        <w:spacing w:after="360" w:before="0" w:line="360" w:lineRule="auto"/>
        <w:ind w:firstLine="0"/>
        <w:jc w:val="center"/>
      </w:pPr>
      <w:r>
        <w:rPr>
          <w:rFonts w:ascii="Times New Roman" w:hAnsi="Times New Roman" w:eastAsia="Times New Roman"/>
          <w:b w:val="0"/>
          <w:i w:val="0"/>
          <w:color w:val="000000"/>
          <w:sz w:val="24"/>
        </w:rPr>
        <w:t>Trabajo para optar al título de Ingeniería de Sistemas</w:t>
      </w:r>
    </w:p>
    <w:p>
      <w:pPr>
        <w:spacing w:after="40" w:before="0" w:line="360" w:lineRule="auto"/>
        <w:ind w:firstLine="0"/>
        <w:jc w:val="center"/>
      </w:pPr>
      <w:r>
        <w:rPr>
          <w:rFonts w:ascii="Times New Roman" w:hAnsi="Times New Roman" w:eastAsia="Times New Roman"/>
          <w:b w:val="0"/>
          <w:i w:val="0"/>
          <w:color w:val="000000"/>
          <w:sz w:val="24"/>
        </w:rPr>
        <w:t>Director</w:t>
      </w:r>
    </w:p>
    <w:p>
      <w:pPr>
        <w:spacing w:after="40" w:before="0" w:line="360" w:lineRule="auto"/>
        <w:ind w:firstLine="0"/>
        <w:jc w:val="center"/>
      </w:pPr>
      <w:r>
        <w:rPr>
          <w:rFonts w:ascii="Times New Roman" w:hAnsi="Times New Roman" w:eastAsia="Times New Roman"/>
          <w:b/>
          <w:i w:val="0"/>
          <w:color w:val="000000"/>
          <w:sz w:val="24"/>
        </w:rPr>
        <w:t>Paola Valencia</w:t>
      </w:r>
    </w:p>
    <w:p>
      <w:pPr>
        <w:spacing w:after="560" w:before="0" w:line="360" w:lineRule="auto"/>
        <w:ind w:firstLine="0"/>
        <w:jc w:val="center"/>
      </w:pPr>
      <w:r>
        <w:rPr>
          <w:rFonts w:ascii="Times New Roman" w:hAnsi="Times New Roman" w:eastAsia="Times New Roman"/>
          <w:b w:val="0"/>
          <w:i w:val="0"/>
          <w:color w:val="000000"/>
          <w:sz w:val="24"/>
        </w:rPr>
        <w:t>Ingeniería de Sistemas</w:t>
      </w:r>
    </w:p>
    <w:p>
      <w:pPr>
        <w:spacing w:after="40" w:before="0" w:line="360" w:lineRule="auto"/>
        <w:ind w:firstLine="0"/>
        <w:jc w:val="center"/>
      </w:pPr>
      <w:r>
        <w:rPr>
          <w:rFonts w:ascii="Times New Roman" w:hAnsi="Times New Roman" w:eastAsia="Times New Roman"/>
          <w:b w:val="0"/>
          <w:i w:val="0"/>
          <w:color w:val="000000"/>
          <w:sz w:val="24"/>
        </w:rPr>
        <w:t>Bogotá D.C., Colombia</w:t>
      </w:r>
    </w:p>
    <w:p>
      <w:pPr>
        <w:spacing w:after="40" w:before="0" w:line="360" w:lineRule="auto"/>
        <w:ind w:firstLine="0"/>
        <w:jc w:val="center"/>
      </w:pPr>
      <w:r>
        <w:rPr>
          <w:rFonts w:ascii="Times New Roman" w:hAnsi="Times New Roman" w:eastAsia="Times New Roman"/>
          <w:b w:val="0"/>
          <w:i w:val="0"/>
          <w:color w:val="000000"/>
          <w:sz w:val="24"/>
        </w:rPr>
        <w:t>2026</w:t>
      </w:r>
    </w:p>
    <w:p>
      <w:pPr>
        <w:spacing w:after="40" w:before="0" w:line="360" w:lineRule="auto"/>
        <w:ind w:firstLine="0"/>
        <w:jc w:val="center"/>
      </w:pPr>
      <w:r>
        <w:rPr>
          <w:rFonts w:ascii="Times New Roman" w:hAnsi="Times New Roman" w:eastAsia="Times New Roman"/>
          <w:b w:val="0"/>
          <w:i/>
          <w:color w:val="000000"/>
          <w:sz w:val="22"/>
        </w:rPr>
        <w:t>Normas APA, 7.ª edición</w:t>
      </w:r>
    </w:p>
    <w:p>
      <w:r>
        <w:br w:type="page"/>
      </w:r>
    </w:p>
    <w:p>
      <w:pPr>
        <w:pStyle w:val="Heading1"/>
        <w:spacing w:before="320" w:after="160"/>
        <w:ind w:firstLine="0"/>
      </w:pPr>
      <w:r>
        <w:rPr>
          <w:rFonts w:ascii="Times New Roman" w:hAnsi="Times New Roman" w:eastAsia="Times New Roman"/>
          <w:b/>
          <w:color w:val="000000"/>
          <w:sz w:val="28"/>
        </w:rPr>
        <w:t>Tabla de contenido</w:t>
      </w:r>
    </w:p>
    <w:p>
      <w:pPr>
        <w:spacing w:after="60" w:before="0" w:line="360" w:lineRule="auto"/>
        <w:ind w:firstLine="0"/>
        <w:jc w:val="left"/>
      </w:pPr>
      <w:r>
        <w:rPr>
          <w:rFonts w:ascii="Times New Roman" w:hAnsi="Times New Roman" w:eastAsia="Times New Roman"/>
          <w:b w:val="0"/>
          <w:i w:val="0"/>
          <w:color w:val="000000"/>
          <w:sz w:val="24"/>
        </w:rPr>
        <w:t>12. Pruebas del sistema</w:t>
      </w:r>
    </w:p>
    <w:p>
      <w:pPr>
        <w:spacing w:after="60" w:before="0" w:line="360" w:lineRule="auto"/>
        <w:ind w:firstLine="0"/>
        <w:jc w:val="left"/>
      </w:pPr>
      <w:r>
        <w:rPr>
          <w:rFonts w:ascii="Times New Roman" w:hAnsi="Times New Roman" w:eastAsia="Times New Roman"/>
          <w:b w:val="0"/>
          <w:i w:val="0"/>
          <w:color w:val="000000"/>
          <w:sz w:val="24"/>
        </w:rPr>
        <w:t xml:space="preserve">    12.1 Introducción</w:t>
      </w:r>
    </w:p>
    <w:p>
      <w:pPr>
        <w:spacing w:after="60" w:before="0" w:line="360" w:lineRule="auto"/>
        <w:ind w:firstLine="0"/>
        <w:jc w:val="left"/>
      </w:pPr>
      <w:r>
        <w:rPr>
          <w:rFonts w:ascii="Times New Roman" w:hAnsi="Times New Roman" w:eastAsia="Times New Roman"/>
          <w:b w:val="0"/>
          <w:i w:val="0"/>
          <w:color w:val="000000"/>
          <w:sz w:val="24"/>
        </w:rPr>
        <w:t xml:space="preserve">    12.2 Estrategia y pirámide de pruebas</w:t>
      </w:r>
    </w:p>
    <w:p>
      <w:pPr>
        <w:spacing w:after="60" w:before="0" w:line="360" w:lineRule="auto"/>
        <w:ind w:firstLine="0"/>
        <w:jc w:val="left"/>
      </w:pPr>
      <w:r>
        <w:rPr>
          <w:rFonts w:ascii="Times New Roman" w:hAnsi="Times New Roman" w:eastAsia="Times New Roman"/>
          <w:b w:val="0"/>
          <w:i w:val="0"/>
          <w:color w:val="000000"/>
          <w:sz w:val="24"/>
        </w:rPr>
        <w:t xml:space="preserve">    12.3 Ambiente, alcance y limitaciones</w:t>
      </w:r>
    </w:p>
    <w:p>
      <w:pPr>
        <w:spacing w:after="60" w:before="0" w:line="360" w:lineRule="auto"/>
        <w:ind w:firstLine="0"/>
        <w:jc w:val="left"/>
      </w:pPr>
      <w:r>
        <w:rPr>
          <w:rFonts w:ascii="Times New Roman" w:hAnsi="Times New Roman" w:eastAsia="Times New Roman"/>
          <w:b w:val="0"/>
          <w:i w:val="0"/>
          <w:color w:val="000000"/>
          <w:sz w:val="24"/>
        </w:rPr>
        <w:t xml:space="preserve">    12.4 Trazabilidad requisitos–casos de prueba</w:t>
      </w:r>
    </w:p>
    <w:p>
      <w:pPr>
        <w:spacing w:after="60" w:before="0" w:line="360" w:lineRule="auto"/>
        <w:ind w:firstLine="0"/>
        <w:jc w:val="left"/>
      </w:pPr>
      <w:r>
        <w:rPr>
          <w:rFonts w:ascii="Times New Roman" w:hAnsi="Times New Roman" w:eastAsia="Times New Roman"/>
          <w:b w:val="0"/>
          <w:i w:val="0"/>
          <w:color w:val="000000"/>
          <w:sz w:val="24"/>
        </w:rPr>
        <w:t xml:space="preserve">    12.5 Pruebas unitarias</w:t>
      </w:r>
    </w:p>
    <w:p>
      <w:pPr>
        <w:spacing w:after="60" w:before="0" w:line="360" w:lineRule="auto"/>
        <w:ind w:firstLine="0"/>
        <w:jc w:val="left"/>
      </w:pPr>
      <w:r>
        <w:rPr>
          <w:rFonts w:ascii="Times New Roman" w:hAnsi="Times New Roman" w:eastAsia="Times New Roman"/>
          <w:b w:val="0"/>
          <w:i w:val="0"/>
          <w:color w:val="000000"/>
          <w:sz w:val="24"/>
        </w:rPr>
        <w:t xml:space="preserve">    12.6 Pruebas de aceptación</w:t>
      </w:r>
    </w:p>
    <w:p>
      <w:pPr>
        <w:spacing w:after="60" w:before="0" w:line="360" w:lineRule="auto"/>
        <w:ind w:firstLine="0"/>
        <w:jc w:val="left"/>
      </w:pPr>
      <w:r>
        <w:rPr>
          <w:rFonts w:ascii="Times New Roman" w:hAnsi="Times New Roman" w:eastAsia="Times New Roman"/>
          <w:b w:val="0"/>
          <w:i w:val="0"/>
          <w:color w:val="000000"/>
          <w:sz w:val="24"/>
        </w:rPr>
        <w:t xml:space="preserve">    12.7 Pruebas funcionales y de extremo a extremo</w:t>
      </w:r>
    </w:p>
    <w:p>
      <w:pPr>
        <w:spacing w:after="60" w:before="0" w:line="360" w:lineRule="auto"/>
        <w:ind w:firstLine="0"/>
        <w:jc w:val="left"/>
      </w:pPr>
      <w:r>
        <w:rPr>
          <w:rFonts w:ascii="Times New Roman" w:hAnsi="Times New Roman" w:eastAsia="Times New Roman"/>
          <w:b w:val="0"/>
          <w:i w:val="0"/>
          <w:color w:val="000000"/>
          <w:sz w:val="24"/>
        </w:rPr>
        <w:t xml:space="preserve">    12.8 Pruebas de interfaz de programación (API)</w:t>
      </w:r>
    </w:p>
    <w:p>
      <w:pPr>
        <w:spacing w:after="60" w:before="0" w:line="360" w:lineRule="auto"/>
        <w:ind w:firstLine="0"/>
        <w:jc w:val="left"/>
      </w:pPr>
      <w:r>
        <w:rPr>
          <w:rFonts w:ascii="Times New Roman" w:hAnsi="Times New Roman" w:eastAsia="Times New Roman"/>
          <w:b w:val="0"/>
          <w:i w:val="0"/>
          <w:color w:val="000000"/>
          <w:sz w:val="24"/>
        </w:rPr>
        <w:t xml:space="preserve">    12.9 Pruebas de rendimiento</w:t>
      </w:r>
    </w:p>
    <w:p>
      <w:pPr>
        <w:spacing w:after="60" w:before="0" w:line="360" w:lineRule="auto"/>
        <w:ind w:firstLine="0"/>
        <w:jc w:val="left"/>
      </w:pPr>
      <w:r>
        <w:rPr>
          <w:rFonts w:ascii="Times New Roman" w:hAnsi="Times New Roman" w:eastAsia="Times New Roman"/>
          <w:b w:val="0"/>
          <w:i w:val="0"/>
          <w:color w:val="000000"/>
          <w:sz w:val="24"/>
        </w:rPr>
        <w:t xml:space="preserve">    12.10 Pruebas de seguridad</w:t>
      </w:r>
    </w:p>
    <w:p>
      <w:pPr>
        <w:spacing w:after="60" w:before="0" w:line="360" w:lineRule="auto"/>
        <w:ind w:firstLine="0"/>
        <w:jc w:val="left"/>
      </w:pPr>
      <w:r>
        <w:rPr>
          <w:rFonts w:ascii="Times New Roman" w:hAnsi="Times New Roman" w:eastAsia="Times New Roman"/>
          <w:b w:val="0"/>
          <w:i w:val="0"/>
          <w:color w:val="000000"/>
          <w:sz w:val="24"/>
        </w:rPr>
        <w:t xml:space="preserve">    12.11 Calidad estática del código</w:t>
      </w:r>
    </w:p>
    <w:p>
      <w:pPr>
        <w:spacing w:after="60" w:before="0" w:line="360" w:lineRule="auto"/>
        <w:ind w:firstLine="0"/>
        <w:jc w:val="left"/>
      </w:pPr>
      <w:r>
        <w:rPr>
          <w:rFonts w:ascii="Times New Roman" w:hAnsi="Times New Roman" w:eastAsia="Times New Roman"/>
          <w:b w:val="0"/>
          <w:i w:val="0"/>
          <w:color w:val="000000"/>
          <w:sz w:val="24"/>
        </w:rPr>
        <w:t xml:space="preserve">    12.12 Integración continua</w:t>
      </w:r>
    </w:p>
    <w:p>
      <w:pPr>
        <w:spacing w:after="60" w:before="0" w:line="360" w:lineRule="auto"/>
        <w:ind w:firstLine="0"/>
        <w:jc w:val="left"/>
      </w:pPr>
      <w:r>
        <w:rPr>
          <w:rFonts w:ascii="Times New Roman" w:hAnsi="Times New Roman" w:eastAsia="Times New Roman"/>
          <w:b w:val="0"/>
          <w:i w:val="0"/>
          <w:color w:val="000000"/>
          <w:sz w:val="24"/>
        </w:rPr>
        <w:t xml:space="preserve">    12.13 Resultados consolidados de la campaña</w:t>
      </w:r>
    </w:p>
    <w:p>
      <w:pPr>
        <w:spacing w:after="60" w:before="0" w:line="360" w:lineRule="auto"/>
        <w:ind w:firstLine="0"/>
        <w:jc w:val="left"/>
      </w:pPr>
      <w:r>
        <w:rPr>
          <w:rFonts w:ascii="Times New Roman" w:hAnsi="Times New Roman" w:eastAsia="Times New Roman"/>
          <w:b w:val="0"/>
          <w:i w:val="0"/>
          <w:color w:val="000000"/>
          <w:sz w:val="24"/>
        </w:rPr>
        <w:t xml:space="preserve">    12.14 Defectos identificados y corrección</w:t>
      </w:r>
    </w:p>
    <w:p>
      <w:pPr>
        <w:spacing w:after="60" w:before="0" w:line="360" w:lineRule="auto"/>
        <w:ind w:firstLine="0"/>
        <w:jc w:val="left"/>
      </w:pPr>
      <w:r>
        <w:rPr>
          <w:rFonts w:ascii="Times New Roman" w:hAnsi="Times New Roman" w:eastAsia="Times New Roman"/>
          <w:b w:val="0"/>
          <w:i w:val="0"/>
          <w:color w:val="000000"/>
          <w:sz w:val="24"/>
        </w:rPr>
        <w:t>13. Resultados</w:t>
      </w:r>
    </w:p>
    <w:p>
      <w:pPr>
        <w:spacing w:after="60" w:before="0" w:line="360" w:lineRule="auto"/>
        <w:ind w:firstLine="0"/>
        <w:jc w:val="left"/>
      </w:pPr>
      <w:r>
        <w:rPr>
          <w:rFonts w:ascii="Times New Roman" w:hAnsi="Times New Roman" w:eastAsia="Times New Roman"/>
          <w:b w:val="0"/>
          <w:i w:val="0"/>
          <w:color w:val="000000"/>
          <w:sz w:val="24"/>
        </w:rPr>
        <w:t>14. Discusión</w:t>
      </w:r>
    </w:p>
    <w:p>
      <w:pPr>
        <w:spacing w:after="60" w:before="0" w:line="360" w:lineRule="auto"/>
        <w:ind w:firstLine="0"/>
        <w:jc w:val="left"/>
      </w:pPr>
      <w:r>
        <w:rPr>
          <w:rFonts w:ascii="Times New Roman" w:hAnsi="Times New Roman" w:eastAsia="Times New Roman"/>
          <w:b w:val="0"/>
          <w:i w:val="0"/>
          <w:color w:val="000000"/>
          <w:sz w:val="24"/>
        </w:rPr>
        <w:t>15. Conclusiones</w:t>
      </w:r>
    </w:p>
    <w:p>
      <w:pPr>
        <w:spacing w:after="60" w:before="0" w:line="360" w:lineRule="auto"/>
        <w:ind w:firstLine="0"/>
        <w:jc w:val="left"/>
      </w:pPr>
      <w:r>
        <w:rPr>
          <w:rFonts w:ascii="Times New Roman" w:hAnsi="Times New Roman" w:eastAsia="Times New Roman"/>
          <w:b w:val="0"/>
          <w:i w:val="0"/>
          <w:color w:val="000000"/>
          <w:sz w:val="24"/>
        </w:rPr>
        <w:t>16. Recomendaciones</w:t>
      </w:r>
    </w:p>
    <w:p>
      <w:pPr>
        <w:spacing w:after="60" w:before="0" w:line="360" w:lineRule="auto"/>
        <w:ind w:firstLine="0"/>
        <w:jc w:val="left"/>
      </w:pPr>
      <w:r>
        <w:rPr>
          <w:rFonts w:ascii="Times New Roman" w:hAnsi="Times New Roman" w:eastAsia="Times New Roman"/>
          <w:b w:val="0"/>
          <w:i w:val="0"/>
          <w:color w:val="000000"/>
          <w:sz w:val="24"/>
        </w:rPr>
        <w:t>Referencias</w:t>
      </w:r>
    </w:p>
    <w:p>
      <w:pPr>
        <w:spacing w:after="60" w:before="0" w:line="360" w:lineRule="auto"/>
        <w:ind w:firstLine="0"/>
        <w:jc w:val="left"/>
      </w:pPr>
      <w:r>
        <w:rPr>
          <w:rFonts w:ascii="Times New Roman" w:hAnsi="Times New Roman" w:eastAsia="Times New Roman"/>
          <w:b w:val="0"/>
          <w:i w:val="0"/>
          <w:color w:val="000000"/>
          <w:sz w:val="24"/>
        </w:rPr>
        <w:t>Anexos</w:t>
      </w:r>
    </w:p>
    <w:p>
      <w:pPr>
        <w:pStyle w:val="Heading1"/>
        <w:spacing w:before="320" w:after="160"/>
        <w:ind w:firstLine="0"/>
      </w:pPr>
      <w:r>
        <w:rPr>
          <w:rFonts w:ascii="Times New Roman" w:hAnsi="Times New Roman" w:eastAsia="Times New Roman"/>
          <w:b/>
          <w:color w:val="000000"/>
          <w:sz w:val="28"/>
        </w:rPr>
        <w:t>Lista de tablas</w:t>
      </w:r>
    </w:p>
    <w:p>
      <w:pPr>
        <w:spacing w:after="60" w:before="0" w:line="360" w:lineRule="auto"/>
        <w:ind w:firstLine="0"/>
        <w:jc w:val="left"/>
      </w:pPr>
      <w:r>
        <w:rPr>
          <w:rFonts w:ascii="Times New Roman" w:hAnsi="Times New Roman" w:eastAsia="Times New Roman"/>
          <w:b w:val="0"/>
          <w:i w:val="0"/>
          <w:color w:val="000000"/>
          <w:sz w:val="24"/>
        </w:rPr>
        <w:t>Tabla 1. Equivalencia entre el temario de pruebas y el stack real del prototipo</w:t>
      </w:r>
    </w:p>
    <w:p>
      <w:pPr>
        <w:spacing w:after="60" w:before="0" w:line="360" w:lineRule="auto"/>
        <w:ind w:firstLine="0"/>
        <w:jc w:val="left"/>
      </w:pPr>
      <w:r>
        <w:rPr>
          <w:rFonts w:ascii="Times New Roman" w:hAnsi="Times New Roman" w:eastAsia="Times New Roman"/>
          <w:b w:val="0"/>
          <w:i w:val="0"/>
          <w:color w:val="000000"/>
          <w:sz w:val="24"/>
        </w:rPr>
        <w:t>Tabla 2. Ambiente de ejecución de la campaña</w:t>
      </w:r>
    </w:p>
    <w:p>
      <w:pPr>
        <w:spacing w:after="60" w:before="0" w:line="360" w:lineRule="auto"/>
        <w:ind w:firstLine="0"/>
        <w:jc w:val="left"/>
      </w:pPr>
      <w:r>
        <w:rPr>
          <w:rFonts w:ascii="Times New Roman" w:hAnsi="Times New Roman" w:eastAsia="Times New Roman"/>
          <w:b w:val="0"/>
          <w:i w:val="0"/>
          <w:color w:val="000000"/>
          <w:sz w:val="24"/>
        </w:rPr>
        <w:t>Tabla 3. Matriz de trazabilidad (RF / CU / casos)</w:t>
      </w:r>
    </w:p>
    <w:p>
      <w:pPr>
        <w:spacing w:after="60" w:before="0" w:line="360" w:lineRule="auto"/>
        <w:ind w:firstLine="0"/>
        <w:jc w:val="left"/>
      </w:pPr>
      <w:r>
        <w:rPr>
          <w:rFonts w:ascii="Times New Roman" w:hAnsi="Times New Roman" w:eastAsia="Times New Roman"/>
          <w:b w:val="0"/>
          <w:i w:val="0"/>
          <w:color w:val="000000"/>
          <w:sz w:val="24"/>
        </w:rPr>
        <w:t>Tabla 4. Resultados de las pruebas unitarias</w:t>
      </w:r>
    </w:p>
    <w:p>
      <w:pPr>
        <w:spacing w:after="60" w:before="0" w:line="360" w:lineRule="auto"/>
        <w:ind w:firstLine="0"/>
        <w:jc w:val="left"/>
      </w:pPr>
      <w:r>
        <w:rPr>
          <w:rFonts w:ascii="Times New Roman" w:hAnsi="Times New Roman" w:eastAsia="Times New Roman"/>
          <w:b w:val="0"/>
          <w:i w:val="0"/>
          <w:color w:val="000000"/>
          <w:sz w:val="24"/>
        </w:rPr>
        <w:t>Tabla 5. Escenarios de aceptación (EP) actualizados</w:t>
      </w:r>
    </w:p>
    <w:p>
      <w:pPr>
        <w:spacing w:after="60" w:before="0" w:line="360" w:lineRule="auto"/>
        <w:ind w:firstLine="0"/>
        <w:jc w:val="left"/>
      </w:pPr>
      <w:r>
        <w:rPr>
          <w:rFonts w:ascii="Times New Roman" w:hAnsi="Times New Roman" w:eastAsia="Times New Roman"/>
          <w:b w:val="0"/>
          <w:i w:val="0"/>
          <w:color w:val="000000"/>
          <w:sz w:val="24"/>
        </w:rPr>
        <w:t>Tabla 6. Resultados de las pruebas de API</w:t>
      </w:r>
    </w:p>
    <w:p>
      <w:pPr>
        <w:spacing w:after="60" w:before="0" w:line="360" w:lineRule="auto"/>
        <w:ind w:firstLine="0"/>
        <w:jc w:val="left"/>
      </w:pPr>
      <w:r>
        <w:rPr>
          <w:rFonts w:ascii="Times New Roman" w:hAnsi="Times New Roman" w:eastAsia="Times New Roman"/>
          <w:b w:val="0"/>
          <w:i w:val="0"/>
          <w:color w:val="000000"/>
          <w:sz w:val="24"/>
        </w:rPr>
        <w:t>Tabla 7. Métricas de carga del frontend publicado</w:t>
      </w:r>
    </w:p>
    <w:p>
      <w:pPr>
        <w:spacing w:after="60" w:before="0" w:line="360" w:lineRule="auto"/>
        <w:ind w:firstLine="0"/>
        <w:jc w:val="left"/>
      </w:pPr>
      <w:r>
        <w:rPr>
          <w:rFonts w:ascii="Times New Roman" w:hAnsi="Times New Roman" w:eastAsia="Times New Roman"/>
          <w:b w:val="0"/>
          <w:i w:val="0"/>
          <w:color w:val="000000"/>
          <w:sz w:val="24"/>
        </w:rPr>
        <w:t>Tabla 8. Controles de seguridad evaluados</w:t>
      </w:r>
    </w:p>
    <w:p>
      <w:pPr>
        <w:spacing w:after="60" w:before="0" w:line="360" w:lineRule="auto"/>
        <w:ind w:firstLine="0"/>
        <w:jc w:val="left"/>
      </w:pPr>
      <w:r>
        <w:rPr>
          <w:rFonts w:ascii="Times New Roman" w:hAnsi="Times New Roman" w:eastAsia="Times New Roman"/>
          <w:b w:val="0"/>
          <w:i w:val="0"/>
          <w:color w:val="000000"/>
          <w:sz w:val="24"/>
        </w:rPr>
        <w:t>Tabla 9. Métricas estáticas de calidad</w:t>
      </w:r>
    </w:p>
    <w:p>
      <w:pPr>
        <w:spacing w:after="60" w:before="0" w:line="360" w:lineRule="auto"/>
        <w:ind w:firstLine="0"/>
        <w:jc w:val="left"/>
      </w:pPr>
      <w:r>
        <w:rPr>
          <w:rFonts w:ascii="Times New Roman" w:hAnsi="Times New Roman" w:eastAsia="Times New Roman"/>
          <w:b w:val="0"/>
          <w:i w:val="0"/>
          <w:color w:val="000000"/>
          <w:sz w:val="24"/>
        </w:rPr>
        <w:t>Tabla 10. Defectos de la campaña y estado</w:t>
      </w:r>
    </w:p>
    <w:p>
      <w:pPr>
        <w:spacing w:after="60" w:before="0" w:line="360" w:lineRule="auto"/>
        <w:ind w:firstLine="0"/>
        <w:jc w:val="left"/>
      </w:pPr>
      <w:r>
        <w:rPr>
          <w:rFonts w:ascii="Times New Roman" w:hAnsi="Times New Roman" w:eastAsia="Times New Roman"/>
          <w:b w:val="0"/>
          <w:i w:val="0"/>
          <w:color w:val="000000"/>
          <w:sz w:val="24"/>
        </w:rPr>
        <w:t>Tabla 11. Cumplimiento de los objetivos específicos</w:t>
      </w:r>
    </w:p>
    <w:p>
      <w:pPr>
        <w:pStyle w:val="Heading1"/>
        <w:spacing w:before="320" w:after="160"/>
        <w:ind w:firstLine="0"/>
      </w:pPr>
      <w:r>
        <w:rPr>
          <w:rFonts w:ascii="Times New Roman" w:hAnsi="Times New Roman" w:eastAsia="Times New Roman"/>
          <w:b/>
          <w:color w:val="000000"/>
          <w:sz w:val="28"/>
        </w:rPr>
        <w:t>Lista de figuras</w:t>
      </w:r>
    </w:p>
    <w:p>
      <w:pPr>
        <w:spacing w:after="60" w:before="0" w:line="360" w:lineRule="auto"/>
        <w:ind w:firstLine="0"/>
        <w:jc w:val="left"/>
      </w:pPr>
      <w:r>
        <w:rPr>
          <w:rFonts w:ascii="Times New Roman" w:hAnsi="Times New Roman" w:eastAsia="Times New Roman"/>
          <w:b w:val="0"/>
          <w:i w:val="0"/>
          <w:color w:val="000000"/>
          <w:sz w:val="24"/>
        </w:rPr>
        <w:t>Figura 1. Inicio de sesión del prototipo</w:t>
      </w:r>
    </w:p>
    <w:p>
      <w:pPr>
        <w:spacing w:after="60" w:before="0" w:line="360" w:lineRule="auto"/>
        <w:ind w:firstLine="0"/>
        <w:jc w:val="left"/>
      </w:pPr>
      <w:r>
        <w:rPr>
          <w:rFonts w:ascii="Times New Roman" w:hAnsi="Times New Roman" w:eastAsia="Times New Roman"/>
          <w:b w:val="0"/>
          <w:i w:val="0"/>
          <w:color w:val="000000"/>
          <w:sz w:val="24"/>
        </w:rPr>
        <w:t>Figura 2. Rechazo de credenciales inválidas</w:t>
      </w:r>
    </w:p>
    <w:p>
      <w:pPr>
        <w:spacing w:after="60" w:before="0" w:line="360" w:lineRule="auto"/>
        <w:ind w:firstLine="0"/>
        <w:jc w:val="left"/>
      </w:pPr>
      <w:r>
        <w:rPr>
          <w:rFonts w:ascii="Times New Roman" w:hAnsi="Times New Roman" w:eastAsia="Times New Roman"/>
          <w:b w:val="0"/>
          <w:i w:val="0"/>
          <w:color w:val="000000"/>
          <w:sz w:val="24"/>
        </w:rPr>
        <w:t>Figura 3. Tablero Estado ICA</w:t>
      </w:r>
    </w:p>
    <w:p>
      <w:pPr>
        <w:spacing w:after="60" w:before="0" w:line="360" w:lineRule="auto"/>
        <w:ind w:firstLine="0"/>
        <w:jc w:val="left"/>
      </w:pPr>
      <w:r>
        <w:rPr>
          <w:rFonts w:ascii="Times New Roman" w:hAnsi="Times New Roman" w:eastAsia="Times New Roman"/>
          <w:b w:val="0"/>
          <w:i w:val="0"/>
          <w:color w:val="000000"/>
          <w:sz w:val="24"/>
        </w:rPr>
        <w:t>Figura 4. Inventario de predios</w:t>
      </w:r>
    </w:p>
    <w:p>
      <w:pPr>
        <w:spacing w:after="60" w:before="0" w:line="360" w:lineRule="auto"/>
        <w:ind w:firstLine="0"/>
        <w:jc w:val="left"/>
      </w:pPr>
      <w:r>
        <w:rPr>
          <w:rFonts w:ascii="Times New Roman" w:hAnsi="Times New Roman" w:eastAsia="Times New Roman"/>
          <w:b w:val="0"/>
          <w:i w:val="0"/>
          <w:color w:val="000000"/>
          <w:sz w:val="24"/>
        </w:rPr>
        <w:t>Figura 5. Administración de usuarios y roles</w:t>
      </w:r>
    </w:p>
    <w:p>
      <w:pPr>
        <w:spacing w:after="60" w:before="0" w:line="360" w:lineRule="auto"/>
        <w:ind w:firstLine="0"/>
        <w:jc w:val="left"/>
      </w:pPr>
      <w:r>
        <w:rPr>
          <w:rFonts w:ascii="Times New Roman" w:hAnsi="Times New Roman" w:eastAsia="Times New Roman"/>
          <w:b w:val="0"/>
          <w:i w:val="0"/>
          <w:color w:val="000000"/>
          <w:sz w:val="24"/>
        </w:rPr>
        <w:t>Figura 6. Cierre de sesión correcto en el build productivo de Vercel</w:t>
      </w:r>
    </w:p>
    <w:p>
      <w:pPr>
        <w:spacing w:after="60" w:before="0" w:line="360" w:lineRule="auto"/>
        <w:ind w:firstLine="0"/>
        <w:jc w:val="left"/>
      </w:pPr>
      <w:r>
        <w:rPr>
          <w:rFonts w:ascii="Times New Roman" w:hAnsi="Times New Roman" w:eastAsia="Times New Roman"/>
          <w:b w:val="0"/>
          <w:i w:val="0"/>
          <w:color w:val="000000"/>
          <w:sz w:val="24"/>
        </w:rPr>
        <w:t>Figura 7. Inventario de animales (6 ejemplares)</w:t>
      </w:r>
    </w:p>
    <w:p>
      <w:pPr>
        <w:spacing w:after="60" w:before="0" w:line="360" w:lineRule="auto"/>
        <w:ind w:firstLine="0"/>
        <w:jc w:val="left"/>
      </w:pPr>
      <w:r>
        <w:rPr>
          <w:rFonts w:ascii="Times New Roman" w:hAnsi="Times New Roman" w:eastAsia="Times New Roman"/>
          <w:b w:val="0"/>
          <w:i w:val="0"/>
          <w:color w:val="000000"/>
          <w:sz w:val="24"/>
        </w:rPr>
        <w:t>Figura 8. Detalle e IBA de VACA-087</w:t>
      </w:r>
    </w:p>
    <w:p>
      <w:pPr>
        <w:spacing w:after="60" w:before="0" w:line="360" w:lineRule="auto"/>
        <w:ind w:firstLine="0"/>
        <w:jc w:val="left"/>
      </w:pPr>
      <w:r>
        <w:rPr>
          <w:rFonts w:ascii="Times New Roman" w:hAnsi="Times New Roman" w:eastAsia="Times New Roman"/>
          <w:b w:val="0"/>
          <w:i w:val="0"/>
          <w:color w:val="000000"/>
          <w:sz w:val="24"/>
        </w:rPr>
        <w:t>Figura 9. Formulario de evaluación ICA</w:t>
      </w:r>
    </w:p>
    <w:p>
      <w:pPr>
        <w:spacing w:after="60" w:before="0" w:line="360" w:lineRule="auto"/>
        <w:ind w:firstLine="0"/>
        <w:jc w:val="left"/>
      </w:pPr>
      <w:r>
        <w:rPr>
          <w:rFonts w:ascii="Times New Roman" w:hAnsi="Times New Roman" w:eastAsia="Times New Roman"/>
          <w:b w:val="0"/>
          <w:i w:val="0"/>
          <w:color w:val="000000"/>
          <w:sz w:val="24"/>
        </w:rPr>
        <w:t>Figura 10. Módulo de simulación y detalle SED</w:t>
      </w:r>
    </w:p>
    <w:p>
      <w:pPr>
        <w:spacing w:after="60" w:before="0" w:line="360" w:lineRule="auto"/>
        <w:ind w:firstLine="0"/>
        <w:jc w:val="left"/>
      </w:pPr>
      <w:r>
        <w:rPr>
          <w:rFonts w:ascii="Times New Roman" w:hAnsi="Times New Roman" w:eastAsia="Times New Roman"/>
          <w:b w:val="0"/>
          <w:i w:val="0"/>
          <w:color w:val="000000"/>
          <w:sz w:val="24"/>
        </w:rPr>
        <w:t>Figura 11. Reporte de predio</w:t>
      </w:r>
    </w:p>
    <w:p>
      <w:pPr>
        <w:spacing w:after="60" w:before="0" w:line="360" w:lineRule="auto"/>
        <w:ind w:firstLine="0"/>
        <w:jc w:val="left"/>
      </w:pPr>
      <w:r>
        <w:rPr>
          <w:rFonts w:ascii="Times New Roman" w:hAnsi="Times New Roman" w:eastAsia="Times New Roman"/>
          <w:b w:val="0"/>
          <w:i w:val="0"/>
          <w:color w:val="000000"/>
          <w:sz w:val="24"/>
        </w:rPr>
        <w:t>Figura 12. Tablero en viewport móvil 390×844</w:t>
      </w:r>
    </w:p>
    <w:p>
      <w:r>
        <w:br w:type="page"/>
      </w:r>
    </w:p>
    <w:p>
      <w:pPr>
        <w:pStyle w:val="Heading1"/>
        <w:spacing w:before="320" w:after="160"/>
        <w:ind w:firstLine="0"/>
      </w:pPr>
      <w:r>
        <w:rPr>
          <w:rFonts w:ascii="Times New Roman" w:hAnsi="Times New Roman" w:eastAsia="Times New Roman"/>
          <w:b/>
          <w:color w:val="000000"/>
          <w:sz w:val="28"/>
        </w:rPr>
        <w:t>12. Pruebas del sistema</w:t>
      </w:r>
    </w:p>
    <w:p>
      <w:pPr>
        <w:pStyle w:val="Heading2"/>
        <w:spacing w:before="320" w:after="160"/>
        <w:ind w:firstLine="0"/>
      </w:pPr>
      <w:r>
        <w:rPr>
          <w:rFonts w:ascii="Times New Roman" w:hAnsi="Times New Roman" w:eastAsia="Times New Roman"/>
          <w:b/>
          <w:color w:val="000000"/>
          <w:sz w:val="26"/>
        </w:rPr>
        <w:t>12.1 Introducción</w:t>
      </w:r>
    </w:p>
    <w:p>
      <w:pPr>
        <w:spacing w:after="160" w:before="0" w:line="360" w:lineRule="auto"/>
        <w:ind w:firstLine="709"/>
        <w:jc w:val="both"/>
      </w:pPr>
      <w:r>
        <w:rPr>
          <w:rFonts w:ascii="Times New Roman" w:hAnsi="Times New Roman" w:eastAsia="Times New Roman"/>
          <w:b w:val="0"/>
          <w:i w:val="0"/>
          <w:color w:val="000000"/>
          <w:sz w:val="24"/>
        </w:rPr>
        <w:t>La verificación y la validación constituyen una fase obligatoria del ciclo de vida del software, pues permiten demostrar, con evidencia empírica, que el prototipo hace lo que los requisitos declaran y que lo hace en el entorno real de despliegue (Sommerville, 2016; Pressman y Maxim, 2015). En este trabajo, las pruebas no se conciben como un recuento informal de pantallas, sino como un proceso sistemático alineado con la pirámide de pruebas (Cohn, 2009), con los niveles del International Software Testing Qualifications Board (ISTQB, 2023) y con la norma ISO/IEC/IEEE 29119-1 (2022) sobre conceptos y vocabulario de pruebas de software.</w:t>
      </w:r>
    </w:p>
    <w:p>
      <w:pPr>
        <w:spacing w:after="160" w:before="0" w:line="360" w:lineRule="auto"/>
        <w:ind w:firstLine="709"/>
        <w:jc w:val="both"/>
      </w:pPr>
      <w:r>
        <w:rPr>
          <w:rFonts w:ascii="Times New Roman" w:hAnsi="Times New Roman" w:eastAsia="Times New Roman"/>
          <w:b w:val="0"/>
          <w:i w:val="0"/>
          <w:color w:val="000000"/>
          <w:sz w:val="24"/>
        </w:rPr>
        <w:t>El capítulo responde, además, a la fase VI del plan de implementación (pruebas y ajustes finales) y a la estrategia descrita en la sección 8.5 del trabajo de grado. Se aclara, no obstante, una corrección de alcance ya advertida en la sección 12.3 de la versión preliminar: el prototipo construido no expone un backend Spring Boot ni persiste en Firebase o Cloudinary. El cliente enriquecido (Ionic/Angular) concentra las reglas del Instituto Colombiano Agropecuario (ICA) y Supabase concentra identidad, datos y archivos. Por tanto, las herramientas del temario de la asignatura (JUnit, pytest, Playwright, Postman, JMeter, Cucumber, OWASP ZAP, SonarQube, TestRail y GitHub Actions) se aplicaron por equivalencia sobre el stack real, y no se atribuye al artefacto una infraestructura que no existe.</w:t>
      </w:r>
    </w:p>
    <w:p>
      <w:pPr>
        <w:spacing w:after="160" w:before="0" w:line="360" w:lineRule="auto"/>
        <w:ind w:firstLine="709"/>
        <w:jc w:val="both"/>
      </w:pPr>
      <w:r>
        <w:rPr>
          <w:rFonts w:ascii="Times New Roman" w:hAnsi="Times New Roman" w:eastAsia="Times New Roman"/>
          <w:b w:val="0"/>
          <w:i w:val="0"/>
          <w:color w:val="000000"/>
          <w:sz w:val="24"/>
        </w:rPr>
        <w:t>La campaña se ejecutó el 27 de octubre de 2026 (America/Bogota) contra el prototipo publicado en https://animal-welfare-platform-vepq.vercel.app/ y contra el código fuente versionado. El criterio de éxito no es la ausencia total de defectos —impropia de un prototipo académico—, sino la cobertura de los casos de uso CU-01 a CU-11, la corroboración de las fórmulas del índice de bienestar animal (IBA) y del índice temperatura-humedad (THI), y la documentación honesta de no conformidades, con su corrección cuando aplica (Myers et al., 2012).</w:t>
      </w:r>
    </w:p>
    <w:p>
      <w:pPr>
        <w:pStyle w:val="Heading2"/>
        <w:spacing w:before="320" w:after="160"/>
        <w:ind w:firstLine="0"/>
      </w:pPr>
      <w:r>
        <w:rPr>
          <w:rFonts w:ascii="Times New Roman" w:hAnsi="Times New Roman" w:eastAsia="Times New Roman"/>
          <w:b/>
          <w:color w:val="000000"/>
          <w:sz w:val="26"/>
        </w:rPr>
        <w:t>12.2 Estrategia y pirámide de pruebas</w:t>
      </w:r>
    </w:p>
    <w:p>
      <w:pPr>
        <w:spacing w:after="160" w:before="0" w:line="360" w:lineRule="auto"/>
        <w:ind w:firstLine="709"/>
        <w:jc w:val="both"/>
      </w:pPr>
      <w:r>
        <w:rPr>
          <w:rFonts w:ascii="Times New Roman" w:hAnsi="Times New Roman" w:eastAsia="Times New Roman"/>
          <w:b w:val="0"/>
          <w:i w:val="0"/>
          <w:color w:val="000000"/>
          <w:sz w:val="24"/>
        </w:rPr>
        <w:t>Se adoptó la pirámide de Cohn (2009): una base amplia de pruebas unitarias baratas y deterministas sobre el dominio (IBA, THI, espacio mínimo, simulación de eventos discretos y visibilidad por rol); una franja de aceptación escrita en lenguaje Gherkin (Cucumber); una capa de pruebas de extremo a extremo (E2E) sobre los flujos del productor, el veterinario y el administrador; y, en la cúspide, pruebas de API, carga, seguridad y calidad estática. Esta distribución reduce el costo de detectar un error de fórmula (que no requiere abrir el navegador) y reserva el E2E para la interacción real con Vercel y Supabase Auth.</w:t>
      </w:r>
    </w:p>
    <w:p>
      <w:pPr>
        <w:spacing w:after="160" w:before="0" w:line="360" w:lineRule="auto"/>
        <w:ind w:firstLine="709"/>
        <w:jc w:val="both"/>
      </w:pPr>
      <w:r>
        <w:rPr>
          <w:rFonts w:ascii="Times New Roman" w:hAnsi="Times New Roman" w:eastAsia="Times New Roman"/>
          <w:b w:val="0"/>
          <w:i w:val="0"/>
          <w:color w:val="000000"/>
          <w:sz w:val="24"/>
        </w:rPr>
        <w:t>La Tabla 1 declara la equivalencia con el temario de pruebas de software. La equivalencia no es cosmética: cada nivel se ejecutó y dejó evidencia reproducible en el repositorio (carpeta tests/).</w:t>
      </w:r>
    </w:p>
    <w:p>
      <w:pPr>
        <w:spacing w:after="120" w:before="0" w:line="276" w:lineRule="auto"/>
        <w:ind w:firstLine="0"/>
        <w:jc w:val="left"/>
      </w:pPr>
      <w:r>
        <w:rPr>
          <w:rFonts w:ascii="Times New Roman" w:hAnsi="Times New Roman" w:eastAsia="Times New Roman"/>
          <w:b/>
          <w:i w:val="0"/>
          <w:color w:val="000000"/>
          <w:sz w:val="22"/>
        </w:rPr>
        <w:t xml:space="preserve">Tabla 1. </w:t>
      </w:r>
      <w:r>
        <w:rPr>
          <w:rFonts w:ascii="Times New Roman" w:hAnsi="Times New Roman" w:eastAsia="Times New Roman"/>
          <w:b w:val="0"/>
          <w:i w:val="0"/>
          <w:color w:val="000000"/>
          <w:sz w:val="22"/>
        </w:rPr>
        <w:t>Equivalencia entre el temario de pruebas y el stack real del prototipo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
              <w:rPr>
                <w:rFonts w:ascii="Times New Roman" w:hAnsi="Times New Roman" w:eastAsia="Times New Roman"/>
                <w:b/>
                <w:i w:val="0"/>
                <w:color w:val="000000"/>
                <w:sz w:val="20"/>
              </w:rPr>
              <w:t>Nivel</w:t>
            </w:r>
          </w:p>
        </w:tc>
        <w:tc>
          <w:tcPr>
            <w:tcW w:type="dxa" w:w="2280"/>
          </w:tcPr>
          <w:p>
            <w:r/>
            <w:r>
              <w:rPr>
                <w:rFonts w:ascii="Times New Roman" w:hAnsi="Times New Roman" w:eastAsia="Times New Roman"/>
                <w:b/>
                <w:i w:val="0"/>
                <w:color w:val="000000"/>
                <w:sz w:val="20"/>
              </w:rPr>
              <w:t>Herramienta del temario</w:t>
            </w:r>
          </w:p>
        </w:tc>
        <w:tc>
          <w:tcPr>
            <w:tcW w:type="dxa" w:w="2280"/>
          </w:tcPr>
          <w:p>
            <w:r/>
            <w:r>
              <w:rPr>
                <w:rFonts w:ascii="Times New Roman" w:hAnsi="Times New Roman" w:eastAsia="Times New Roman"/>
                <w:b/>
                <w:i w:val="0"/>
                <w:color w:val="000000"/>
                <w:sz w:val="20"/>
              </w:rPr>
              <w:t>Instrumento aplicado</w:t>
            </w:r>
          </w:p>
        </w:tc>
        <w:tc>
          <w:tcPr>
            <w:tcW w:type="dxa" w:w="2280"/>
          </w:tcPr>
          <w:p>
            <w:r/>
            <w:r>
              <w:rPr>
                <w:rFonts w:ascii="Times New Roman" w:hAnsi="Times New Roman" w:eastAsia="Times New Roman"/>
                <w:b/>
                <w:i w:val="0"/>
                <w:color w:val="000000"/>
                <w:sz w:val="20"/>
              </w:rPr>
              <w:t>Resultado</w:t>
            </w:r>
          </w:p>
        </w:tc>
      </w:tr>
      <w:tr>
        <w:tc>
          <w:tcPr>
            <w:tcW w:type="dxa" w:w="2280"/>
          </w:tcPr>
          <w:p>
            <w:r/>
            <w:r>
              <w:rPr>
                <w:rFonts w:ascii="Times New Roman" w:hAnsi="Times New Roman" w:eastAsia="Times New Roman"/>
                <w:b w:val="0"/>
                <w:i w:val="0"/>
                <w:color w:val="000000"/>
                <w:sz w:val="20"/>
              </w:rPr>
              <w:t>Unitarias</w:t>
            </w:r>
          </w:p>
        </w:tc>
        <w:tc>
          <w:tcPr>
            <w:tcW w:type="dxa" w:w="2280"/>
          </w:tcPr>
          <w:p>
            <w:r/>
            <w:r>
              <w:rPr>
                <w:rFonts w:ascii="Times New Roman" w:hAnsi="Times New Roman" w:eastAsia="Times New Roman"/>
                <w:b w:val="0"/>
                <w:i w:val="0"/>
                <w:color w:val="000000"/>
                <w:sz w:val="20"/>
              </w:rPr>
              <w:t>JUnit / pytest</w:t>
            </w:r>
          </w:p>
        </w:tc>
        <w:tc>
          <w:tcPr>
            <w:tcW w:type="dxa" w:w="2280"/>
          </w:tcPr>
          <w:p>
            <w:r/>
            <w:r>
              <w:rPr>
                <w:rFonts w:ascii="Times New Roman" w:hAnsi="Times New Roman" w:eastAsia="Times New Roman"/>
                <w:b w:val="0"/>
                <w:i w:val="0"/>
                <w:color w:val="000000"/>
                <w:sz w:val="20"/>
              </w:rPr>
              <w:t>node:test sobre TypeScript real y pytest como oráculo independiente del IBA</w:t>
            </w:r>
          </w:p>
        </w:tc>
        <w:tc>
          <w:tcPr>
            <w:tcW w:type="dxa" w:w="2280"/>
          </w:tcPr>
          <w:p>
            <w:r/>
            <w:r>
              <w:rPr>
                <w:rFonts w:ascii="Times New Roman" w:hAnsi="Times New Roman" w:eastAsia="Times New Roman"/>
                <w:b w:val="0"/>
                <w:i w:val="0"/>
                <w:color w:val="000000"/>
                <w:sz w:val="20"/>
              </w:rPr>
              <w:t>31/31 satisfactorio</w:t>
            </w:r>
          </w:p>
        </w:tc>
      </w:tr>
      <w:tr>
        <w:tc>
          <w:tcPr>
            <w:tcW w:type="dxa" w:w="2280"/>
          </w:tcPr>
          <w:p>
            <w:r/>
            <w:r>
              <w:rPr>
                <w:rFonts w:ascii="Times New Roman" w:hAnsi="Times New Roman" w:eastAsia="Times New Roman"/>
                <w:b w:val="0"/>
                <w:i w:val="0"/>
                <w:color w:val="000000"/>
                <w:sz w:val="20"/>
              </w:rPr>
              <w:t>Aceptación</w:t>
            </w:r>
          </w:p>
        </w:tc>
        <w:tc>
          <w:tcPr>
            <w:tcW w:type="dxa" w:w="2280"/>
          </w:tcPr>
          <w:p>
            <w:r/>
            <w:r>
              <w:rPr>
                <w:rFonts w:ascii="Times New Roman" w:hAnsi="Times New Roman" w:eastAsia="Times New Roman"/>
                <w:b w:val="0"/>
                <w:i w:val="0"/>
                <w:color w:val="000000"/>
                <w:sz w:val="20"/>
              </w:rPr>
              <w:t>Cucumber</w:t>
            </w:r>
          </w:p>
        </w:tc>
        <w:tc>
          <w:tcPr>
            <w:tcW w:type="dxa" w:w="2280"/>
          </w:tcPr>
          <w:p>
            <w:r/>
            <w:r>
              <w:rPr>
                <w:rFonts w:ascii="Times New Roman" w:hAnsi="Times New Roman" w:eastAsia="Times New Roman"/>
                <w:b w:val="0"/>
                <w:i w:val="0"/>
                <w:color w:val="000000"/>
                <w:sz w:val="20"/>
              </w:rPr>
              <w:t>Features Gherkin en español y pasos pytest</w:t>
            </w:r>
          </w:p>
        </w:tc>
        <w:tc>
          <w:tcPr>
            <w:tcW w:type="dxa" w:w="2280"/>
          </w:tcPr>
          <w:p>
            <w:r/>
            <w:r>
              <w:rPr>
                <w:rFonts w:ascii="Times New Roman" w:hAnsi="Times New Roman" w:eastAsia="Times New Roman"/>
                <w:b w:val="0"/>
                <w:i w:val="0"/>
                <w:color w:val="000000"/>
                <w:sz w:val="20"/>
              </w:rPr>
              <w:t>3/3 satisfactorio</w:t>
            </w:r>
          </w:p>
        </w:tc>
      </w:tr>
      <w:tr>
        <w:tc>
          <w:tcPr>
            <w:tcW w:type="dxa" w:w="2280"/>
          </w:tcPr>
          <w:p>
            <w:r/>
            <w:r>
              <w:rPr>
                <w:rFonts w:ascii="Times New Roman" w:hAnsi="Times New Roman" w:eastAsia="Times New Roman"/>
                <w:b w:val="0"/>
                <w:i w:val="0"/>
                <w:color w:val="000000"/>
                <w:sz w:val="20"/>
              </w:rPr>
              <w:t>Funcionales / E2E</w:t>
            </w:r>
          </w:p>
        </w:tc>
        <w:tc>
          <w:tcPr>
            <w:tcW w:type="dxa" w:w="2280"/>
          </w:tcPr>
          <w:p>
            <w:r/>
            <w:r>
              <w:rPr>
                <w:rFonts w:ascii="Times New Roman" w:hAnsi="Times New Roman" w:eastAsia="Times New Roman"/>
                <w:b w:val="0"/>
                <w:i w:val="0"/>
                <w:color w:val="000000"/>
                <w:sz w:val="20"/>
              </w:rPr>
              <w:t>Selenium, Playwright, Cypress</w:t>
            </w:r>
          </w:p>
        </w:tc>
        <w:tc>
          <w:tcPr>
            <w:tcW w:type="dxa" w:w="2280"/>
          </w:tcPr>
          <w:p>
            <w:r/>
            <w:r>
              <w:rPr>
                <w:rFonts w:ascii="Times New Roman" w:hAnsi="Times New Roman" w:eastAsia="Times New Roman"/>
                <w:b w:val="0"/>
                <w:i w:val="0"/>
                <w:color w:val="000000"/>
                <w:sz w:val="20"/>
              </w:rPr>
              <w:t>Playwright (Chromium) contra Vercel</w:t>
            </w:r>
          </w:p>
        </w:tc>
        <w:tc>
          <w:tcPr>
            <w:tcW w:type="dxa" w:w="2280"/>
          </w:tcPr>
          <w:p>
            <w:r/>
            <w:r>
              <w:rPr>
                <w:rFonts w:ascii="Times New Roman" w:hAnsi="Times New Roman" w:eastAsia="Times New Roman"/>
                <w:b w:val="0"/>
                <w:i w:val="0"/>
                <w:color w:val="000000"/>
                <w:sz w:val="20"/>
              </w:rPr>
              <w:t>17/17 satisfactorio en producción (14 EP + móvil + detalle)</w:t>
            </w:r>
          </w:p>
        </w:tc>
      </w:tr>
      <w:tr>
        <w:tc>
          <w:tcPr>
            <w:tcW w:type="dxa" w:w="2280"/>
          </w:tcPr>
          <w:p>
            <w:r/>
            <w:r>
              <w:rPr>
                <w:rFonts w:ascii="Times New Roman" w:hAnsi="Times New Roman" w:eastAsia="Times New Roman"/>
                <w:b w:val="0"/>
                <w:i w:val="0"/>
                <w:color w:val="000000"/>
                <w:sz w:val="20"/>
              </w:rPr>
              <w:t>API</w:t>
            </w:r>
          </w:p>
        </w:tc>
        <w:tc>
          <w:tcPr>
            <w:tcW w:type="dxa" w:w="2280"/>
          </w:tcPr>
          <w:p>
            <w:r/>
            <w:r>
              <w:rPr>
                <w:rFonts w:ascii="Times New Roman" w:hAnsi="Times New Roman" w:eastAsia="Times New Roman"/>
                <w:b w:val="0"/>
                <w:i w:val="0"/>
                <w:color w:val="000000"/>
                <w:sz w:val="20"/>
              </w:rPr>
              <w:t>Postman</w:t>
            </w:r>
          </w:p>
        </w:tc>
        <w:tc>
          <w:tcPr>
            <w:tcW w:type="dxa" w:w="2280"/>
          </w:tcPr>
          <w:p>
            <w:r/>
            <w:r>
              <w:rPr>
                <w:rFonts w:ascii="Times New Roman" w:hAnsi="Times New Roman" w:eastAsia="Times New Roman"/>
                <w:b w:val="0"/>
                <w:i w:val="0"/>
                <w:color w:val="000000"/>
                <w:sz w:val="20"/>
              </w:rPr>
              <w:t>Colección Postman y pytest/requests sobre Auth y REST de Supabase</w:t>
            </w:r>
          </w:p>
        </w:tc>
        <w:tc>
          <w:tcPr>
            <w:tcW w:type="dxa" w:w="2280"/>
          </w:tcPr>
          <w:p>
            <w:r/>
            <w:r>
              <w:rPr>
                <w:rFonts w:ascii="Times New Roman" w:hAnsi="Times New Roman" w:eastAsia="Times New Roman"/>
                <w:b w:val="0"/>
                <w:i w:val="0"/>
                <w:color w:val="000000"/>
                <w:sz w:val="20"/>
              </w:rPr>
              <w:t>10/10 satisfactorio</w:t>
            </w:r>
          </w:p>
        </w:tc>
      </w:tr>
      <w:tr>
        <w:tc>
          <w:tcPr>
            <w:tcW w:type="dxa" w:w="2280"/>
          </w:tcPr>
          <w:p>
            <w:r/>
            <w:r>
              <w:rPr>
                <w:rFonts w:ascii="Times New Roman" w:hAnsi="Times New Roman" w:eastAsia="Times New Roman"/>
                <w:b w:val="0"/>
                <w:i w:val="0"/>
                <w:color w:val="000000"/>
                <w:sz w:val="20"/>
              </w:rPr>
              <w:t>Rendimiento</w:t>
            </w:r>
          </w:p>
        </w:tc>
        <w:tc>
          <w:tcPr>
            <w:tcW w:type="dxa" w:w="2280"/>
          </w:tcPr>
          <w:p>
            <w:r/>
            <w:r>
              <w:rPr>
                <w:rFonts w:ascii="Times New Roman" w:hAnsi="Times New Roman" w:eastAsia="Times New Roman"/>
                <w:b w:val="0"/>
                <w:i w:val="0"/>
                <w:color w:val="000000"/>
                <w:sz w:val="20"/>
              </w:rPr>
              <w:t>Apache JMeter</w:t>
            </w:r>
          </w:p>
        </w:tc>
        <w:tc>
          <w:tcPr>
            <w:tcW w:type="dxa" w:w="2280"/>
          </w:tcPr>
          <w:p>
            <w:r/>
            <w:r>
              <w:rPr>
                <w:rFonts w:ascii="Times New Roman" w:hAnsi="Times New Roman" w:eastAsia="Times New Roman"/>
                <w:b w:val="0"/>
                <w:i w:val="0"/>
                <w:color w:val="000000"/>
                <w:sz w:val="20"/>
              </w:rPr>
              <w:t>Grupo de hilos equivalente (20 usuarios × 3 iteraciones)</w:t>
            </w:r>
          </w:p>
        </w:tc>
        <w:tc>
          <w:tcPr>
            <w:tcW w:type="dxa" w:w="2280"/>
          </w:tcPr>
          <w:p>
            <w:r/>
            <w:r>
              <w:rPr>
                <w:rFonts w:ascii="Times New Roman" w:hAnsi="Times New Roman" w:eastAsia="Times New Roman"/>
                <w:b w:val="0"/>
                <w:i w:val="0"/>
                <w:color w:val="000000"/>
                <w:sz w:val="20"/>
              </w:rPr>
              <w:t>2/2; p95 ≈ 53 ms</w:t>
            </w:r>
          </w:p>
        </w:tc>
      </w:tr>
      <w:tr>
        <w:tc>
          <w:tcPr>
            <w:tcW w:type="dxa" w:w="2280"/>
          </w:tcPr>
          <w:p>
            <w:r/>
            <w:r>
              <w:rPr>
                <w:rFonts w:ascii="Times New Roman" w:hAnsi="Times New Roman" w:eastAsia="Times New Roman"/>
                <w:b w:val="0"/>
                <w:i w:val="0"/>
                <w:color w:val="000000"/>
                <w:sz w:val="20"/>
              </w:rPr>
              <w:t>Seguridad</w:t>
            </w:r>
          </w:p>
        </w:tc>
        <w:tc>
          <w:tcPr>
            <w:tcW w:type="dxa" w:w="2280"/>
          </w:tcPr>
          <w:p>
            <w:r/>
            <w:r>
              <w:rPr>
                <w:rFonts w:ascii="Times New Roman" w:hAnsi="Times New Roman" w:eastAsia="Times New Roman"/>
                <w:b w:val="0"/>
                <w:i w:val="0"/>
                <w:color w:val="000000"/>
                <w:sz w:val="20"/>
              </w:rPr>
              <w:t>OWASP ZAP</w:t>
            </w:r>
          </w:p>
        </w:tc>
        <w:tc>
          <w:tcPr>
            <w:tcW w:type="dxa" w:w="2280"/>
          </w:tcPr>
          <w:p>
            <w:r/>
            <w:r>
              <w:rPr>
                <w:rFonts w:ascii="Times New Roman" w:hAnsi="Times New Roman" w:eastAsia="Times New Roman"/>
                <w:b w:val="0"/>
                <w:i w:val="0"/>
                <w:color w:val="000000"/>
                <w:sz w:val="20"/>
              </w:rPr>
              <w:t>Lista de verificación OWASP Top 10 (2021), sin payloads ofensivos</w:t>
            </w:r>
          </w:p>
        </w:tc>
        <w:tc>
          <w:tcPr>
            <w:tcW w:type="dxa" w:w="2280"/>
          </w:tcPr>
          <w:p>
            <w:r/>
            <w:r>
              <w:rPr>
                <w:rFonts w:ascii="Times New Roman" w:hAnsi="Times New Roman" w:eastAsia="Times New Roman"/>
                <w:b w:val="0"/>
                <w:i w:val="0"/>
                <w:color w:val="000000"/>
                <w:sz w:val="20"/>
              </w:rPr>
              <w:t>Controles de acceso, TLS y cabeceras anti-clickjacking satisfactorios; CSP no impuesto</w:t>
            </w:r>
          </w:p>
        </w:tc>
      </w:tr>
      <w:tr>
        <w:tc>
          <w:tcPr>
            <w:tcW w:type="dxa" w:w="2280"/>
          </w:tcPr>
          <w:p>
            <w:r/>
            <w:r>
              <w:rPr>
                <w:rFonts w:ascii="Times New Roman" w:hAnsi="Times New Roman" w:eastAsia="Times New Roman"/>
                <w:b w:val="0"/>
                <w:i w:val="0"/>
                <w:color w:val="000000"/>
                <w:sz w:val="20"/>
              </w:rPr>
              <w:t>Calidad estática</w:t>
            </w:r>
          </w:p>
        </w:tc>
        <w:tc>
          <w:tcPr>
            <w:tcW w:type="dxa" w:w="2280"/>
          </w:tcPr>
          <w:p>
            <w:r/>
            <w:r>
              <w:rPr>
                <w:rFonts w:ascii="Times New Roman" w:hAnsi="Times New Roman" w:eastAsia="Times New Roman"/>
                <w:b w:val="0"/>
                <w:i w:val="0"/>
                <w:color w:val="000000"/>
                <w:sz w:val="20"/>
              </w:rPr>
              <w:t>SonarQube</w:t>
            </w:r>
          </w:p>
        </w:tc>
        <w:tc>
          <w:tcPr>
            <w:tcW w:type="dxa" w:w="2280"/>
          </w:tcPr>
          <w:p>
            <w:r/>
            <w:r>
              <w:rPr>
                <w:rFonts w:ascii="Times New Roman" w:hAnsi="Times New Roman" w:eastAsia="Times New Roman"/>
                <w:b w:val="0"/>
                <w:i w:val="0"/>
                <w:color w:val="000000"/>
                <w:sz w:val="20"/>
              </w:rPr>
              <w:t>Métricas de complejidad, duplicación y mantenibilidad</w:t>
            </w:r>
          </w:p>
        </w:tc>
        <w:tc>
          <w:tcPr>
            <w:tcW w:type="dxa" w:w="2280"/>
          </w:tcPr>
          <w:p>
            <w:r/>
            <w:r>
              <w:rPr>
                <w:rFonts w:ascii="Times New Roman" w:hAnsi="Times New Roman" w:eastAsia="Times New Roman"/>
                <w:b w:val="0"/>
                <w:i w:val="0"/>
                <w:color w:val="000000"/>
                <w:sz w:val="20"/>
              </w:rPr>
              <w:t>Índice 95,6 (rating A)</w:t>
            </w:r>
          </w:p>
        </w:tc>
      </w:tr>
      <w:tr>
        <w:tc>
          <w:tcPr>
            <w:tcW w:type="dxa" w:w="2280"/>
          </w:tcPr>
          <w:p>
            <w:r/>
            <w:r>
              <w:rPr>
                <w:rFonts w:ascii="Times New Roman" w:hAnsi="Times New Roman" w:eastAsia="Times New Roman"/>
                <w:b w:val="0"/>
                <w:i w:val="0"/>
                <w:color w:val="000000"/>
                <w:sz w:val="20"/>
              </w:rPr>
              <w:t>Gestión</w:t>
            </w:r>
          </w:p>
        </w:tc>
        <w:tc>
          <w:tcPr>
            <w:tcW w:type="dxa" w:w="2280"/>
          </w:tcPr>
          <w:p>
            <w:r/>
            <w:r>
              <w:rPr>
                <w:rFonts w:ascii="Times New Roman" w:hAnsi="Times New Roman" w:eastAsia="Times New Roman"/>
                <w:b w:val="0"/>
                <w:i w:val="0"/>
                <w:color w:val="000000"/>
                <w:sz w:val="20"/>
              </w:rPr>
              <w:t>TestRail</w:t>
            </w:r>
          </w:p>
        </w:tc>
        <w:tc>
          <w:tcPr>
            <w:tcW w:type="dxa" w:w="2280"/>
          </w:tcPr>
          <w:p>
            <w:r/>
            <w:r>
              <w:rPr>
                <w:rFonts w:ascii="Times New Roman" w:hAnsi="Times New Roman" w:eastAsia="Times New Roman"/>
                <w:b w:val="0"/>
                <w:i w:val="0"/>
                <w:color w:val="000000"/>
                <w:sz w:val="20"/>
              </w:rPr>
              <w:t>Catálogo JSON de 41 casos</w:t>
            </w:r>
          </w:p>
        </w:tc>
        <w:tc>
          <w:tcPr>
            <w:tcW w:type="dxa" w:w="2280"/>
          </w:tcPr>
          <w:p>
            <w:r/>
            <w:r>
              <w:rPr>
                <w:rFonts w:ascii="Times New Roman" w:hAnsi="Times New Roman" w:eastAsia="Times New Roman"/>
                <w:b w:val="0"/>
                <w:i w:val="0"/>
                <w:color w:val="000000"/>
                <w:sz w:val="20"/>
              </w:rPr>
              <w:t>Trazado a RF y CU</w:t>
            </w:r>
          </w:p>
        </w:tc>
      </w:tr>
      <w:tr>
        <w:tc>
          <w:tcPr>
            <w:tcW w:type="dxa" w:w="2280"/>
          </w:tcPr>
          <w:p>
            <w:r/>
            <w:r>
              <w:rPr>
                <w:rFonts w:ascii="Times New Roman" w:hAnsi="Times New Roman" w:eastAsia="Times New Roman"/>
                <w:b w:val="0"/>
                <w:i w:val="0"/>
                <w:color w:val="000000"/>
                <w:sz w:val="20"/>
              </w:rPr>
              <w:t>CI</w:t>
            </w:r>
          </w:p>
        </w:tc>
        <w:tc>
          <w:tcPr>
            <w:tcW w:type="dxa" w:w="2280"/>
          </w:tcPr>
          <w:p>
            <w:r/>
            <w:r>
              <w:rPr>
                <w:rFonts w:ascii="Times New Roman" w:hAnsi="Times New Roman" w:eastAsia="Times New Roman"/>
                <w:b w:val="0"/>
                <w:i w:val="0"/>
                <w:color w:val="000000"/>
                <w:sz w:val="20"/>
              </w:rPr>
              <w:t>Jenkins / GitHub Actions</w:t>
            </w:r>
          </w:p>
        </w:tc>
        <w:tc>
          <w:tcPr>
            <w:tcW w:type="dxa" w:w="2280"/>
          </w:tcPr>
          <w:p>
            <w:r/>
            <w:r>
              <w:rPr>
                <w:rFonts w:ascii="Times New Roman" w:hAnsi="Times New Roman" w:eastAsia="Times New Roman"/>
                <w:b w:val="0"/>
                <w:i w:val="0"/>
                <w:color w:val="000000"/>
                <w:sz w:val="20"/>
              </w:rPr>
              <w:t>Workflow en cada push/pull request</w:t>
            </w:r>
          </w:p>
        </w:tc>
        <w:tc>
          <w:tcPr>
            <w:tcW w:type="dxa" w:w="2280"/>
          </w:tcPr>
          <w:p>
            <w:r/>
            <w:r>
              <w:rPr>
                <w:rFonts w:ascii="Times New Roman" w:hAnsi="Times New Roman" w:eastAsia="Times New Roman"/>
                <w:b w:val="0"/>
                <w:i w:val="0"/>
                <w:color w:val="000000"/>
                <w:sz w:val="20"/>
              </w:rPr>
              <w:t>Configurado</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JUnit no aplica porque no hay backend Java; node:test examina el mismo código que calcula el IBA en producción.</w:t>
      </w:r>
    </w:p>
    <w:p>
      <w:pPr>
        <w:pStyle w:val="Heading2"/>
        <w:spacing w:before="320" w:after="160"/>
        <w:ind w:firstLine="0"/>
      </w:pPr>
      <w:r>
        <w:rPr>
          <w:rFonts w:ascii="Times New Roman" w:hAnsi="Times New Roman" w:eastAsia="Times New Roman"/>
          <w:b/>
          <w:color w:val="000000"/>
          <w:sz w:val="26"/>
        </w:rPr>
        <w:t>12.3 Ambiente, alcance y limitaciones</w:t>
      </w:r>
    </w:p>
    <w:p>
      <w:pPr>
        <w:spacing w:after="120" w:before="0" w:line="276" w:lineRule="auto"/>
        <w:ind w:firstLine="0"/>
        <w:jc w:val="left"/>
      </w:pPr>
      <w:r>
        <w:rPr>
          <w:rFonts w:ascii="Times New Roman" w:hAnsi="Times New Roman" w:eastAsia="Times New Roman"/>
          <w:b/>
          <w:i w:val="0"/>
          <w:color w:val="000000"/>
          <w:sz w:val="22"/>
        </w:rPr>
        <w:t xml:space="preserve">Tabla 2. </w:t>
      </w:r>
      <w:r>
        <w:rPr>
          <w:rFonts w:ascii="Times New Roman" w:hAnsi="Times New Roman" w:eastAsia="Times New Roman"/>
          <w:b w:val="0"/>
          <w:i w:val="0"/>
          <w:color w:val="000000"/>
          <w:sz w:val="22"/>
        </w:rPr>
        <w:t>Ambiente de ejecución de la campaña</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eastAsia="Times New Roman"/>
                <w:b/>
                <w:i w:val="0"/>
                <w:color w:val="000000"/>
                <w:sz w:val="20"/>
              </w:rPr>
              <w:t>Elemento</w:t>
            </w:r>
          </w:p>
        </w:tc>
        <w:tc>
          <w:tcPr>
            <w:tcW w:type="dxa" w:w="4561"/>
          </w:tcPr>
          <w:p>
            <w:r/>
            <w:r>
              <w:rPr>
                <w:rFonts w:ascii="Times New Roman" w:hAnsi="Times New Roman" w:eastAsia="Times New Roman"/>
                <w:b/>
                <w:i w:val="0"/>
                <w:color w:val="000000"/>
                <w:sz w:val="20"/>
              </w:rPr>
              <w:t>Descripción</w:t>
            </w:r>
          </w:p>
        </w:tc>
      </w:tr>
      <w:tr>
        <w:tc>
          <w:tcPr>
            <w:tcW w:type="dxa" w:w="4561"/>
          </w:tcPr>
          <w:p>
            <w:r/>
            <w:r>
              <w:rPr>
                <w:rFonts w:ascii="Times New Roman" w:hAnsi="Times New Roman" w:eastAsia="Times New Roman"/>
                <w:b w:val="0"/>
                <w:i w:val="0"/>
                <w:color w:val="000000"/>
                <w:sz w:val="20"/>
              </w:rPr>
              <w:t>Frontend publicado</w:t>
            </w:r>
          </w:p>
        </w:tc>
        <w:tc>
          <w:tcPr>
            <w:tcW w:type="dxa" w:w="4561"/>
          </w:tcPr>
          <w:p>
            <w:r/>
            <w:r>
              <w:rPr>
                <w:rFonts w:ascii="Times New Roman" w:hAnsi="Times New Roman" w:eastAsia="Times New Roman"/>
                <w:b w:val="0"/>
                <w:i w:val="0"/>
                <w:color w:val="000000"/>
                <w:sz w:val="20"/>
              </w:rPr>
              <w:t>https://animal-welfare-platform-vepq.vercel.app/</w:t>
            </w:r>
          </w:p>
        </w:tc>
      </w:tr>
      <w:tr>
        <w:tc>
          <w:tcPr>
            <w:tcW w:type="dxa" w:w="4561"/>
          </w:tcPr>
          <w:p>
            <w:r/>
            <w:r>
              <w:rPr>
                <w:rFonts w:ascii="Times New Roman" w:hAnsi="Times New Roman" w:eastAsia="Times New Roman"/>
                <w:b w:val="0"/>
                <w:i w:val="0"/>
                <w:color w:val="000000"/>
                <w:sz w:val="20"/>
              </w:rPr>
              <w:t>Backend as a Service</w:t>
            </w:r>
          </w:p>
        </w:tc>
        <w:tc>
          <w:tcPr>
            <w:tcW w:type="dxa" w:w="4561"/>
          </w:tcPr>
          <w:p>
            <w:r/>
            <w:r>
              <w:rPr>
                <w:rFonts w:ascii="Times New Roman" w:hAnsi="Times New Roman" w:eastAsia="Times New Roman"/>
                <w:b w:val="0"/>
                <w:i w:val="0"/>
                <w:color w:val="000000"/>
                <w:sz w:val="20"/>
              </w:rPr>
              <w:t>https://gkomojjjyydbdajpxyqw.supabase.co (Auth, Postgres, Storage, RLS)</w:t>
            </w:r>
          </w:p>
        </w:tc>
      </w:tr>
      <w:tr>
        <w:tc>
          <w:tcPr>
            <w:tcW w:type="dxa" w:w="4561"/>
          </w:tcPr>
          <w:p>
            <w:r/>
            <w:r>
              <w:rPr>
                <w:rFonts w:ascii="Times New Roman" w:hAnsi="Times New Roman" w:eastAsia="Times New Roman"/>
                <w:b w:val="0"/>
                <w:i w:val="0"/>
                <w:color w:val="000000"/>
                <w:sz w:val="20"/>
              </w:rPr>
              <w:t>Cuenta de evaluación</w:t>
            </w:r>
          </w:p>
        </w:tc>
        <w:tc>
          <w:tcPr>
            <w:tcW w:type="dxa" w:w="4561"/>
          </w:tcPr>
          <w:p>
            <w:r/>
            <w:r>
              <w:rPr>
                <w:rFonts w:ascii="Times New Roman" w:hAnsi="Times New Roman" w:eastAsia="Times New Roman"/>
                <w:b w:val="0"/>
                <w:i w:val="0"/>
                <w:color w:val="000000"/>
                <w:sz w:val="20"/>
              </w:rPr>
              <w:t>Administrador de prueba del investigador (rol ADMINISTRATOR)</w:t>
            </w:r>
          </w:p>
        </w:tc>
      </w:tr>
      <w:tr>
        <w:tc>
          <w:tcPr>
            <w:tcW w:type="dxa" w:w="4561"/>
          </w:tcPr>
          <w:p>
            <w:r/>
            <w:r>
              <w:rPr>
                <w:rFonts w:ascii="Times New Roman" w:hAnsi="Times New Roman" w:eastAsia="Times New Roman"/>
                <w:b w:val="0"/>
                <w:i w:val="0"/>
                <w:color w:val="000000"/>
                <w:sz w:val="20"/>
              </w:rPr>
              <w:t>Inventario observado</w:t>
            </w:r>
          </w:p>
        </w:tc>
        <w:tc>
          <w:tcPr>
            <w:tcW w:type="dxa" w:w="4561"/>
          </w:tcPr>
          <w:p>
            <w:r/>
            <w:r>
              <w:rPr>
                <w:rFonts w:ascii="Times New Roman" w:hAnsi="Times New Roman" w:eastAsia="Times New Roman"/>
                <w:b w:val="0"/>
                <w:i w:val="0"/>
                <w:color w:val="000000"/>
                <w:sz w:val="20"/>
              </w:rPr>
              <w:t>Tres predios (El Recuerdo, La Esperanza, Prueba), seis animales, cuatro perfiles</w:t>
            </w:r>
          </w:p>
        </w:tc>
      </w:tr>
      <w:tr>
        <w:tc>
          <w:tcPr>
            <w:tcW w:type="dxa" w:w="4561"/>
          </w:tcPr>
          <w:p>
            <w:r/>
            <w:r>
              <w:rPr>
                <w:rFonts w:ascii="Times New Roman" w:hAnsi="Times New Roman" w:eastAsia="Times New Roman"/>
                <w:b w:val="0"/>
                <w:i w:val="0"/>
                <w:color w:val="000000"/>
                <w:sz w:val="20"/>
              </w:rPr>
              <w:t>Navegador E2E</w:t>
            </w:r>
          </w:p>
        </w:tc>
        <w:tc>
          <w:tcPr>
            <w:tcW w:type="dxa" w:w="4561"/>
          </w:tcPr>
          <w:p>
            <w:r/>
            <w:r>
              <w:rPr>
                <w:rFonts w:ascii="Times New Roman" w:hAnsi="Times New Roman" w:eastAsia="Times New Roman"/>
                <w:b w:val="0"/>
                <w:i w:val="0"/>
                <w:color w:val="000000"/>
                <w:sz w:val="20"/>
              </w:rPr>
              <w:t>Playwright Chromium, viewport 1280 × 800; exploración adicional 390 × 844</w:t>
            </w:r>
          </w:p>
        </w:tc>
      </w:tr>
      <w:tr>
        <w:tc>
          <w:tcPr>
            <w:tcW w:type="dxa" w:w="4561"/>
          </w:tcPr>
          <w:p>
            <w:r/>
            <w:r>
              <w:rPr>
                <w:rFonts w:ascii="Times New Roman" w:hAnsi="Times New Roman" w:eastAsia="Times New Roman"/>
                <w:b w:val="0"/>
                <w:i w:val="0"/>
                <w:color w:val="000000"/>
                <w:sz w:val="20"/>
              </w:rPr>
              <w:t>Fecha</w:t>
            </w:r>
          </w:p>
        </w:tc>
        <w:tc>
          <w:tcPr>
            <w:tcW w:type="dxa" w:w="4561"/>
          </w:tcPr>
          <w:p>
            <w:r/>
            <w:r>
              <w:rPr>
                <w:rFonts w:ascii="Times New Roman" w:hAnsi="Times New Roman" w:eastAsia="Times New Roman"/>
                <w:b w:val="0"/>
                <w:i w:val="0"/>
                <w:color w:val="000000"/>
                <w:sz w:val="20"/>
              </w:rPr>
              <w:t>27 de octubre de 2026, zona America/Bogota</w:t>
            </w:r>
          </w:p>
        </w:tc>
      </w:tr>
      <w:tr>
        <w:tc>
          <w:tcPr>
            <w:tcW w:type="dxa" w:w="4561"/>
          </w:tcPr>
          <w:p>
            <w:r/>
            <w:r>
              <w:rPr>
                <w:rFonts w:ascii="Times New Roman" w:hAnsi="Times New Roman" w:eastAsia="Times New Roman"/>
                <w:b w:val="0"/>
                <w:i w:val="0"/>
                <w:color w:val="000000"/>
                <w:sz w:val="20"/>
              </w:rPr>
              <w:t>Fuera de alcance</w:t>
            </w:r>
          </w:p>
        </w:tc>
        <w:tc>
          <w:tcPr>
            <w:tcW w:type="dxa" w:w="4561"/>
          </w:tcPr>
          <w:p>
            <w:r/>
            <w:r>
              <w:rPr>
                <w:rFonts w:ascii="Times New Roman" w:hAnsi="Times New Roman" w:eastAsia="Times New Roman"/>
                <w:b w:val="0"/>
                <w:i w:val="0"/>
                <w:color w:val="000000"/>
                <w:sz w:val="20"/>
              </w:rPr>
              <w:t>Apps nativas iOS/Android, carga destructiva sobre Postgres, fuzzing, WCAG formal, persistencia offline de Ionic Storage</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La contraseña de evaluación no se versiona; se inyecta por variables de entorno.</w:t>
      </w:r>
    </w:p>
    <w:p>
      <w:pPr>
        <w:spacing w:after="160" w:before="0" w:line="360" w:lineRule="auto"/>
        <w:ind w:firstLine="709"/>
        <w:jc w:val="both"/>
      </w:pPr>
      <w:r>
        <w:rPr>
          <w:rFonts w:ascii="Times New Roman" w:hAnsi="Times New Roman" w:eastAsia="Times New Roman"/>
          <w:b w:val="0"/>
          <w:i w:val="0"/>
          <w:color w:val="000000"/>
          <w:sz w:val="24"/>
        </w:rPr>
        <w:t>No se ejecutaron altas ni borrados masivos contra el inventario de producción, para no contaminar la semilla académica. Los formularios de predio y animal se abrieron y se validó el copy, los campos condicionales por especie y las etiquetas en sentence case, sin pulsar Guardar. Esta decisión es coherente con la ética de un prototipo compartido (Hernández-Sampieri y Mendoza, 2018).</w:t>
      </w:r>
    </w:p>
    <w:p>
      <w:pPr>
        <w:spacing w:after="160" w:before="0" w:line="360" w:lineRule="auto"/>
        <w:ind w:firstLine="709"/>
        <w:jc w:val="both"/>
      </w:pPr>
      <w:r>
        <w:rPr>
          <w:rFonts w:ascii="Times New Roman" w:hAnsi="Times New Roman" w:eastAsia="Times New Roman"/>
          <w:b w:val="0"/>
          <w:i w:val="0"/>
          <w:color w:val="000000"/>
          <w:sz w:val="24"/>
        </w:rPr>
        <w:t>Una pasada exploratoria en Chrome activó el traductor automático del navegador (El Recuerdo apareció como The Memory; la frase «3 predios» se distorsionó). Esos recortes no se interpretan como defectos de inventario. La evidencia de Playwright, sin traductor, muestra los textos originales en español y los conteos correctos.</w:t>
      </w:r>
    </w:p>
    <w:p>
      <w:pPr>
        <w:pStyle w:val="Heading2"/>
        <w:spacing w:before="320" w:after="160"/>
        <w:ind w:firstLine="0"/>
      </w:pPr>
      <w:r>
        <w:rPr>
          <w:rFonts w:ascii="Times New Roman" w:hAnsi="Times New Roman" w:eastAsia="Times New Roman"/>
          <w:b/>
          <w:color w:val="000000"/>
          <w:sz w:val="26"/>
        </w:rPr>
        <w:t>12.4 Trazabilidad requisitos–casos de prueba</w:t>
      </w:r>
    </w:p>
    <w:p>
      <w:pPr>
        <w:spacing w:after="160" w:before="0" w:line="360" w:lineRule="auto"/>
        <w:ind w:firstLine="709"/>
        <w:jc w:val="both"/>
      </w:pPr>
      <w:r>
        <w:rPr>
          <w:rFonts w:ascii="Times New Roman" w:hAnsi="Times New Roman" w:eastAsia="Times New Roman"/>
          <w:b w:val="0"/>
          <w:i w:val="0"/>
          <w:color w:val="000000"/>
          <w:sz w:val="24"/>
        </w:rPr>
        <w:t>La Tabla 3 vincula los requerimientos funcionales (RF-01 a RF-06), los casos de uso (CU-01 a CU-11) y los identificadores de prueba. La trazabilidad es el mecanismo que evita probar pantallas aisladas sin relación con el alcance del título (IEEE Computer Society, 2014; ISO/IEC/IEEE 29119-1, 2022).</w:t>
      </w:r>
    </w:p>
    <w:p>
      <w:pPr>
        <w:spacing w:after="120" w:before="0" w:line="276" w:lineRule="auto"/>
        <w:ind w:firstLine="0"/>
        <w:jc w:val="left"/>
      </w:pPr>
      <w:r>
        <w:rPr>
          <w:rFonts w:ascii="Times New Roman" w:hAnsi="Times New Roman" w:eastAsia="Times New Roman"/>
          <w:b/>
          <w:i w:val="0"/>
          <w:color w:val="000000"/>
          <w:sz w:val="22"/>
        </w:rPr>
        <w:t xml:space="preserve">Tabla 3. </w:t>
      </w:r>
      <w:r>
        <w:rPr>
          <w:rFonts w:ascii="Times New Roman" w:hAnsi="Times New Roman" w:eastAsia="Times New Roman"/>
          <w:b w:val="0"/>
          <w:i w:val="0"/>
          <w:color w:val="000000"/>
          <w:sz w:val="22"/>
        </w:rPr>
        <w:t>Matriz de trazabilidad entre requisitos, casos de uso y casos de prueba</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eastAsia="Times New Roman"/>
                <w:b/>
                <w:i w:val="0"/>
                <w:color w:val="000000"/>
                <w:sz w:val="20"/>
              </w:rPr>
              <w:t>Requisito / CU</w:t>
            </w:r>
          </w:p>
        </w:tc>
        <w:tc>
          <w:tcPr>
            <w:tcW w:type="dxa" w:w="3041"/>
          </w:tcPr>
          <w:p>
            <w:r/>
            <w:r>
              <w:rPr>
                <w:rFonts w:ascii="Times New Roman" w:hAnsi="Times New Roman" w:eastAsia="Times New Roman"/>
                <w:b/>
                <w:i w:val="0"/>
                <w:color w:val="000000"/>
                <w:sz w:val="20"/>
              </w:rPr>
              <w:t>Qué se verifica</w:t>
            </w:r>
          </w:p>
        </w:tc>
        <w:tc>
          <w:tcPr>
            <w:tcW w:type="dxa" w:w="3041"/>
          </w:tcPr>
          <w:p>
            <w:r/>
            <w:r>
              <w:rPr>
                <w:rFonts w:ascii="Times New Roman" w:hAnsi="Times New Roman" w:eastAsia="Times New Roman"/>
                <w:b/>
                <w:i w:val="0"/>
                <w:color w:val="000000"/>
                <w:sz w:val="20"/>
              </w:rPr>
              <w:t>Casos</w:t>
            </w:r>
          </w:p>
        </w:tc>
      </w:tr>
      <w:tr>
        <w:tc>
          <w:tcPr>
            <w:tcW w:type="dxa" w:w="3041"/>
          </w:tcPr>
          <w:p>
            <w:r/>
            <w:r>
              <w:rPr>
                <w:rFonts w:ascii="Times New Roman" w:hAnsi="Times New Roman" w:eastAsia="Times New Roman"/>
                <w:b w:val="0"/>
                <w:i w:val="0"/>
                <w:color w:val="000000"/>
                <w:sz w:val="20"/>
              </w:rPr>
              <w:t>RF-01, CU-01, CU-02, CU-11</w:t>
            </w:r>
          </w:p>
        </w:tc>
        <w:tc>
          <w:tcPr>
            <w:tcW w:type="dxa" w:w="3041"/>
          </w:tcPr>
          <w:p>
            <w:r/>
            <w:r>
              <w:rPr>
                <w:rFonts w:ascii="Times New Roman" w:hAnsi="Times New Roman" w:eastAsia="Times New Roman"/>
                <w:b w:val="0"/>
                <w:i w:val="0"/>
                <w:color w:val="000000"/>
                <w:sz w:val="20"/>
              </w:rPr>
              <w:t>Identidad: login, registro sin rol administrador, guardas, cierre de sesión</w:t>
            </w:r>
          </w:p>
        </w:tc>
        <w:tc>
          <w:tcPr>
            <w:tcW w:type="dxa" w:w="3041"/>
          </w:tcPr>
          <w:p>
            <w:r/>
            <w:r>
              <w:rPr>
                <w:rFonts w:ascii="Times New Roman" w:hAnsi="Times New Roman" w:eastAsia="Times New Roman"/>
                <w:b w:val="0"/>
                <w:i w:val="0"/>
                <w:color w:val="000000"/>
                <w:sz w:val="20"/>
              </w:rPr>
              <w:t>TC-AUTH-01 a 06; EP-01, 02, 03, 14</w:t>
            </w:r>
          </w:p>
        </w:tc>
      </w:tr>
      <w:tr>
        <w:tc>
          <w:tcPr>
            <w:tcW w:type="dxa" w:w="3041"/>
          </w:tcPr>
          <w:p>
            <w:r/>
            <w:r>
              <w:rPr>
                <w:rFonts w:ascii="Times New Roman" w:hAnsi="Times New Roman" w:eastAsia="Times New Roman"/>
                <w:b w:val="0"/>
                <w:i w:val="0"/>
                <w:color w:val="000000"/>
                <w:sz w:val="20"/>
              </w:rPr>
              <w:t>RF-02, CU-04</w:t>
            </w:r>
          </w:p>
        </w:tc>
        <w:tc>
          <w:tcPr>
            <w:tcW w:type="dxa" w:w="3041"/>
          </w:tcPr>
          <w:p>
            <w:r/>
            <w:r>
              <w:rPr>
                <w:rFonts w:ascii="Times New Roman" w:hAnsi="Times New Roman" w:eastAsia="Times New Roman"/>
                <w:b w:val="0"/>
                <w:i w:val="0"/>
                <w:color w:val="000000"/>
                <w:sz w:val="20"/>
              </w:rPr>
              <w:t>Predios: listado, alta (formulario), RUV, GPS, agua</w:t>
            </w:r>
          </w:p>
        </w:tc>
        <w:tc>
          <w:tcPr>
            <w:tcW w:type="dxa" w:w="3041"/>
          </w:tcPr>
          <w:p>
            <w:r/>
            <w:r>
              <w:rPr>
                <w:rFonts w:ascii="Times New Roman" w:hAnsi="Times New Roman" w:eastAsia="Times New Roman"/>
                <w:b w:val="0"/>
                <w:i w:val="0"/>
                <w:color w:val="000000"/>
                <w:sz w:val="20"/>
              </w:rPr>
              <w:t>TC-NAV-02; EP-05, 06</w:t>
            </w:r>
          </w:p>
        </w:tc>
      </w:tr>
      <w:tr>
        <w:tc>
          <w:tcPr>
            <w:tcW w:type="dxa" w:w="3041"/>
          </w:tcPr>
          <w:p>
            <w:r/>
            <w:r>
              <w:rPr>
                <w:rFonts w:ascii="Times New Roman" w:hAnsi="Times New Roman" w:eastAsia="Times New Roman"/>
                <w:b w:val="0"/>
                <w:i w:val="0"/>
                <w:color w:val="000000"/>
                <w:sz w:val="20"/>
              </w:rPr>
              <w:t>RF-03, CU-05</w:t>
            </w:r>
          </w:p>
        </w:tc>
        <w:tc>
          <w:tcPr>
            <w:tcW w:type="dxa" w:w="3041"/>
          </w:tcPr>
          <w:p>
            <w:r/>
            <w:r>
              <w:rPr>
                <w:rFonts w:ascii="Times New Roman" w:hAnsi="Times New Roman" w:eastAsia="Times New Roman"/>
                <w:b w:val="0"/>
                <w:i w:val="0"/>
                <w:color w:val="000000"/>
                <w:sz w:val="20"/>
              </w:rPr>
              <w:t>Animales: especie, campos condicionales, detalle</w:t>
            </w:r>
          </w:p>
        </w:tc>
        <w:tc>
          <w:tcPr>
            <w:tcW w:type="dxa" w:w="3041"/>
          </w:tcPr>
          <w:p>
            <w:r/>
            <w:r>
              <w:rPr>
                <w:rFonts w:ascii="Times New Roman" w:hAnsi="Times New Roman" w:eastAsia="Times New Roman"/>
                <w:b w:val="0"/>
                <w:i w:val="0"/>
                <w:color w:val="000000"/>
                <w:sz w:val="20"/>
              </w:rPr>
              <w:t>TC-NAV-03; EP-07, 08</w:t>
            </w:r>
          </w:p>
        </w:tc>
      </w:tr>
      <w:tr>
        <w:tc>
          <w:tcPr>
            <w:tcW w:type="dxa" w:w="3041"/>
          </w:tcPr>
          <w:p>
            <w:r/>
            <w:r>
              <w:rPr>
                <w:rFonts w:ascii="Times New Roman" w:hAnsi="Times New Roman" w:eastAsia="Times New Roman"/>
                <w:b w:val="0"/>
                <w:i w:val="0"/>
                <w:color w:val="000000"/>
                <w:sz w:val="20"/>
              </w:rPr>
              <w:t>RF-04, CU-03, CU-06, CU-07</w:t>
            </w:r>
          </w:p>
        </w:tc>
        <w:tc>
          <w:tcPr>
            <w:tcW w:type="dxa" w:w="3041"/>
          </w:tcPr>
          <w:p>
            <w:r/>
            <w:r>
              <w:rPr>
                <w:rFonts w:ascii="Times New Roman" w:hAnsi="Times New Roman" w:eastAsia="Times New Roman"/>
                <w:b w:val="0"/>
                <w:i w:val="0"/>
                <w:color w:val="000000"/>
                <w:sz w:val="20"/>
              </w:rPr>
              <w:t>IBA, THI, cinco libertades, tablero, alertas, fechas d MMM, y</w:t>
            </w:r>
          </w:p>
        </w:tc>
        <w:tc>
          <w:tcPr>
            <w:tcW w:type="dxa" w:w="3041"/>
          </w:tcPr>
          <w:p>
            <w:r/>
            <w:r>
              <w:rPr>
                <w:rFonts w:ascii="Times New Roman" w:hAnsi="Times New Roman" w:eastAsia="Times New Roman"/>
                <w:b w:val="0"/>
                <w:i w:val="0"/>
                <w:color w:val="000000"/>
                <w:sz w:val="20"/>
              </w:rPr>
              <w:t>TC-ICA-01 a 06; EP-04, 09</w:t>
            </w:r>
          </w:p>
        </w:tc>
      </w:tr>
      <w:tr>
        <w:tc>
          <w:tcPr>
            <w:tcW w:type="dxa" w:w="3041"/>
          </w:tcPr>
          <w:p>
            <w:r/>
            <w:r>
              <w:rPr>
                <w:rFonts w:ascii="Times New Roman" w:hAnsi="Times New Roman" w:eastAsia="Times New Roman"/>
                <w:b w:val="0"/>
                <w:i w:val="0"/>
                <w:color w:val="000000"/>
                <w:sz w:val="20"/>
              </w:rPr>
              <w:t>RF-05, CU-08</w:t>
            </w:r>
          </w:p>
        </w:tc>
        <w:tc>
          <w:tcPr>
            <w:tcW w:type="dxa" w:w="3041"/>
          </w:tcPr>
          <w:p>
            <w:r/>
            <w:r>
              <w:rPr>
                <w:rFonts w:ascii="Times New Roman" w:hAnsi="Times New Roman" w:eastAsia="Times New Roman"/>
                <w:b w:val="0"/>
                <w:i w:val="0"/>
                <w:color w:val="000000"/>
                <w:sz w:val="20"/>
              </w:rPr>
              <w:t>SED: un snapshot por día, determinismo, sequía vs mejora de instalaciones</w:t>
            </w:r>
          </w:p>
        </w:tc>
        <w:tc>
          <w:tcPr>
            <w:tcW w:type="dxa" w:w="3041"/>
          </w:tcPr>
          <w:p>
            <w:r/>
            <w:r>
              <w:rPr>
                <w:rFonts w:ascii="Times New Roman" w:hAnsi="Times New Roman" w:eastAsia="Times New Roman"/>
                <w:b w:val="0"/>
                <w:i w:val="0"/>
                <w:color w:val="000000"/>
                <w:sz w:val="20"/>
              </w:rPr>
              <w:t>TC-SIM-01 a 03; EP-10</w:t>
            </w:r>
          </w:p>
        </w:tc>
      </w:tr>
      <w:tr>
        <w:tc>
          <w:tcPr>
            <w:tcW w:type="dxa" w:w="3041"/>
          </w:tcPr>
          <w:p>
            <w:r/>
            <w:r>
              <w:rPr>
                <w:rFonts w:ascii="Times New Roman" w:hAnsi="Times New Roman" w:eastAsia="Times New Roman"/>
                <w:b w:val="0"/>
                <w:i w:val="0"/>
                <w:color w:val="000000"/>
                <w:sz w:val="20"/>
              </w:rPr>
              <w:t>RF-06, CU-09</w:t>
            </w:r>
          </w:p>
        </w:tc>
        <w:tc>
          <w:tcPr>
            <w:tcW w:type="dxa" w:w="3041"/>
          </w:tcPr>
          <w:p>
            <w:r/>
            <w:r>
              <w:rPr>
                <w:rFonts w:ascii="Times New Roman" w:hAnsi="Times New Roman" w:eastAsia="Times New Roman"/>
                <w:b w:val="0"/>
                <w:i w:val="0"/>
                <w:color w:val="000000"/>
                <w:sz w:val="20"/>
              </w:rPr>
              <w:t>Foto opcional y reporte imprimible de predio</w:t>
            </w:r>
          </w:p>
        </w:tc>
        <w:tc>
          <w:tcPr>
            <w:tcW w:type="dxa" w:w="3041"/>
          </w:tcPr>
          <w:p>
            <w:r/>
            <w:r>
              <w:rPr>
                <w:rFonts w:ascii="Times New Roman" w:hAnsi="Times New Roman" w:eastAsia="Times New Roman"/>
                <w:b w:val="0"/>
                <w:i w:val="0"/>
                <w:color w:val="000000"/>
                <w:sz w:val="20"/>
              </w:rPr>
              <w:t>TC-NAV-04; EP-11</w:t>
            </w:r>
          </w:p>
        </w:tc>
      </w:tr>
      <w:tr>
        <w:tc>
          <w:tcPr>
            <w:tcW w:type="dxa" w:w="3041"/>
          </w:tcPr>
          <w:p>
            <w:r/>
            <w:r>
              <w:rPr>
                <w:rFonts w:ascii="Times New Roman" w:hAnsi="Times New Roman" w:eastAsia="Times New Roman"/>
                <w:b w:val="0"/>
                <w:i w:val="0"/>
                <w:color w:val="000000"/>
                <w:sz w:val="20"/>
              </w:rPr>
              <w:t>CU-10</w:t>
            </w:r>
          </w:p>
        </w:tc>
        <w:tc>
          <w:tcPr>
            <w:tcW w:type="dxa" w:w="3041"/>
          </w:tcPr>
          <w:p>
            <w:r/>
            <w:r>
              <w:rPr>
                <w:rFonts w:ascii="Times New Roman" w:hAnsi="Times New Roman" w:eastAsia="Times New Roman"/>
                <w:b w:val="0"/>
                <w:i w:val="0"/>
                <w:color w:val="000000"/>
                <w:sz w:val="20"/>
              </w:rPr>
              <w:t>Usuarios y roles; adminGuard</w:t>
            </w:r>
          </w:p>
        </w:tc>
        <w:tc>
          <w:tcPr>
            <w:tcW w:type="dxa" w:w="3041"/>
          </w:tcPr>
          <w:p>
            <w:r/>
            <w:r>
              <w:rPr>
                <w:rFonts w:ascii="Times New Roman" w:hAnsi="Times New Roman" w:eastAsia="Times New Roman"/>
                <w:b w:val="0"/>
                <w:i w:val="0"/>
                <w:color w:val="000000"/>
                <w:sz w:val="20"/>
              </w:rPr>
              <w:t>TC-NAV-05; EP-12, 13</w:t>
            </w:r>
          </w:p>
        </w:tc>
      </w:tr>
      <w:tr>
        <w:tc>
          <w:tcPr>
            <w:tcW w:type="dxa" w:w="3041"/>
          </w:tcPr>
          <w:p>
            <w:r/>
            <w:r>
              <w:rPr>
                <w:rFonts w:ascii="Times New Roman" w:hAnsi="Times New Roman" w:eastAsia="Times New Roman"/>
                <w:b w:val="0"/>
                <w:i w:val="0"/>
                <w:color w:val="000000"/>
                <w:sz w:val="20"/>
              </w:rPr>
              <w:t>RNF seguridad</w:t>
            </w:r>
          </w:p>
        </w:tc>
        <w:tc>
          <w:tcPr>
            <w:tcW w:type="dxa" w:w="3041"/>
          </w:tcPr>
          <w:p>
            <w:r/>
            <w:r>
              <w:rPr>
                <w:rFonts w:ascii="Times New Roman" w:hAnsi="Times New Roman" w:eastAsia="Times New Roman"/>
                <w:b w:val="0"/>
                <w:i w:val="0"/>
                <w:color w:val="000000"/>
                <w:sz w:val="20"/>
              </w:rPr>
              <w:t>HTTPS, RLS, ausencia de service_role, denegación anónima</w:t>
            </w:r>
          </w:p>
        </w:tc>
        <w:tc>
          <w:tcPr>
            <w:tcW w:type="dxa" w:w="3041"/>
          </w:tcPr>
          <w:p>
            <w:r/>
            <w:r>
              <w:rPr>
                <w:rFonts w:ascii="Times New Roman" w:hAnsi="Times New Roman" w:eastAsia="Times New Roman"/>
                <w:b w:val="0"/>
                <w:i w:val="0"/>
                <w:color w:val="000000"/>
                <w:sz w:val="20"/>
              </w:rPr>
              <w:t>TC-SEC-01 a 04; TC-API-04, 06</w:t>
            </w:r>
          </w:p>
        </w:tc>
      </w:tr>
      <w:tr>
        <w:tc>
          <w:tcPr>
            <w:tcW w:type="dxa" w:w="3041"/>
          </w:tcPr>
          <w:p>
            <w:r/>
            <w:r>
              <w:rPr>
                <w:rFonts w:ascii="Times New Roman" w:hAnsi="Times New Roman" w:eastAsia="Times New Roman"/>
                <w:b w:val="0"/>
                <w:i w:val="0"/>
                <w:color w:val="000000"/>
                <w:sz w:val="20"/>
              </w:rPr>
              <w:t>RNF aislamiento</w:t>
            </w:r>
          </w:p>
        </w:tc>
        <w:tc>
          <w:tcPr>
            <w:tcW w:type="dxa" w:w="3041"/>
          </w:tcPr>
          <w:p>
            <w:r/>
            <w:r>
              <w:rPr>
                <w:rFonts w:ascii="Times New Roman" w:hAnsi="Times New Roman" w:eastAsia="Times New Roman"/>
                <w:b w:val="0"/>
                <w:i w:val="0"/>
                <w:color w:val="000000"/>
                <w:sz w:val="20"/>
              </w:rPr>
              <w:t>El productor no ve predios ajenos</w:t>
            </w:r>
          </w:p>
        </w:tc>
        <w:tc>
          <w:tcPr>
            <w:tcW w:type="dxa" w:w="3041"/>
          </w:tcPr>
          <w:p>
            <w:r/>
            <w:r>
              <w:rPr>
                <w:rFonts w:ascii="Times New Roman" w:hAnsi="Times New Roman" w:eastAsia="Times New Roman"/>
                <w:b w:val="0"/>
                <w:i w:val="0"/>
                <w:color w:val="000000"/>
                <w:sz w:val="20"/>
              </w:rPr>
              <w:t>TC-ACL-01, 02</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a partir de los RF y CU del trabajo de grado.</w:t>
      </w:r>
    </w:p>
    <w:p>
      <w:pPr>
        <w:pStyle w:val="Heading2"/>
        <w:spacing w:before="320" w:after="160"/>
        <w:ind w:firstLine="0"/>
      </w:pPr>
      <w:r>
        <w:rPr>
          <w:rFonts w:ascii="Times New Roman" w:hAnsi="Times New Roman" w:eastAsia="Times New Roman"/>
          <w:b/>
          <w:color w:val="000000"/>
          <w:sz w:val="26"/>
        </w:rPr>
        <w:t>12.5 Pruebas unitarias</w:t>
      </w:r>
    </w:p>
    <w:p>
      <w:pPr>
        <w:spacing w:after="160" w:before="0" w:line="360" w:lineRule="auto"/>
        <w:ind w:firstLine="709"/>
        <w:jc w:val="both"/>
      </w:pPr>
      <w:r>
        <w:rPr>
          <w:rFonts w:ascii="Times New Roman" w:hAnsi="Times New Roman" w:eastAsia="Times New Roman"/>
          <w:b w:val="0"/>
          <w:i w:val="0"/>
          <w:color w:val="000000"/>
          <w:sz w:val="24"/>
        </w:rPr>
        <w:t>Las pruebas unitarias examinan funciones puras de src/app/core/welfare-scoring.ts y simulation.ts, que son el núcleo científico del prototipo. Se usaron dos oráculos: (a) node:test importa el TypeScript real, y (b) pytest replica las fórmulas en Python. La doble implementación reduce el riesgo de un test tautológico que solo confirma el mismo error (Myers et al., 2012).</w:t>
      </w:r>
    </w:p>
    <w:p>
      <w:pPr>
        <w:spacing w:after="160" w:before="0" w:line="360" w:lineRule="auto"/>
        <w:ind w:firstLine="709"/>
        <w:jc w:val="both"/>
      </w:pPr>
      <w:r>
        <w:rPr>
          <w:rFonts w:ascii="Times New Roman" w:hAnsi="Times New Roman" w:eastAsia="Times New Roman"/>
          <w:b w:val="0"/>
          <w:i w:val="0"/>
          <w:color w:val="000000"/>
          <w:sz w:val="24"/>
        </w:rPr>
        <w:t>El THI implementado es el índice de Thom (1959) adaptado a ganado, de uso extendido en zootecnia de precisión:</w:t>
      </w:r>
    </w:p>
    <w:p>
      <w:pPr>
        <w:spacing w:after="160" w:before="0" w:line="360" w:lineRule="auto"/>
        <w:ind w:firstLine="0"/>
        <w:jc w:val="center"/>
      </w:pPr>
      <w:r>
        <w:rPr>
          <w:rFonts w:ascii="Times New Roman" w:hAnsi="Times New Roman" w:eastAsia="Times New Roman"/>
          <w:b w:val="0"/>
          <w:i/>
          <w:color w:val="000000"/>
          <w:sz w:val="24"/>
        </w:rPr>
        <w:t>THI = (1,8·T + 32) − [(0,55 − 0,0055·HR) · (1,8·T − 26)]</w:t>
      </w:r>
    </w:p>
    <w:p>
      <w:pPr>
        <w:spacing w:after="160" w:before="0" w:line="360" w:lineRule="auto"/>
        <w:ind w:firstLine="709"/>
        <w:jc w:val="both"/>
      </w:pPr>
      <w:r>
        <w:rPr>
          <w:rFonts w:ascii="Times New Roman" w:hAnsi="Times New Roman" w:eastAsia="Times New Roman"/>
          <w:b w:val="0"/>
          <w:i w:val="0"/>
          <w:color w:val="000000"/>
          <w:sz w:val="24"/>
        </w:rPr>
        <w:t>donde T es la temperatura ambiente en grados Celsius y HR la humedad relativa en porcentaje. Para T = 30 °C y HR = 80 %, el valor es 82,92. Un smoke check previo esperaba 81,3; ese oráculo se corrigió para no dejar un falso positivo. El semáforo del IBA queda en cumple si el índice es ≥ 80, atención si es ≥ 60 y no cumple por debajo de 60. El estrés calórico del porcino entra en emergencia con THI ≥ 84; el de rumiantes, con THI ≥ 90. El espacio mínimo ICA modelado es 4,5 m² (bovino), 1,5 m² (caprino) y 0,85 m² (ceba porcina). La simulación emite un snapshot por día de horizonte, es determinista para la misma semilla y degrada peso e IBA bajo sequía o restricción de alimento frente a la mejora de instalaciones.</w:t>
      </w:r>
    </w:p>
    <w:p>
      <w:pPr>
        <w:spacing w:after="120" w:before="0" w:line="276" w:lineRule="auto"/>
        <w:ind w:firstLine="0"/>
        <w:jc w:val="left"/>
      </w:pPr>
      <w:r>
        <w:rPr>
          <w:rFonts w:ascii="Times New Roman" w:hAnsi="Times New Roman" w:eastAsia="Times New Roman"/>
          <w:b/>
          <w:i w:val="0"/>
          <w:color w:val="000000"/>
          <w:sz w:val="22"/>
        </w:rPr>
        <w:t xml:space="preserve">Tabla 4. </w:t>
      </w:r>
      <w:r>
        <w:rPr>
          <w:rFonts w:ascii="Times New Roman" w:hAnsi="Times New Roman" w:eastAsia="Times New Roman"/>
          <w:b w:val="0"/>
          <w:i w:val="0"/>
          <w:color w:val="000000"/>
          <w:sz w:val="22"/>
        </w:rPr>
        <w:t>Resultados de las pruebas unitarias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
              <w:rPr>
                <w:rFonts w:ascii="Times New Roman" w:hAnsi="Times New Roman" w:eastAsia="Times New Roman"/>
                <w:b/>
                <w:i w:val="0"/>
                <w:color w:val="000000"/>
                <w:sz w:val="20"/>
              </w:rPr>
              <w:t>Suite</w:t>
            </w:r>
          </w:p>
        </w:tc>
        <w:tc>
          <w:tcPr>
            <w:tcW w:type="dxa" w:w="2280"/>
          </w:tcPr>
          <w:p>
            <w:r/>
            <w:r>
              <w:rPr>
                <w:rFonts w:ascii="Times New Roman" w:hAnsi="Times New Roman" w:eastAsia="Times New Roman"/>
                <w:b/>
                <w:i w:val="0"/>
                <w:color w:val="000000"/>
                <w:sz w:val="20"/>
              </w:rPr>
              <w:t>Casos</w:t>
            </w:r>
          </w:p>
        </w:tc>
        <w:tc>
          <w:tcPr>
            <w:tcW w:type="dxa" w:w="2280"/>
          </w:tcPr>
          <w:p>
            <w:r/>
            <w:r>
              <w:rPr>
                <w:rFonts w:ascii="Times New Roman" w:hAnsi="Times New Roman" w:eastAsia="Times New Roman"/>
                <w:b/>
                <w:i w:val="0"/>
                <w:color w:val="000000"/>
                <w:sz w:val="20"/>
              </w:rPr>
              <w:t>Resultado</w:t>
            </w:r>
          </w:p>
        </w:tc>
        <w:tc>
          <w:tcPr>
            <w:tcW w:type="dxa" w:w="2280"/>
          </w:tcPr>
          <w:p>
            <w:r/>
            <w:r>
              <w:rPr>
                <w:rFonts w:ascii="Times New Roman" w:hAnsi="Times New Roman" w:eastAsia="Times New Roman"/>
                <w:b/>
                <w:i w:val="0"/>
                <w:color w:val="000000"/>
                <w:sz w:val="20"/>
              </w:rPr>
              <w:t>Tiempo</w:t>
            </w:r>
          </w:p>
        </w:tc>
      </w:tr>
      <w:tr>
        <w:tc>
          <w:tcPr>
            <w:tcW w:type="dxa" w:w="2280"/>
          </w:tcPr>
          <w:p>
            <w:r/>
            <w:r>
              <w:rPr>
                <w:rFonts w:ascii="Times New Roman" w:hAnsi="Times New Roman" w:eastAsia="Times New Roman"/>
                <w:b w:val="0"/>
                <w:i w:val="0"/>
                <w:color w:val="000000"/>
                <w:sz w:val="20"/>
              </w:rPr>
              <w:t>node:test (código TypeScript)</w:t>
            </w:r>
          </w:p>
        </w:tc>
        <w:tc>
          <w:tcPr>
            <w:tcW w:type="dxa" w:w="2280"/>
          </w:tcPr>
          <w:p>
            <w:r/>
            <w:r>
              <w:rPr>
                <w:rFonts w:ascii="Times New Roman" w:hAnsi="Times New Roman" w:eastAsia="Times New Roman"/>
                <w:b w:val="0"/>
                <w:i w:val="0"/>
                <w:color w:val="000000"/>
                <w:sz w:val="20"/>
              </w:rPr>
              <w:t>11</w:t>
            </w:r>
          </w:p>
        </w:tc>
        <w:tc>
          <w:tcPr>
            <w:tcW w:type="dxa" w:w="2280"/>
          </w:tcPr>
          <w:p>
            <w:r/>
            <w:r>
              <w:rPr>
                <w:rFonts w:ascii="Times New Roman" w:hAnsi="Times New Roman" w:eastAsia="Times New Roman"/>
                <w:b w:val="0"/>
                <w:i w:val="0"/>
                <w:color w:val="000000"/>
                <w:sz w:val="20"/>
              </w:rPr>
              <w:t>Satisfactorio</w:t>
            </w:r>
          </w:p>
        </w:tc>
        <w:tc>
          <w:tcPr>
            <w:tcW w:type="dxa" w:w="2280"/>
          </w:tcPr>
          <w:p>
            <w:r/>
            <w:r>
              <w:rPr>
                <w:rFonts w:ascii="Times New Roman" w:hAnsi="Times New Roman" w:eastAsia="Times New Roman"/>
                <w:b w:val="0"/>
                <w:i w:val="0"/>
                <w:color w:val="000000"/>
                <w:sz w:val="20"/>
              </w:rPr>
              <w:t>0,17 s</w:t>
            </w:r>
          </w:p>
        </w:tc>
      </w:tr>
      <w:tr>
        <w:tc>
          <w:tcPr>
            <w:tcW w:type="dxa" w:w="2280"/>
          </w:tcPr>
          <w:p>
            <w:r/>
            <w:r>
              <w:rPr>
                <w:rFonts w:ascii="Times New Roman" w:hAnsi="Times New Roman" w:eastAsia="Times New Roman"/>
                <w:b w:val="0"/>
                <w:i w:val="0"/>
                <w:color w:val="000000"/>
                <w:sz w:val="20"/>
              </w:rPr>
              <w:t>pytest (oráculo IBA y visibilidad)</w:t>
            </w:r>
          </w:p>
        </w:tc>
        <w:tc>
          <w:tcPr>
            <w:tcW w:type="dxa" w:w="2280"/>
          </w:tcPr>
          <w:p>
            <w:r/>
            <w:r>
              <w:rPr>
                <w:rFonts w:ascii="Times New Roman" w:hAnsi="Times New Roman" w:eastAsia="Times New Roman"/>
                <w:b w:val="0"/>
                <w:i w:val="0"/>
                <w:color w:val="000000"/>
                <w:sz w:val="20"/>
              </w:rPr>
              <w:t>20</w:t>
            </w:r>
          </w:p>
        </w:tc>
        <w:tc>
          <w:tcPr>
            <w:tcW w:type="dxa" w:w="2280"/>
          </w:tcPr>
          <w:p>
            <w:r/>
            <w:r>
              <w:rPr>
                <w:rFonts w:ascii="Times New Roman" w:hAnsi="Times New Roman" w:eastAsia="Times New Roman"/>
                <w:b w:val="0"/>
                <w:i w:val="0"/>
                <w:color w:val="000000"/>
                <w:sz w:val="20"/>
              </w:rPr>
              <w:t>Satisfactorio</w:t>
            </w:r>
          </w:p>
        </w:tc>
        <w:tc>
          <w:tcPr>
            <w:tcW w:type="dxa" w:w="2280"/>
          </w:tcPr>
          <w:p>
            <w:r/>
            <w:r>
              <w:rPr>
                <w:rFonts w:ascii="Times New Roman" w:hAnsi="Times New Roman" w:eastAsia="Times New Roman"/>
                <w:b w:val="0"/>
                <w:i w:val="0"/>
                <w:color w:val="000000"/>
                <w:sz w:val="20"/>
              </w:rPr>
              <w:t>&lt; 1 s</w:t>
            </w:r>
          </w:p>
        </w:tc>
      </w:tr>
      <w:tr>
        <w:tc>
          <w:tcPr>
            <w:tcW w:type="dxa" w:w="2280"/>
          </w:tcPr>
          <w:p>
            <w:r/>
            <w:r>
              <w:rPr>
                <w:rFonts w:ascii="Times New Roman" w:hAnsi="Times New Roman" w:eastAsia="Times New Roman"/>
                <w:b w:val="0"/>
                <w:i w:val="0"/>
                <w:color w:val="000000"/>
                <w:sz w:val="20"/>
              </w:rPr>
              <w:t>scoring.check.ts</w:t>
            </w:r>
          </w:p>
        </w:tc>
        <w:tc>
          <w:tcPr>
            <w:tcW w:type="dxa" w:w="2280"/>
          </w:tcPr>
          <w:p>
            <w:r/>
            <w:r>
              <w:rPr>
                <w:rFonts w:ascii="Times New Roman" w:hAnsi="Times New Roman" w:eastAsia="Times New Roman"/>
                <w:b w:val="0"/>
                <w:i w:val="0"/>
                <w:color w:val="000000"/>
                <w:sz w:val="20"/>
              </w:rPr>
              <w:t>4 aserciones</w:t>
            </w:r>
          </w:p>
        </w:tc>
        <w:tc>
          <w:tcPr>
            <w:tcW w:type="dxa" w:w="2280"/>
          </w:tcPr>
          <w:p>
            <w:r/>
            <w:r>
              <w:rPr>
                <w:rFonts w:ascii="Times New Roman" w:hAnsi="Times New Roman" w:eastAsia="Times New Roman"/>
                <w:b w:val="0"/>
                <w:i w:val="0"/>
                <w:color w:val="000000"/>
                <w:sz w:val="20"/>
              </w:rPr>
              <w:t>Satisfactorio</w:t>
            </w:r>
          </w:p>
        </w:tc>
        <w:tc>
          <w:tcPr>
            <w:tcW w:type="dxa" w:w="2280"/>
          </w:tcPr>
          <w:p>
            <w:r/>
            <w:r>
              <w:rPr>
                <w:rFonts w:ascii="Times New Roman" w:hAnsi="Times New Roman" w:eastAsia="Times New Roman"/>
                <w:b w:val="0"/>
                <w:i w:val="0"/>
                <w:color w:val="000000"/>
                <w:sz w:val="20"/>
              </w:rPr>
              <w:t>&lt; 1 s</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pPr>
        <w:pStyle w:val="Heading2"/>
        <w:spacing w:before="320" w:after="160"/>
        <w:ind w:firstLine="0"/>
      </w:pPr>
      <w:r>
        <w:rPr>
          <w:rFonts w:ascii="Times New Roman" w:hAnsi="Times New Roman" w:eastAsia="Times New Roman"/>
          <w:b/>
          <w:color w:val="000000"/>
          <w:sz w:val="26"/>
        </w:rPr>
        <w:t>12.6 Pruebas de aceptación</w:t>
      </w:r>
    </w:p>
    <w:p>
      <w:pPr>
        <w:spacing w:after="160" w:before="0" w:line="360" w:lineRule="auto"/>
        <w:ind w:firstLine="709"/>
        <w:jc w:val="both"/>
      </w:pPr>
      <w:r>
        <w:rPr>
          <w:rFonts w:ascii="Times New Roman" w:hAnsi="Times New Roman" w:eastAsia="Times New Roman"/>
          <w:b w:val="0"/>
          <w:i w:val="0"/>
          <w:color w:val="000000"/>
          <w:sz w:val="24"/>
        </w:rPr>
        <w:t>Las pruebas de aceptación se escribieron en Gherkin (lenguaje natural orientado al negocio), según la práctica de desarrollo guiado por comportamiento (North, 2006; ISTQB, 2023). Los escenarios cubren: (a) animal saludable con IBA ≥ 80 y nivel COMPLIANT; (b) THI porcino 85 clasificado como EMERGENCY; (c) existencia de las features como especificación viva. Los tres escenarios pasaron. Complementan, no sustituyen, la tabla EP del prototipo desplegado.</w:t>
      </w:r>
    </w:p>
    <w:p>
      <w:pPr>
        <w:pStyle w:val="Heading2"/>
        <w:spacing w:before="320" w:after="160"/>
        <w:ind w:firstLine="0"/>
      </w:pPr>
      <w:r>
        <w:rPr>
          <w:rFonts w:ascii="Times New Roman" w:hAnsi="Times New Roman" w:eastAsia="Times New Roman"/>
          <w:b/>
          <w:color w:val="000000"/>
          <w:sz w:val="26"/>
        </w:rPr>
        <w:t>12.7 Pruebas funcionales y de extremo a extremo</w:t>
      </w:r>
    </w:p>
    <w:p>
      <w:pPr>
        <w:spacing w:after="160" w:before="0" w:line="360" w:lineRule="auto"/>
        <w:ind w:firstLine="709"/>
        <w:jc w:val="both"/>
      </w:pPr>
      <w:r>
        <w:rPr>
          <w:rFonts w:ascii="Times New Roman" w:hAnsi="Times New Roman" w:eastAsia="Times New Roman"/>
          <w:b w:val="0"/>
          <w:i w:val="0"/>
          <w:color w:val="000000"/>
          <w:sz w:val="24"/>
        </w:rPr>
        <w:t>Playwright automatizó 17 casos contra Vercel con un único trabajador, para no invalidar la sesión JWT al cerrar sesión en paralelo. Los 14 escenarios EP del trabajo de grado, más detalle animal, evaluación ICA, detalle de simulación y viewport móvil, fueron satisfactorios en ≈ 19 s sobre https://animal-welfare-platform-vepq.vercel.app. El cierre de sesión (EP-14) permaneció en /#/login.</w:t>
      </w:r>
    </w:p>
    <w:p>
      <w:pPr>
        <w:spacing w:after="120" w:before="0" w:line="276" w:lineRule="auto"/>
        <w:ind w:firstLine="0"/>
        <w:jc w:val="left"/>
      </w:pPr>
      <w:r>
        <w:rPr>
          <w:rFonts w:ascii="Times New Roman" w:hAnsi="Times New Roman" w:eastAsia="Times New Roman"/>
          <w:b/>
          <w:i w:val="0"/>
          <w:color w:val="000000"/>
          <w:sz w:val="22"/>
        </w:rPr>
        <w:t xml:space="preserve">Tabla 5. </w:t>
      </w:r>
      <w:r>
        <w:rPr>
          <w:rFonts w:ascii="Times New Roman" w:hAnsi="Times New Roman" w:eastAsia="Times New Roman"/>
          <w:b w:val="0"/>
          <w:i w:val="0"/>
          <w:color w:val="000000"/>
          <w:sz w:val="22"/>
        </w:rPr>
        <w:t>Escenarios de prueba de aceptación del prototipo, actualizados con la campaña empírica</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
              <w:rPr>
                <w:rFonts w:ascii="Times New Roman" w:hAnsi="Times New Roman" w:eastAsia="Times New Roman"/>
                <w:b/>
                <w:i w:val="0"/>
                <w:color w:val="000000"/>
                <w:sz w:val="20"/>
              </w:rPr>
              <w:t>ID</w:t>
            </w:r>
          </w:p>
        </w:tc>
        <w:tc>
          <w:tcPr>
            <w:tcW w:type="dxa" w:w="2280"/>
          </w:tcPr>
          <w:p>
            <w:r/>
            <w:r>
              <w:rPr>
                <w:rFonts w:ascii="Times New Roman" w:hAnsi="Times New Roman" w:eastAsia="Times New Roman"/>
                <w:b/>
                <w:i w:val="0"/>
                <w:color w:val="000000"/>
                <w:sz w:val="20"/>
              </w:rPr>
              <w:t>Escenario</w:t>
            </w:r>
          </w:p>
        </w:tc>
        <w:tc>
          <w:tcPr>
            <w:tcW w:type="dxa" w:w="2280"/>
          </w:tcPr>
          <w:p>
            <w:r/>
            <w:r>
              <w:rPr>
                <w:rFonts w:ascii="Times New Roman" w:hAnsi="Times New Roman" w:eastAsia="Times New Roman"/>
                <w:b/>
                <w:i w:val="0"/>
                <w:color w:val="000000"/>
                <w:sz w:val="20"/>
              </w:rPr>
              <w:t>Resultado esperado</w:t>
            </w:r>
          </w:p>
        </w:tc>
        <w:tc>
          <w:tcPr>
            <w:tcW w:type="dxa" w:w="2280"/>
          </w:tcPr>
          <w:p>
            <w:r/>
            <w:r>
              <w:rPr>
                <w:rFonts w:ascii="Times New Roman" w:hAnsi="Times New Roman" w:eastAsia="Times New Roman"/>
                <w:b/>
                <w:i w:val="0"/>
                <w:color w:val="000000"/>
                <w:sz w:val="20"/>
              </w:rPr>
              <w:t>Resultado</w:t>
            </w:r>
          </w:p>
        </w:tc>
      </w:tr>
      <w:tr>
        <w:tc>
          <w:tcPr>
            <w:tcW w:type="dxa" w:w="2280"/>
          </w:tcPr>
          <w:p>
            <w:r/>
            <w:r>
              <w:rPr>
                <w:rFonts w:ascii="Times New Roman" w:hAnsi="Times New Roman" w:eastAsia="Times New Roman"/>
                <w:b w:val="0"/>
                <w:i w:val="0"/>
                <w:color w:val="000000"/>
                <w:sz w:val="20"/>
              </w:rPr>
              <w:t>EP-01</w:t>
            </w:r>
          </w:p>
        </w:tc>
        <w:tc>
          <w:tcPr>
            <w:tcW w:type="dxa" w:w="2280"/>
          </w:tcPr>
          <w:p>
            <w:r/>
            <w:r>
              <w:rPr>
                <w:rFonts w:ascii="Times New Roman" w:hAnsi="Times New Roman" w:eastAsia="Times New Roman"/>
                <w:b w:val="0"/>
                <w:i w:val="0"/>
                <w:color w:val="000000"/>
                <w:sz w:val="20"/>
              </w:rPr>
              <w:t>Login administrador</w:t>
            </w:r>
          </w:p>
        </w:tc>
        <w:tc>
          <w:tcPr>
            <w:tcW w:type="dxa" w:w="2280"/>
          </w:tcPr>
          <w:p>
            <w:r/>
            <w:r>
              <w:rPr>
                <w:rFonts w:ascii="Times New Roman" w:hAnsi="Times New Roman" w:eastAsia="Times New Roman"/>
                <w:b w:val="0"/>
                <w:i w:val="0"/>
                <w:color w:val="000000"/>
                <w:sz w:val="20"/>
              </w:rPr>
              <w:t>Tablero ICA y menú inferior</w:t>
            </w:r>
          </w:p>
        </w:tc>
        <w:tc>
          <w:tcPr>
            <w:tcW w:type="dxa" w:w="2280"/>
          </w:tcPr>
          <w:p>
            <w:r/>
            <w:r>
              <w:rPr>
                <w:rFonts w:ascii="Times New Roman" w:hAnsi="Times New Roman" w:eastAsia="Times New Roman"/>
                <w:b w:val="0"/>
                <w:i w:val="0"/>
                <w:color w:val="000000"/>
                <w:sz w:val="20"/>
              </w:rPr>
              <w:t>Satisfactorio</w:t>
            </w:r>
          </w:p>
        </w:tc>
      </w:tr>
      <w:tr>
        <w:tc>
          <w:tcPr>
            <w:tcW w:type="dxa" w:w="2280"/>
          </w:tcPr>
          <w:p>
            <w:r/>
            <w:r>
              <w:rPr>
                <w:rFonts w:ascii="Times New Roman" w:hAnsi="Times New Roman" w:eastAsia="Times New Roman"/>
                <w:b w:val="0"/>
                <w:i w:val="0"/>
                <w:color w:val="000000"/>
                <w:sz w:val="20"/>
              </w:rPr>
              <w:t>EP-02</w:t>
            </w:r>
          </w:p>
        </w:tc>
        <w:tc>
          <w:tcPr>
            <w:tcW w:type="dxa" w:w="2280"/>
          </w:tcPr>
          <w:p>
            <w:r/>
            <w:r>
              <w:rPr>
                <w:rFonts w:ascii="Times New Roman" w:hAnsi="Times New Roman" w:eastAsia="Times New Roman"/>
                <w:b w:val="0"/>
                <w:i w:val="0"/>
                <w:color w:val="000000"/>
                <w:sz w:val="20"/>
              </w:rPr>
              <w:t>Login inválido</w:t>
            </w:r>
          </w:p>
        </w:tc>
        <w:tc>
          <w:tcPr>
            <w:tcW w:type="dxa" w:w="2280"/>
          </w:tcPr>
          <w:p>
            <w:r/>
            <w:r>
              <w:rPr>
                <w:rFonts w:ascii="Times New Roman" w:hAnsi="Times New Roman" w:eastAsia="Times New Roman"/>
                <w:b w:val="0"/>
                <w:i w:val="0"/>
                <w:color w:val="000000"/>
                <w:sz w:val="20"/>
              </w:rPr>
              <w:t>Mensaje en español y permanencia en /login</w:t>
            </w:r>
          </w:p>
        </w:tc>
        <w:tc>
          <w:tcPr>
            <w:tcW w:type="dxa" w:w="2280"/>
          </w:tcPr>
          <w:p>
            <w:r/>
            <w:r>
              <w:rPr>
                <w:rFonts w:ascii="Times New Roman" w:hAnsi="Times New Roman" w:eastAsia="Times New Roman"/>
                <w:b w:val="0"/>
                <w:i w:val="0"/>
                <w:color w:val="000000"/>
                <w:sz w:val="20"/>
              </w:rPr>
              <w:t>Satisfactorio</w:t>
            </w:r>
          </w:p>
        </w:tc>
      </w:tr>
      <w:tr>
        <w:tc>
          <w:tcPr>
            <w:tcW w:type="dxa" w:w="2280"/>
          </w:tcPr>
          <w:p>
            <w:r/>
            <w:r>
              <w:rPr>
                <w:rFonts w:ascii="Times New Roman" w:hAnsi="Times New Roman" w:eastAsia="Times New Roman"/>
                <w:b w:val="0"/>
                <w:i w:val="0"/>
                <w:color w:val="000000"/>
                <w:sz w:val="20"/>
              </w:rPr>
              <w:t>EP-03</w:t>
            </w:r>
          </w:p>
        </w:tc>
        <w:tc>
          <w:tcPr>
            <w:tcW w:type="dxa" w:w="2280"/>
          </w:tcPr>
          <w:p>
            <w:r/>
            <w:r>
              <w:rPr>
                <w:rFonts w:ascii="Times New Roman" w:hAnsi="Times New Roman" w:eastAsia="Times New Roman"/>
                <w:b w:val="0"/>
                <w:i w:val="0"/>
                <w:color w:val="000000"/>
                <w:sz w:val="20"/>
              </w:rPr>
              <w:t>Registro sin rol administrador</w:t>
            </w:r>
          </w:p>
        </w:tc>
        <w:tc>
          <w:tcPr>
            <w:tcW w:type="dxa" w:w="2280"/>
          </w:tcPr>
          <w:p>
            <w:r/>
            <w:r>
              <w:rPr>
                <w:rFonts w:ascii="Times New Roman" w:hAnsi="Times New Roman" w:eastAsia="Times New Roman"/>
                <w:b w:val="0"/>
                <w:i w:val="0"/>
                <w:color w:val="000000"/>
                <w:sz w:val="20"/>
              </w:rPr>
              <w:t>Solo Productor y Veterinario</w:t>
            </w:r>
          </w:p>
        </w:tc>
        <w:tc>
          <w:tcPr>
            <w:tcW w:type="dxa" w:w="2280"/>
          </w:tcPr>
          <w:p>
            <w:r/>
            <w:r>
              <w:rPr>
                <w:rFonts w:ascii="Times New Roman" w:hAnsi="Times New Roman" w:eastAsia="Times New Roman"/>
                <w:b w:val="0"/>
                <w:i w:val="0"/>
                <w:color w:val="000000"/>
                <w:sz w:val="20"/>
              </w:rPr>
              <w:t>Satisfactorio</w:t>
            </w:r>
          </w:p>
        </w:tc>
      </w:tr>
      <w:tr>
        <w:tc>
          <w:tcPr>
            <w:tcW w:type="dxa" w:w="2280"/>
          </w:tcPr>
          <w:p>
            <w:r/>
            <w:r>
              <w:rPr>
                <w:rFonts w:ascii="Times New Roman" w:hAnsi="Times New Roman" w:eastAsia="Times New Roman"/>
                <w:b w:val="0"/>
                <w:i w:val="0"/>
                <w:color w:val="000000"/>
                <w:sz w:val="20"/>
              </w:rPr>
              <w:t>EP-04</w:t>
            </w:r>
          </w:p>
        </w:tc>
        <w:tc>
          <w:tcPr>
            <w:tcW w:type="dxa" w:w="2280"/>
          </w:tcPr>
          <w:p>
            <w:r/>
            <w:r>
              <w:rPr>
                <w:rFonts w:ascii="Times New Roman" w:hAnsi="Times New Roman" w:eastAsia="Times New Roman"/>
                <w:b w:val="0"/>
                <w:i w:val="0"/>
                <w:color w:val="000000"/>
                <w:sz w:val="20"/>
              </w:rPr>
              <w:t>Tablero y alertas</w:t>
            </w:r>
          </w:p>
        </w:tc>
        <w:tc>
          <w:tcPr>
            <w:tcW w:type="dxa" w:w="2280"/>
          </w:tcPr>
          <w:p>
            <w:r/>
            <w:r>
              <w:rPr>
                <w:rFonts w:ascii="Times New Roman" w:hAnsi="Times New Roman" w:eastAsia="Times New Roman"/>
                <w:b w:val="0"/>
                <w:i w:val="0"/>
                <w:color w:val="000000"/>
                <w:sz w:val="20"/>
              </w:rPr>
              <w:t>IBA, cola de riesgo, fechas d MMM, y</w:t>
            </w:r>
          </w:p>
        </w:tc>
        <w:tc>
          <w:tcPr>
            <w:tcW w:type="dxa" w:w="2280"/>
          </w:tcPr>
          <w:p>
            <w:r/>
            <w:r>
              <w:rPr>
                <w:rFonts w:ascii="Times New Roman" w:hAnsi="Times New Roman" w:eastAsia="Times New Roman"/>
                <w:b w:val="0"/>
                <w:i w:val="0"/>
                <w:color w:val="000000"/>
                <w:sz w:val="20"/>
              </w:rPr>
              <w:t>Satisfactorio (IBA medio 81,4)</w:t>
            </w:r>
          </w:p>
        </w:tc>
      </w:tr>
      <w:tr>
        <w:tc>
          <w:tcPr>
            <w:tcW w:type="dxa" w:w="2280"/>
          </w:tcPr>
          <w:p>
            <w:r/>
            <w:r>
              <w:rPr>
                <w:rFonts w:ascii="Times New Roman" w:hAnsi="Times New Roman" w:eastAsia="Times New Roman"/>
                <w:b w:val="0"/>
                <w:i w:val="0"/>
                <w:color w:val="000000"/>
                <w:sz w:val="20"/>
              </w:rPr>
              <w:t>EP-05</w:t>
            </w:r>
          </w:p>
        </w:tc>
        <w:tc>
          <w:tcPr>
            <w:tcW w:type="dxa" w:w="2280"/>
          </w:tcPr>
          <w:p>
            <w:r/>
            <w:r>
              <w:rPr>
                <w:rFonts w:ascii="Times New Roman" w:hAnsi="Times New Roman" w:eastAsia="Times New Roman"/>
                <w:b w:val="0"/>
                <w:i w:val="0"/>
                <w:color w:val="000000"/>
                <w:sz w:val="20"/>
              </w:rPr>
              <w:t>Listar predios</w:t>
            </w:r>
          </w:p>
        </w:tc>
        <w:tc>
          <w:tcPr>
            <w:tcW w:type="dxa" w:w="2280"/>
          </w:tcPr>
          <w:p>
            <w:r/>
            <w:r>
              <w:rPr>
                <w:rFonts w:ascii="Times New Roman" w:hAnsi="Times New Roman" w:eastAsia="Times New Roman"/>
                <w:b w:val="0"/>
                <w:i w:val="0"/>
                <w:color w:val="000000"/>
                <w:sz w:val="20"/>
              </w:rPr>
              <w:t>El Recuerdo, La Esperanza y predios del dueño</w:t>
            </w:r>
          </w:p>
        </w:tc>
        <w:tc>
          <w:tcPr>
            <w:tcW w:type="dxa" w:w="2280"/>
          </w:tcPr>
          <w:p>
            <w:r/>
            <w:r>
              <w:rPr>
                <w:rFonts w:ascii="Times New Roman" w:hAnsi="Times New Roman" w:eastAsia="Times New Roman"/>
                <w:b w:val="0"/>
                <w:i w:val="0"/>
                <w:color w:val="000000"/>
                <w:sz w:val="20"/>
              </w:rPr>
              <w:t>Satisfactorio (3 predios)</w:t>
            </w:r>
          </w:p>
        </w:tc>
      </w:tr>
      <w:tr>
        <w:tc>
          <w:tcPr>
            <w:tcW w:type="dxa" w:w="2280"/>
          </w:tcPr>
          <w:p>
            <w:r/>
            <w:r>
              <w:rPr>
                <w:rFonts w:ascii="Times New Roman" w:hAnsi="Times New Roman" w:eastAsia="Times New Roman"/>
                <w:b w:val="0"/>
                <w:i w:val="0"/>
                <w:color w:val="000000"/>
                <w:sz w:val="20"/>
              </w:rPr>
              <w:t>EP-06</w:t>
            </w:r>
          </w:p>
        </w:tc>
        <w:tc>
          <w:tcPr>
            <w:tcW w:type="dxa" w:w="2280"/>
          </w:tcPr>
          <w:p>
            <w:r/>
            <w:r>
              <w:rPr>
                <w:rFonts w:ascii="Times New Roman" w:hAnsi="Times New Roman" w:eastAsia="Times New Roman"/>
                <w:b w:val="0"/>
                <w:i w:val="0"/>
                <w:color w:val="000000"/>
                <w:sz w:val="20"/>
              </w:rPr>
              <w:t>Formulario de predio</w:t>
            </w:r>
          </w:p>
        </w:tc>
        <w:tc>
          <w:tcPr>
            <w:tcW w:type="dxa" w:w="2280"/>
          </w:tcPr>
          <w:p>
            <w:r/>
            <w:r>
              <w:rPr>
                <w:rFonts w:ascii="Times New Roman" w:hAnsi="Times New Roman" w:eastAsia="Times New Roman"/>
                <w:b w:val="0"/>
                <w:i w:val="0"/>
                <w:color w:val="000000"/>
                <w:sz w:val="20"/>
              </w:rPr>
              <w:t>Título Nuevo predio; RUV, GPS, agua</w:t>
            </w:r>
          </w:p>
        </w:tc>
        <w:tc>
          <w:tcPr>
            <w:tcW w:type="dxa" w:w="2280"/>
          </w:tcPr>
          <w:p>
            <w:r/>
            <w:r>
              <w:rPr>
                <w:rFonts w:ascii="Times New Roman" w:hAnsi="Times New Roman" w:eastAsia="Times New Roman"/>
                <w:b w:val="0"/>
                <w:i w:val="0"/>
                <w:color w:val="000000"/>
                <w:sz w:val="20"/>
              </w:rPr>
              <w:t>Satisfactorio (sin guardar)</w:t>
            </w:r>
          </w:p>
        </w:tc>
      </w:tr>
      <w:tr>
        <w:tc>
          <w:tcPr>
            <w:tcW w:type="dxa" w:w="2280"/>
          </w:tcPr>
          <w:p>
            <w:r/>
            <w:r>
              <w:rPr>
                <w:rFonts w:ascii="Times New Roman" w:hAnsi="Times New Roman" w:eastAsia="Times New Roman"/>
                <w:b w:val="0"/>
                <w:i w:val="0"/>
                <w:color w:val="000000"/>
                <w:sz w:val="20"/>
              </w:rPr>
              <w:t>EP-07</w:t>
            </w:r>
          </w:p>
        </w:tc>
        <w:tc>
          <w:tcPr>
            <w:tcW w:type="dxa" w:w="2280"/>
          </w:tcPr>
          <w:p>
            <w:r/>
            <w:r>
              <w:rPr>
                <w:rFonts w:ascii="Times New Roman" w:hAnsi="Times New Roman" w:eastAsia="Times New Roman"/>
                <w:b w:val="0"/>
                <w:i w:val="0"/>
                <w:color w:val="000000"/>
                <w:sz w:val="20"/>
              </w:rPr>
              <w:t>Inventario animal</w:t>
            </w:r>
          </w:p>
        </w:tc>
        <w:tc>
          <w:tcPr>
            <w:tcW w:type="dxa" w:w="2280"/>
          </w:tcPr>
          <w:p>
            <w:r/>
            <w:r>
              <w:rPr>
                <w:rFonts w:ascii="Times New Roman" w:hAnsi="Times New Roman" w:eastAsia="Times New Roman"/>
                <w:b w:val="0"/>
                <w:i w:val="0"/>
                <w:color w:val="000000"/>
                <w:sz w:val="20"/>
              </w:rPr>
              <w:t>Listado con chapa, especie e IBA</w:t>
            </w:r>
          </w:p>
        </w:tc>
        <w:tc>
          <w:tcPr>
            <w:tcW w:type="dxa" w:w="2280"/>
          </w:tcPr>
          <w:p>
            <w:r/>
            <w:r>
              <w:rPr>
                <w:rFonts w:ascii="Times New Roman" w:hAnsi="Times New Roman" w:eastAsia="Times New Roman"/>
                <w:b w:val="0"/>
                <w:i w:val="0"/>
                <w:color w:val="000000"/>
                <w:sz w:val="20"/>
              </w:rPr>
              <w:t>Satisfactorio (6 ejemplares)</w:t>
            </w:r>
          </w:p>
        </w:tc>
      </w:tr>
      <w:tr>
        <w:tc>
          <w:tcPr>
            <w:tcW w:type="dxa" w:w="2280"/>
          </w:tcPr>
          <w:p>
            <w:r/>
            <w:r>
              <w:rPr>
                <w:rFonts w:ascii="Times New Roman" w:hAnsi="Times New Roman" w:eastAsia="Times New Roman"/>
                <w:b w:val="0"/>
                <w:i w:val="0"/>
                <w:color w:val="000000"/>
                <w:sz w:val="20"/>
              </w:rPr>
              <w:t>EP-08</w:t>
            </w:r>
          </w:p>
        </w:tc>
        <w:tc>
          <w:tcPr>
            <w:tcW w:type="dxa" w:w="2280"/>
          </w:tcPr>
          <w:p>
            <w:r/>
            <w:r>
              <w:rPr>
                <w:rFonts w:ascii="Times New Roman" w:hAnsi="Times New Roman" w:eastAsia="Times New Roman"/>
                <w:b w:val="0"/>
                <w:i w:val="0"/>
                <w:color w:val="000000"/>
                <w:sz w:val="20"/>
              </w:rPr>
              <w:t>Detalle e IBA</w:t>
            </w:r>
          </w:p>
        </w:tc>
        <w:tc>
          <w:tcPr>
            <w:tcW w:type="dxa" w:w="2280"/>
          </w:tcPr>
          <w:p>
            <w:r/>
            <w:r>
              <w:rPr>
                <w:rFonts w:ascii="Times New Roman" w:hAnsi="Times New Roman" w:eastAsia="Times New Roman"/>
                <w:b w:val="0"/>
                <w:i w:val="0"/>
                <w:color w:val="000000"/>
                <w:sz w:val="20"/>
              </w:rPr>
              <w:t>Anillo, dominios e historial</w:t>
            </w:r>
          </w:p>
        </w:tc>
        <w:tc>
          <w:tcPr>
            <w:tcW w:type="dxa" w:w="2280"/>
          </w:tcPr>
          <w:p>
            <w:r/>
            <w:r>
              <w:rPr>
                <w:rFonts w:ascii="Times New Roman" w:hAnsi="Times New Roman" w:eastAsia="Times New Roman"/>
                <w:b w:val="0"/>
                <w:i w:val="0"/>
                <w:color w:val="000000"/>
                <w:sz w:val="20"/>
              </w:rPr>
              <w:t>Satisfactorio (VACA-087, IBA 45,5)</w:t>
            </w:r>
          </w:p>
        </w:tc>
      </w:tr>
      <w:tr>
        <w:tc>
          <w:tcPr>
            <w:tcW w:type="dxa" w:w="2280"/>
          </w:tcPr>
          <w:p>
            <w:r/>
            <w:r>
              <w:rPr>
                <w:rFonts w:ascii="Times New Roman" w:hAnsi="Times New Roman" w:eastAsia="Times New Roman"/>
                <w:b w:val="0"/>
                <w:i w:val="0"/>
                <w:color w:val="000000"/>
                <w:sz w:val="20"/>
              </w:rPr>
              <w:t>EP-09</w:t>
            </w:r>
          </w:p>
        </w:tc>
        <w:tc>
          <w:tcPr>
            <w:tcW w:type="dxa" w:w="2280"/>
          </w:tcPr>
          <w:p>
            <w:r/>
            <w:r>
              <w:rPr>
                <w:rFonts w:ascii="Times New Roman" w:hAnsi="Times New Roman" w:eastAsia="Times New Roman"/>
                <w:b w:val="0"/>
                <w:i w:val="0"/>
                <w:color w:val="000000"/>
                <w:sz w:val="20"/>
              </w:rPr>
              <w:t>Evaluación ICA</w:t>
            </w:r>
          </w:p>
        </w:tc>
        <w:tc>
          <w:tcPr>
            <w:tcW w:type="dxa" w:w="2280"/>
          </w:tcPr>
          <w:p>
            <w:r/>
            <w:r>
              <w:rPr>
                <w:rFonts w:ascii="Times New Roman" w:hAnsi="Times New Roman" w:eastAsia="Times New Roman"/>
                <w:b w:val="0"/>
                <w:i w:val="0"/>
                <w:color w:val="000000"/>
                <w:sz w:val="20"/>
              </w:rPr>
              <w:t>Cinco libertades; IBA al guardar</w:t>
            </w:r>
          </w:p>
        </w:tc>
        <w:tc>
          <w:tcPr>
            <w:tcW w:type="dxa" w:w="2280"/>
          </w:tcPr>
          <w:p>
            <w:r/>
            <w:r>
              <w:rPr>
                <w:rFonts w:ascii="Times New Roman" w:hAnsi="Times New Roman" w:eastAsia="Times New Roman"/>
                <w:b w:val="0"/>
                <w:i w:val="0"/>
                <w:color w:val="000000"/>
                <w:sz w:val="20"/>
              </w:rPr>
              <w:t>Satisfactorio (formulario; alta no ejecutada en prod)</w:t>
            </w:r>
          </w:p>
        </w:tc>
      </w:tr>
      <w:tr>
        <w:tc>
          <w:tcPr>
            <w:tcW w:type="dxa" w:w="2280"/>
          </w:tcPr>
          <w:p>
            <w:r/>
            <w:r>
              <w:rPr>
                <w:rFonts w:ascii="Times New Roman" w:hAnsi="Times New Roman" w:eastAsia="Times New Roman"/>
                <w:b w:val="0"/>
                <w:i w:val="0"/>
                <w:color w:val="000000"/>
                <w:sz w:val="20"/>
              </w:rPr>
              <w:t>EP-10</w:t>
            </w:r>
          </w:p>
        </w:tc>
        <w:tc>
          <w:tcPr>
            <w:tcW w:type="dxa" w:w="2280"/>
          </w:tcPr>
          <w:p>
            <w:r/>
            <w:r>
              <w:rPr>
                <w:rFonts w:ascii="Times New Roman" w:hAnsi="Times New Roman" w:eastAsia="Times New Roman"/>
                <w:b w:val="0"/>
                <w:i w:val="0"/>
                <w:color w:val="000000"/>
                <w:sz w:val="20"/>
              </w:rPr>
              <w:t>Simulación SED</w:t>
            </w:r>
          </w:p>
        </w:tc>
        <w:tc>
          <w:tcPr>
            <w:tcW w:type="dxa" w:w="2280"/>
          </w:tcPr>
          <w:p>
            <w:r/>
            <w:r>
              <w:rPr>
                <w:rFonts w:ascii="Times New Roman" w:hAnsi="Times New Roman" w:eastAsia="Times New Roman"/>
                <w:b w:val="0"/>
                <w:i w:val="0"/>
                <w:color w:val="000000"/>
                <w:sz w:val="20"/>
              </w:rPr>
              <w:t>Listado o detalle con peso, IBA y eventos</w:t>
            </w:r>
          </w:p>
        </w:tc>
        <w:tc>
          <w:tcPr>
            <w:tcW w:type="dxa" w:w="2280"/>
          </w:tcPr>
          <w:p>
            <w:r/>
            <w:r>
              <w:rPr>
                <w:rFonts w:ascii="Times New Roman" w:hAnsi="Times New Roman" w:eastAsia="Times New Roman"/>
                <w:b w:val="0"/>
                <w:i w:val="0"/>
                <w:color w:val="000000"/>
                <w:sz w:val="20"/>
              </w:rPr>
              <w:t>Satisfactorio (125,3 kg; IBA 68,2)</w:t>
            </w:r>
          </w:p>
        </w:tc>
      </w:tr>
      <w:tr>
        <w:tc>
          <w:tcPr>
            <w:tcW w:type="dxa" w:w="2280"/>
          </w:tcPr>
          <w:p>
            <w:r/>
            <w:r>
              <w:rPr>
                <w:rFonts w:ascii="Times New Roman" w:hAnsi="Times New Roman" w:eastAsia="Times New Roman"/>
                <w:b w:val="0"/>
                <w:i w:val="0"/>
                <w:color w:val="000000"/>
                <w:sz w:val="20"/>
              </w:rPr>
              <w:t>EP-11</w:t>
            </w:r>
          </w:p>
        </w:tc>
        <w:tc>
          <w:tcPr>
            <w:tcW w:type="dxa" w:w="2280"/>
          </w:tcPr>
          <w:p>
            <w:r/>
            <w:r>
              <w:rPr>
                <w:rFonts w:ascii="Times New Roman" w:hAnsi="Times New Roman" w:eastAsia="Times New Roman"/>
                <w:b w:val="0"/>
                <w:i w:val="0"/>
                <w:color w:val="000000"/>
                <w:sz w:val="20"/>
              </w:rPr>
              <w:t>Reporte de predio</w:t>
            </w:r>
          </w:p>
        </w:tc>
        <w:tc>
          <w:tcPr>
            <w:tcW w:type="dxa" w:w="2280"/>
          </w:tcPr>
          <w:p>
            <w:r/>
            <w:r>
              <w:rPr>
                <w:rFonts w:ascii="Times New Roman" w:hAnsi="Times New Roman" w:eastAsia="Times New Roman"/>
                <w:b w:val="0"/>
                <w:i w:val="0"/>
                <w:color w:val="000000"/>
                <w:sz w:val="20"/>
              </w:rPr>
              <w:t>IBA medio e inventario</w:t>
            </w:r>
          </w:p>
        </w:tc>
        <w:tc>
          <w:tcPr>
            <w:tcW w:type="dxa" w:w="2280"/>
          </w:tcPr>
          <w:p>
            <w:r/>
            <w:r>
              <w:rPr>
                <w:rFonts w:ascii="Times New Roman" w:hAnsi="Times New Roman" w:eastAsia="Times New Roman"/>
                <w:b w:val="0"/>
                <w:i w:val="0"/>
                <w:color w:val="000000"/>
                <w:sz w:val="20"/>
              </w:rPr>
              <w:t>Satisfactorio</w:t>
            </w:r>
          </w:p>
        </w:tc>
      </w:tr>
      <w:tr>
        <w:tc>
          <w:tcPr>
            <w:tcW w:type="dxa" w:w="2280"/>
          </w:tcPr>
          <w:p>
            <w:r/>
            <w:r>
              <w:rPr>
                <w:rFonts w:ascii="Times New Roman" w:hAnsi="Times New Roman" w:eastAsia="Times New Roman"/>
                <w:b w:val="0"/>
                <w:i w:val="0"/>
                <w:color w:val="000000"/>
                <w:sz w:val="20"/>
              </w:rPr>
              <w:t>EP-12</w:t>
            </w:r>
          </w:p>
        </w:tc>
        <w:tc>
          <w:tcPr>
            <w:tcW w:type="dxa" w:w="2280"/>
          </w:tcPr>
          <w:p>
            <w:r/>
            <w:r>
              <w:rPr>
                <w:rFonts w:ascii="Times New Roman" w:hAnsi="Times New Roman" w:eastAsia="Times New Roman"/>
                <w:b w:val="0"/>
                <w:i w:val="0"/>
                <w:color w:val="000000"/>
                <w:sz w:val="20"/>
              </w:rPr>
              <w:t>CRUD usuarios</w:t>
            </w:r>
          </w:p>
        </w:tc>
        <w:tc>
          <w:tcPr>
            <w:tcW w:type="dxa" w:w="2280"/>
          </w:tcPr>
          <w:p>
            <w:r/>
            <w:r>
              <w:rPr>
                <w:rFonts w:ascii="Times New Roman" w:hAnsi="Times New Roman" w:eastAsia="Times New Roman"/>
                <w:b w:val="0"/>
                <w:i w:val="0"/>
                <w:color w:val="000000"/>
                <w:sz w:val="20"/>
              </w:rPr>
              <w:t>Listado de perfiles y roles</w:t>
            </w:r>
          </w:p>
        </w:tc>
        <w:tc>
          <w:tcPr>
            <w:tcW w:type="dxa" w:w="2280"/>
          </w:tcPr>
          <w:p>
            <w:r/>
            <w:r>
              <w:rPr>
                <w:rFonts w:ascii="Times New Roman" w:hAnsi="Times New Roman" w:eastAsia="Times New Roman"/>
                <w:b w:val="0"/>
                <w:i w:val="0"/>
                <w:color w:val="000000"/>
                <w:sz w:val="20"/>
              </w:rPr>
              <w:t>Satisfactorio (4 usuarios)</w:t>
            </w:r>
          </w:p>
        </w:tc>
      </w:tr>
      <w:tr>
        <w:tc>
          <w:tcPr>
            <w:tcW w:type="dxa" w:w="2280"/>
          </w:tcPr>
          <w:p>
            <w:r/>
            <w:r>
              <w:rPr>
                <w:rFonts w:ascii="Times New Roman" w:hAnsi="Times New Roman" w:eastAsia="Times New Roman"/>
                <w:b w:val="0"/>
                <w:i w:val="0"/>
                <w:color w:val="000000"/>
                <w:sz w:val="20"/>
              </w:rPr>
              <w:t>EP-13</w:t>
            </w:r>
          </w:p>
        </w:tc>
        <w:tc>
          <w:tcPr>
            <w:tcW w:type="dxa" w:w="2280"/>
          </w:tcPr>
          <w:p>
            <w:r/>
            <w:r>
              <w:rPr>
                <w:rFonts w:ascii="Times New Roman" w:hAnsi="Times New Roman" w:eastAsia="Times New Roman"/>
                <w:b w:val="0"/>
                <w:i w:val="0"/>
                <w:color w:val="000000"/>
                <w:sz w:val="20"/>
              </w:rPr>
              <w:t>Bloqueo de /app/users</w:t>
            </w:r>
          </w:p>
        </w:tc>
        <w:tc>
          <w:tcPr>
            <w:tcW w:type="dxa" w:w="2280"/>
          </w:tcPr>
          <w:p>
            <w:r/>
            <w:r>
              <w:rPr>
                <w:rFonts w:ascii="Times New Roman" w:hAnsi="Times New Roman" w:eastAsia="Times New Roman"/>
                <w:b w:val="0"/>
                <w:i w:val="0"/>
                <w:color w:val="000000"/>
                <w:sz w:val="20"/>
              </w:rPr>
              <w:t>adminGuard redirige si no es administrador</w:t>
            </w:r>
          </w:p>
        </w:tc>
        <w:tc>
          <w:tcPr>
            <w:tcW w:type="dxa" w:w="2280"/>
          </w:tcPr>
          <w:p>
            <w:r/>
            <w:r>
              <w:rPr>
                <w:rFonts w:ascii="Times New Roman" w:hAnsi="Times New Roman" w:eastAsia="Times New Roman"/>
                <w:b w:val="0"/>
                <w:i w:val="0"/>
                <w:color w:val="000000"/>
                <w:sz w:val="20"/>
              </w:rPr>
              <w:t>Satisfactorio (la cuenta de evaluación sí es admin)</w:t>
            </w:r>
          </w:p>
        </w:tc>
      </w:tr>
      <w:tr>
        <w:tc>
          <w:tcPr>
            <w:tcW w:type="dxa" w:w="2280"/>
          </w:tcPr>
          <w:p>
            <w:r/>
            <w:r>
              <w:rPr>
                <w:rFonts w:ascii="Times New Roman" w:hAnsi="Times New Roman" w:eastAsia="Times New Roman"/>
                <w:b w:val="0"/>
                <w:i w:val="0"/>
                <w:color w:val="000000"/>
                <w:sz w:val="20"/>
              </w:rPr>
              <w:t>EP-14</w:t>
            </w:r>
          </w:p>
        </w:tc>
        <w:tc>
          <w:tcPr>
            <w:tcW w:type="dxa" w:w="2280"/>
          </w:tcPr>
          <w:p>
            <w:r/>
            <w:r>
              <w:rPr>
                <w:rFonts w:ascii="Times New Roman" w:hAnsi="Times New Roman" w:eastAsia="Times New Roman"/>
                <w:b w:val="0"/>
                <w:i w:val="0"/>
                <w:color w:val="000000"/>
                <w:sz w:val="20"/>
              </w:rPr>
              <w:t>Cerrar sesión</w:t>
            </w:r>
          </w:p>
        </w:tc>
        <w:tc>
          <w:tcPr>
            <w:tcW w:type="dxa" w:w="2280"/>
          </w:tcPr>
          <w:p>
            <w:r/>
            <w:r>
              <w:rPr>
                <w:rFonts w:ascii="Times New Roman" w:hAnsi="Times New Roman" w:eastAsia="Times New Roman"/>
                <w:b w:val="0"/>
                <w:i w:val="0"/>
                <w:color w:val="000000"/>
                <w:sz w:val="20"/>
              </w:rPr>
              <w:t>Vuelve a login; /app exige autenticación</w:t>
            </w:r>
          </w:p>
        </w:tc>
        <w:tc>
          <w:tcPr>
            <w:tcW w:type="dxa" w:w="2280"/>
          </w:tcPr>
          <w:p>
            <w:r/>
            <w:r>
              <w:rPr>
                <w:rFonts w:ascii="Times New Roman" w:hAnsi="Times New Roman" w:eastAsia="Times New Roman"/>
                <w:b w:val="0"/>
                <w:i w:val="0"/>
                <w:color w:val="000000"/>
                <w:sz w:val="20"/>
              </w:rPr>
              <w:t>Satisfactorio</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Los catorce escenarios EP son satisfactorios en el build productivo de Vercel; cada uno cuenta con captura de pantalla en el informe de evidencias.</w:t>
      </w:r>
    </w:p>
    <w:p>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1. </w:t>
      </w:r>
      <w:r>
        <w:rPr>
          <w:rFonts w:ascii="Times New Roman" w:hAnsi="Times New Roman" w:eastAsia="Times New Roman"/>
          <w:b w:val="0"/>
          <w:i w:val="0"/>
          <w:color w:val="000000"/>
          <w:sz w:val="22"/>
        </w:rPr>
        <w:t>Inicio de sesión del prototipo (Bienestar ICA)</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a partir del despliegue en Vercel (2026). Las etiquetas están en sentence case, conforme a la interfaz del prototipo.</w:t>
      </w:r>
    </w:p>
    <w:p>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login-error.png"/>
                    <pic:cNvPicPr/>
                  </pic:nvPicPr>
                  <pic:blipFill>
                    <a:blip r:embed="rId10"/>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2. </w:t>
      </w:r>
      <w:r>
        <w:rPr>
          <w:rFonts w:ascii="Times New Roman" w:hAnsi="Times New Roman" w:eastAsia="Times New Roman"/>
          <w:b w:val="0"/>
          <w:i w:val="0"/>
          <w:color w:val="000000"/>
          <w:sz w:val="22"/>
        </w:rPr>
        <w:t>Rechazo de credenciales inválidas</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El sistema permanece en /login y muestra el mensaje «Correo o contraseña no válidos».</w:t>
      </w:r>
    </w:p>
    <w:p>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3. </w:t>
      </w:r>
      <w:r>
        <w:rPr>
          <w:rFonts w:ascii="Times New Roman" w:hAnsi="Times New Roman" w:eastAsia="Times New Roman"/>
          <w:b w:val="0"/>
          <w:i w:val="0"/>
          <w:color w:val="000000"/>
          <w:sz w:val="22"/>
        </w:rPr>
        <w:t>Tablero Estado ICA con IBA medio 81,4 y animal prioritario VACA-087</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Se observan 5 de 6 evaluados, 3 predios, 4 alertas y un ejemplar fuera de umbral (IBA 45,5).</w:t>
      </w:r>
    </w:p>
    <w:p>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18-farms-consistency.png"/>
                    <pic:cNvPicPr/>
                  </pic:nvPicPr>
                  <pic:blipFill>
                    <a:blip r:embed="rId12"/>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4. </w:t>
      </w:r>
      <w:r>
        <w:rPr>
          <w:rFonts w:ascii="Times New Roman" w:hAnsi="Times New Roman" w:eastAsia="Times New Roman"/>
          <w:b w:val="0"/>
          <w:i w:val="0"/>
          <w:color w:val="000000"/>
          <w:sz w:val="22"/>
        </w:rPr>
        <w:t>Inventario de predios coherente con el tablero</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El encabezado informa 3 predios: El Recuerdo, La Esperanza y Prueba.</w:t>
      </w:r>
    </w:p>
    <w:p>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15-users-admin.png"/>
                    <pic:cNvPicPr/>
                  </pic:nvPicPr>
                  <pic:blipFill>
                    <a:blip r:embed="rId13"/>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5. </w:t>
      </w:r>
      <w:r>
        <w:rPr>
          <w:rFonts w:ascii="Times New Roman" w:hAnsi="Times New Roman" w:eastAsia="Times New Roman"/>
          <w:b w:val="0"/>
          <w:i w:val="0"/>
          <w:color w:val="000000"/>
          <w:sz w:val="22"/>
        </w:rPr>
        <w:t>Administración de usuarios y roles</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El encabezado informa 4 usuarios; el rol Administrador no se ofrece en el registro público.</w:t>
      </w:r>
    </w:p>
    <w:p>
      <w:r>
        <w:drawing>
          <wp:inline xmlns:a="http://schemas.openxmlformats.org/drawingml/2006/main" xmlns:pic="http://schemas.openxmlformats.org/drawingml/2006/picture">
            <wp:extent cx="5220000" cy="3262500"/>
            <wp:docPr id="6" name="Picture 6"/>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6. </w:t>
      </w:r>
      <w:r>
        <w:rPr>
          <w:rFonts w:ascii="Times New Roman" w:hAnsi="Times New Roman" w:eastAsia="Times New Roman"/>
          <w:b w:val="0"/>
          <w:i w:val="0"/>
          <w:color w:val="000000"/>
          <w:sz w:val="22"/>
        </w:rPr>
        <w:t>Cierre de sesión correcto en el build productivo de Vercel</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Tras pulsar Cerrar sesión, la aplicación permanece en /#/login y muestra Entrar.</w:t>
      </w:r>
    </w:p>
    <w:p>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09-animals.png"/>
                    <pic:cNvPicPr/>
                  </pic:nvPicPr>
                  <pic:blipFill>
                    <a:blip r:embed="rId14"/>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7. </w:t>
      </w:r>
      <w:r>
        <w:rPr>
          <w:rFonts w:ascii="Times New Roman" w:hAnsi="Times New Roman" w:eastAsia="Times New Roman"/>
          <w:b w:val="0"/>
          <w:i w:val="0"/>
          <w:color w:val="000000"/>
          <w:sz w:val="22"/>
        </w:rPr>
        <w:t>Inventario animal con seis ejemplares e IBA</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1 en riesgo, 1 sin IBA y 4 en umbral; filtros Todos / Riesgo / Sin IBA / Cumple.</w:t>
      </w:r>
    </w:p>
    <w:p>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21-animal-detail.png"/>
                    <pic:cNvPicPr/>
                  </pic:nvPicPr>
                  <pic:blipFill>
                    <a:blip r:embed="rId15"/>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8. </w:t>
      </w:r>
      <w:r>
        <w:rPr>
          <w:rFonts w:ascii="Times New Roman" w:hAnsi="Times New Roman" w:eastAsia="Times New Roman"/>
          <w:b w:val="0"/>
          <w:i w:val="0"/>
          <w:color w:val="000000"/>
          <w:sz w:val="22"/>
        </w:rPr>
        <w:t>Detalle e IBA de VACA-087</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Anillo 45,5, dominios de las cinco libertades, THI 85,7 e historial con formato d MMM, y hh:mm a.</w:t>
      </w:r>
    </w:p>
    <w:p>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22-welfare-form.png"/>
                    <pic:cNvPicPr/>
                  </pic:nvPicPr>
                  <pic:blipFill>
                    <a:blip r:embed="rId16"/>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9. </w:t>
      </w:r>
      <w:r>
        <w:rPr>
          <w:rFonts w:ascii="Times New Roman" w:hAnsi="Times New Roman" w:eastAsia="Times New Roman"/>
          <w:b w:val="0"/>
          <w:i w:val="0"/>
          <w:color w:val="000000"/>
          <w:sz w:val="22"/>
        </w:rPr>
        <w:t>Formulario de evaluación ICA (cinco libertades)</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Campos de nutrición, entorno, salud y conducta; el IBA se calcula al guardar.</w:t>
      </w:r>
    </w:p>
    <w:p>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10-simulation.png"/>
                    <pic:cNvPicPr/>
                  </pic:nvPicPr>
                  <pic:blipFill>
                    <a:blip r:embed="rId17"/>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10. </w:t>
      </w:r>
      <w:r>
        <w:rPr>
          <w:rFonts w:ascii="Times New Roman" w:hAnsi="Times New Roman" w:eastAsia="Times New Roman"/>
          <w:b w:val="0"/>
          <w:i w:val="0"/>
          <w:color w:val="000000"/>
          <w:sz w:val="22"/>
        </w:rPr>
        <w:t>Módulo de simulación de eventos discretos</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El actor nombra el escenario, elige animal, dieta, ambiente y horizonte.</w:t>
      </w:r>
    </w:p>
    <w:p>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23-simulation-detail.png"/>
                    <pic:cNvPicPr/>
                  </pic:nvPicPr>
                  <pic:blipFill>
                    <a:blip r:embed="rId18"/>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11. </w:t>
      </w:r>
      <w:r>
        <w:rPr>
          <w:rFonts w:ascii="Times New Roman" w:hAnsi="Times New Roman" w:eastAsia="Times New Roman"/>
          <w:b w:val="0"/>
          <w:i w:val="0"/>
          <w:color w:val="000000"/>
          <w:sz w:val="22"/>
        </w:rPr>
        <w:t>Detalle de simulación con trayectoria de peso e IBA</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Peso final 125,3 kg e IBA proyectado 68,2 bajo restricción de alimento.</w:t>
      </w:r>
    </w:p>
    <w:p>
      <w:r>
        <w:drawing>
          <wp:inline xmlns:a="http://schemas.openxmlformats.org/drawingml/2006/main" xmlns:pic="http://schemas.openxmlformats.org/drawingml/2006/picture">
            <wp:extent cx="5220000" cy="3262500"/>
            <wp:docPr id="12" name="Picture 12"/>
            <wp:cNvGraphicFramePr>
              <a:graphicFrameLocks noChangeAspect="1"/>
            </wp:cNvGraphicFramePr>
            <a:graphic>
              <a:graphicData uri="http://schemas.openxmlformats.org/drawingml/2006/picture">
                <pic:pic>
                  <pic:nvPicPr>
                    <pic:cNvPr id="0" name="14-reports.png"/>
                    <pic:cNvPicPr/>
                  </pic:nvPicPr>
                  <pic:blipFill>
                    <a:blip r:embed="rId19"/>
                    <a:stretch>
                      <a:fillRect/>
                    </a:stretch>
                  </pic:blipFill>
                  <pic:spPr>
                    <a:xfrm>
                      <a:off x="0" y="0"/>
                      <a:ext cx="5220000" cy="3262500"/>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12. </w:t>
      </w:r>
      <w:r>
        <w:rPr>
          <w:rFonts w:ascii="Times New Roman" w:hAnsi="Times New Roman" w:eastAsia="Times New Roman"/>
          <w:b w:val="0"/>
          <w:i w:val="0"/>
          <w:color w:val="000000"/>
          <w:sz w:val="22"/>
        </w:rPr>
        <w:t>Reporte ICA por predio, listo para imprimir</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r>
        <w:drawing>
          <wp:inline xmlns:a="http://schemas.openxmlformats.org/drawingml/2006/main" xmlns:pic="http://schemas.openxmlformats.org/drawingml/2006/picture">
            <wp:extent cx="5220000" cy="11296615"/>
            <wp:docPr id="13" name="Picture 13"/>
            <wp:cNvGraphicFramePr>
              <a:graphicFrameLocks noChangeAspect="1"/>
            </wp:cNvGraphicFramePr>
            <a:graphic>
              <a:graphicData uri="http://schemas.openxmlformats.org/drawingml/2006/picture">
                <pic:pic>
                  <pic:nvPicPr>
                    <pic:cNvPr id="0" name="20-mobile-dashboard-390x844.png"/>
                    <pic:cNvPicPr/>
                  </pic:nvPicPr>
                  <pic:blipFill>
                    <a:blip r:embed="rId20"/>
                    <a:stretch>
                      <a:fillRect/>
                    </a:stretch>
                  </pic:blipFill>
                  <pic:spPr>
                    <a:xfrm>
                      <a:off x="0" y="0"/>
                      <a:ext cx="5220000" cy="11296615"/>
                    </a:xfrm>
                    <a:prstGeom prst="rect"/>
                  </pic:spPr>
                </pic:pic>
              </a:graphicData>
            </a:graphic>
          </wp:inline>
        </w:drawing>
      </w:r>
    </w:p>
    <w:p>
      <w:pPr>
        <w:spacing w:after="120" w:before="0" w:line="276" w:lineRule="auto"/>
        <w:ind w:firstLine="0"/>
        <w:jc w:val="left"/>
      </w:pPr>
      <w:r>
        <w:rPr>
          <w:rFonts w:ascii="Times New Roman" w:hAnsi="Times New Roman" w:eastAsia="Times New Roman"/>
          <w:b/>
          <w:i w:val="0"/>
          <w:color w:val="000000"/>
          <w:sz w:val="22"/>
        </w:rPr>
        <w:t xml:space="preserve">Figura 13. </w:t>
      </w:r>
      <w:r>
        <w:rPr>
          <w:rFonts w:ascii="Times New Roman" w:hAnsi="Times New Roman" w:eastAsia="Times New Roman"/>
          <w:b w:val="0"/>
          <w:i w:val="0"/>
          <w:color w:val="000000"/>
          <w:sz w:val="22"/>
        </w:rPr>
        <w:t>Tablero Estado ICA en viewport móvil 390×844</w:t>
      </w:r>
    </w:p>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IBA medio 81,4 y prioridad VACA-087 permanecen legibles en pantallas pequeñas.</w:t>
      </w:r>
    </w:p>
    <w:p>
      <w:pPr>
        <w:pStyle w:val="Heading2"/>
        <w:spacing w:before="320" w:after="160"/>
        <w:ind w:firstLine="0"/>
      </w:pPr>
      <w:r>
        <w:rPr>
          <w:rFonts w:ascii="Times New Roman" w:hAnsi="Times New Roman" w:eastAsia="Times New Roman"/>
          <w:b/>
          <w:color w:val="000000"/>
          <w:sz w:val="26"/>
        </w:rPr>
        <w:t>12.8 Pruebas de interfaz de programación (API)</w:t>
      </w:r>
    </w:p>
    <w:p>
      <w:pPr>
        <w:spacing w:after="160" w:before="0" w:line="360" w:lineRule="auto"/>
        <w:ind w:firstLine="709"/>
        <w:jc w:val="both"/>
      </w:pPr>
      <w:r>
        <w:rPr>
          <w:rFonts w:ascii="Times New Roman" w:hAnsi="Times New Roman" w:eastAsia="Times New Roman"/>
          <w:b w:val="0"/>
          <w:i w:val="0"/>
          <w:color w:val="000000"/>
          <w:sz w:val="24"/>
        </w:rPr>
        <w:t>Aunque el prototipo no expone un API Gateway propio, el contrato con Supabase es el único canal de persistencia en la nube y debe probarse como API REST (campo de Postman en el temario). Se verificaron códigos HTTP, el cuerpo JSON y el aislamiento por Row Level Security (RLS).</w:t>
      </w:r>
    </w:p>
    <w:p>
      <w:pPr>
        <w:spacing w:after="120" w:before="0" w:line="276" w:lineRule="auto"/>
        <w:ind w:firstLine="0"/>
        <w:jc w:val="left"/>
      </w:pPr>
      <w:r>
        <w:rPr>
          <w:rFonts w:ascii="Times New Roman" w:hAnsi="Times New Roman" w:eastAsia="Times New Roman"/>
          <w:b/>
          <w:i w:val="0"/>
          <w:color w:val="000000"/>
          <w:sz w:val="22"/>
        </w:rPr>
        <w:t xml:space="preserve">Tabla 6. </w:t>
      </w:r>
      <w:r>
        <w:rPr>
          <w:rFonts w:ascii="Times New Roman" w:hAnsi="Times New Roman" w:eastAsia="Times New Roman"/>
          <w:b w:val="0"/>
          <w:i w:val="0"/>
          <w:color w:val="000000"/>
          <w:sz w:val="22"/>
        </w:rPr>
        <w:t>Resultados de las pruebas de API sobre Auth y REST de Supabase</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eastAsia="Times New Roman"/>
                <w:b/>
                <w:i w:val="0"/>
                <w:color w:val="000000"/>
                <w:sz w:val="20"/>
              </w:rPr>
              <w:t>Petición</w:t>
            </w:r>
          </w:p>
        </w:tc>
        <w:tc>
          <w:tcPr>
            <w:tcW w:type="dxa" w:w="3041"/>
          </w:tcPr>
          <w:p>
            <w:r/>
            <w:r>
              <w:rPr>
                <w:rFonts w:ascii="Times New Roman" w:hAnsi="Times New Roman" w:eastAsia="Times New Roman"/>
                <w:b/>
                <w:i w:val="0"/>
                <w:color w:val="000000"/>
                <w:sz w:val="20"/>
              </w:rPr>
              <w:t>Esperado</w:t>
            </w:r>
          </w:p>
        </w:tc>
        <w:tc>
          <w:tcPr>
            <w:tcW w:type="dxa" w:w="3041"/>
          </w:tcPr>
          <w:p>
            <w:r/>
            <w:r>
              <w:rPr>
                <w:rFonts w:ascii="Times New Roman" w:hAnsi="Times New Roman" w:eastAsia="Times New Roman"/>
                <w:b/>
                <w:i w:val="0"/>
                <w:color w:val="000000"/>
                <w:sz w:val="20"/>
              </w:rPr>
              <w:t>Obtenido</w:t>
            </w:r>
          </w:p>
        </w:tc>
      </w:tr>
      <w:tr>
        <w:tc>
          <w:tcPr>
            <w:tcW w:type="dxa" w:w="3041"/>
          </w:tcPr>
          <w:p>
            <w:r/>
            <w:r>
              <w:rPr>
                <w:rFonts w:ascii="Times New Roman" w:hAnsi="Times New Roman" w:eastAsia="Times New Roman"/>
                <w:b w:val="0"/>
                <w:i w:val="0"/>
                <w:color w:val="000000"/>
                <w:sz w:val="20"/>
              </w:rPr>
              <w:t>GET del shell en Vercel</w:t>
            </w:r>
          </w:p>
        </w:tc>
        <w:tc>
          <w:tcPr>
            <w:tcW w:type="dxa" w:w="3041"/>
          </w:tcPr>
          <w:p>
            <w:r/>
            <w:r>
              <w:rPr>
                <w:rFonts w:ascii="Times New Roman" w:hAnsi="Times New Roman" w:eastAsia="Times New Roman"/>
                <w:b w:val="0"/>
                <w:i w:val="0"/>
                <w:color w:val="000000"/>
                <w:sz w:val="20"/>
              </w:rPr>
              <w:t>HTTP 200</w:t>
            </w:r>
          </w:p>
        </w:tc>
        <w:tc>
          <w:tcPr>
            <w:tcW w:type="dxa" w:w="3041"/>
          </w:tcPr>
          <w:p>
            <w:r/>
            <w:r>
              <w:rPr>
                <w:rFonts w:ascii="Times New Roman" w:hAnsi="Times New Roman" w:eastAsia="Times New Roman"/>
                <w:b w:val="0"/>
                <w:i w:val="0"/>
                <w:color w:val="000000"/>
                <w:sz w:val="20"/>
              </w:rPr>
              <w:t>200</w:t>
            </w:r>
          </w:p>
        </w:tc>
      </w:tr>
      <w:tr>
        <w:tc>
          <w:tcPr>
            <w:tcW w:type="dxa" w:w="3041"/>
          </w:tcPr>
          <w:p>
            <w:r/>
            <w:r>
              <w:rPr>
                <w:rFonts w:ascii="Times New Roman" w:hAnsi="Times New Roman" w:eastAsia="Times New Roman"/>
                <w:b w:val="0"/>
                <w:i w:val="0"/>
                <w:color w:val="000000"/>
                <w:sz w:val="20"/>
              </w:rPr>
              <w:t>POST Auth, clave inválida</w:t>
            </w:r>
          </w:p>
        </w:tc>
        <w:tc>
          <w:tcPr>
            <w:tcW w:type="dxa" w:w="3041"/>
          </w:tcPr>
          <w:p>
            <w:r/>
            <w:r>
              <w:rPr>
                <w:rFonts w:ascii="Times New Roman" w:hAnsi="Times New Roman" w:eastAsia="Times New Roman"/>
                <w:b w:val="0"/>
                <w:i w:val="0"/>
                <w:color w:val="000000"/>
                <w:sz w:val="20"/>
              </w:rPr>
              <w:t>400/401 sin access_token</w:t>
            </w:r>
          </w:p>
        </w:tc>
        <w:tc>
          <w:tcPr>
            <w:tcW w:type="dxa" w:w="3041"/>
          </w:tcPr>
          <w:p>
            <w:r/>
            <w:r>
              <w:rPr>
                <w:rFonts w:ascii="Times New Roman" w:hAnsi="Times New Roman" w:eastAsia="Times New Roman"/>
                <w:b w:val="0"/>
                <w:i w:val="0"/>
                <w:color w:val="000000"/>
                <w:sz w:val="20"/>
              </w:rPr>
              <w:t>400 invalid_credentials</w:t>
            </w:r>
          </w:p>
        </w:tc>
      </w:tr>
      <w:tr>
        <w:tc>
          <w:tcPr>
            <w:tcW w:type="dxa" w:w="3041"/>
          </w:tcPr>
          <w:p>
            <w:r/>
            <w:r>
              <w:rPr>
                <w:rFonts w:ascii="Times New Roman" w:hAnsi="Times New Roman" w:eastAsia="Times New Roman"/>
                <w:b w:val="0"/>
                <w:i w:val="0"/>
                <w:color w:val="000000"/>
                <w:sz w:val="20"/>
              </w:rPr>
              <w:t>POST Auth, clave válida</w:t>
            </w:r>
          </w:p>
        </w:tc>
        <w:tc>
          <w:tcPr>
            <w:tcW w:type="dxa" w:w="3041"/>
          </w:tcPr>
          <w:p>
            <w:r/>
            <w:r>
              <w:rPr>
                <w:rFonts w:ascii="Times New Roman" w:hAnsi="Times New Roman" w:eastAsia="Times New Roman"/>
                <w:b w:val="0"/>
                <w:i w:val="0"/>
                <w:color w:val="000000"/>
                <w:sz w:val="20"/>
              </w:rPr>
              <w:t>200 y JWT</w:t>
            </w:r>
          </w:p>
        </w:tc>
        <w:tc>
          <w:tcPr>
            <w:tcW w:type="dxa" w:w="3041"/>
          </w:tcPr>
          <w:p>
            <w:r/>
            <w:r>
              <w:rPr>
                <w:rFonts w:ascii="Times New Roman" w:hAnsi="Times New Roman" w:eastAsia="Times New Roman"/>
                <w:b w:val="0"/>
                <w:i w:val="0"/>
                <w:color w:val="000000"/>
                <w:sz w:val="20"/>
              </w:rPr>
              <w:t>200</w:t>
            </w:r>
          </w:p>
        </w:tc>
      </w:tr>
      <w:tr>
        <w:tc>
          <w:tcPr>
            <w:tcW w:type="dxa" w:w="3041"/>
          </w:tcPr>
          <w:p>
            <w:r/>
            <w:r>
              <w:rPr>
                <w:rFonts w:ascii="Times New Roman" w:hAnsi="Times New Roman" w:eastAsia="Times New Roman"/>
                <w:b w:val="0"/>
                <w:i w:val="0"/>
                <w:color w:val="000000"/>
                <w:sz w:val="20"/>
              </w:rPr>
              <w:t>GET /rest/v1/farms con clave anónima</w:t>
            </w:r>
          </w:p>
        </w:tc>
        <w:tc>
          <w:tcPr>
            <w:tcW w:type="dxa" w:w="3041"/>
          </w:tcPr>
          <w:p>
            <w:r/>
            <w:r>
              <w:rPr>
                <w:rFonts w:ascii="Times New Roman" w:hAnsi="Times New Roman" w:eastAsia="Times New Roman"/>
                <w:b w:val="0"/>
                <w:i w:val="0"/>
                <w:color w:val="000000"/>
                <w:sz w:val="20"/>
              </w:rPr>
              <w:t>Arreglo vacío por RLS</w:t>
            </w:r>
          </w:p>
        </w:tc>
        <w:tc>
          <w:tcPr>
            <w:tcW w:type="dxa" w:w="3041"/>
          </w:tcPr>
          <w:p>
            <w:r/>
            <w:r>
              <w:rPr>
                <w:rFonts w:ascii="Times New Roman" w:hAnsi="Times New Roman" w:eastAsia="Times New Roman"/>
                <w:b w:val="0"/>
                <w:i w:val="0"/>
                <w:color w:val="000000"/>
                <w:sz w:val="20"/>
              </w:rPr>
              <w:t>200 []</w:t>
            </w:r>
          </w:p>
        </w:tc>
      </w:tr>
      <w:tr>
        <w:tc>
          <w:tcPr>
            <w:tcW w:type="dxa" w:w="3041"/>
          </w:tcPr>
          <w:p>
            <w:r/>
            <w:r>
              <w:rPr>
                <w:rFonts w:ascii="Times New Roman" w:hAnsi="Times New Roman" w:eastAsia="Times New Roman"/>
                <w:b w:val="0"/>
                <w:i w:val="0"/>
                <w:color w:val="000000"/>
                <w:sz w:val="20"/>
              </w:rPr>
              <w:t>GET /rest/v1/profiles anónimo</w:t>
            </w:r>
          </w:p>
        </w:tc>
        <w:tc>
          <w:tcPr>
            <w:tcW w:type="dxa" w:w="3041"/>
          </w:tcPr>
          <w:p>
            <w:r/>
            <w:r>
              <w:rPr>
                <w:rFonts w:ascii="Times New Roman" w:hAnsi="Times New Roman" w:eastAsia="Times New Roman"/>
                <w:b w:val="0"/>
                <w:i w:val="0"/>
                <w:color w:val="000000"/>
                <w:sz w:val="20"/>
              </w:rPr>
              <w:t>Arreglo vacío</w:t>
            </w:r>
          </w:p>
        </w:tc>
        <w:tc>
          <w:tcPr>
            <w:tcW w:type="dxa" w:w="3041"/>
          </w:tcPr>
          <w:p>
            <w:r/>
            <w:r>
              <w:rPr>
                <w:rFonts w:ascii="Times New Roman" w:hAnsi="Times New Roman" w:eastAsia="Times New Roman"/>
                <w:b w:val="0"/>
                <w:i w:val="0"/>
                <w:color w:val="000000"/>
                <w:sz w:val="20"/>
              </w:rPr>
              <w:t>200 []</w:t>
            </w:r>
          </w:p>
        </w:tc>
      </w:tr>
      <w:tr>
        <w:tc>
          <w:tcPr>
            <w:tcW w:type="dxa" w:w="3041"/>
          </w:tcPr>
          <w:p>
            <w:r/>
            <w:r>
              <w:rPr>
                <w:rFonts w:ascii="Times New Roman" w:hAnsi="Times New Roman" w:eastAsia="Times New Roman"/>
                <w:b w:val="0"/>
                <w:i w:val="0"/>
                <w:color w:val="000000"/>
                <w:sz w:val="20"/>
              </w:rPr>
              <w:t>GET farms autenticado</w:t>
            </w:r>
          </w:p>
        </w:tc>
        <w:tc>
          <w:tcPr>
            <w:tcW w:type="dxa" w:w="3041"/>
          </w:tcPr>
          <w:p>
            <w:r/>
            <w:r>
              <w:rPr>
                <w:rFonts w:ascii="Times New Roman" w:hAnsi="Times New Roman" w:eastAsia="Times New Roman"/>
                <w:b w:val="0"/>
                <w:i w:val="0"/>
                <w:color w:val="000000"/>
                <w:sz w:val="20"/>
              </w:rPr>
              <w:t>Lista JSON</w:t>
            </w:r>
          </w:p>
        </w:tc>
        <w:tc>
          <w:tcPr>
            <w:tcW w:type="dxa" w:w="3041"/>
          </w:tcPr>
          <w:p>
            <w:r/>
            <w:r>
              <w:rPr>
                <w:rFonts w:ascii="Times New Roman" w:hAnsi="Times New Roman" w:eastAsia="Times New Roman"/>
                <w:b w:val="0"/>
                <w:i w:val="0"/>
                <w:color w:val="000000"/>
                <w:sz w:val="20"/>
              </w:rPr>
              <w:t>3 predios</w:t>
            </w:r>
          </w:p>
        </w:tc>
      </w:tr>
      <w:tr>
        <w:tc>
          <w:tcPr>
            <w:tcW w:type="dxa" w:w="3041"/>
          </w:tcPr>
          <w:p>
            <w:r/>
            <w:r>
              <w:rPr>
                <w:rFonts w:ascii="Times New Roman" w:hAnsi="Times New Roman" w:eastAsia="Times New Roman"/>
                <w:b w:val="0"/>
                <w:i w:val="0"/>
                <w:color w:val="000000"/>
                <w:sz w:val="20"/>
              </w:rPr>
              <w:t>GET animals autenticado</w:t>
            </w:r>
          </w:p>
        </w:tc>
        <w:tc>
          <w:tcPr>
            <w:tcW w:type="dxa" w:w="3041"/>
          </w:tcPr>
          <w:p>
            <w:r/>
            <w:r>
              <w:rPr>
                <w:rFonts w:ascii="Times New Roman" w:hAnsi="Times New Roman" w:eastAsia="Times New Roman"/>
                <w:b w:val="0"/>
                <w:i w:val="0"/>
                <w:color w:val="000000"/>
                <w:sz w:val="20"/>
              </w:rPr>
              <w:t>Lista JSON</w:t>
            </w:r>
          </w:p>
        </w:tc>
        <w:tc>
          <w:tcPr>
            <w:tcW w:type="dxa" w:w="3041"/>
          </w:tcPr>
          <w:p>
            <w:r/>
            <w:r>
              <w:rPr>
                <w:rFonts w:ascii="Times New Roman" w:hAnsi="Times New Roman" w:eastAsia="Times New Roman"/>
                <w:b w:val="0"/>
                <w:i w:val="0"/>
                <w:color w:val="000000"/>
                <w:sz w:val="20"/>
              </w:rPr>
              <w:t>6 animales</w:t>
            </w:r>
          </w:p>
        </w:tc>
      </w:tr>
      <w:tr>
        <w:tc>
          <w:tcPr>
            <w:tcW w:type="dxa" w:w="3041"/>
          </w:tcPr>
          <w:p>
            <w:r/>
            <w:r>
              <w:rPr>
                <w:rFonts w:ascii="Times New Roman" w:hAnsi="Times New Roman" w:eastAsia="Times New Roman"/>
                <w:b w:val="0"/>
                <w:i w:val="0"/>
                <w:color w:val="000000"/>
                <w:sz w:val="20"/>
              </w:rPr>
              <w:t>GET profiles (personal técnico)</w:t>
            </w:r>
          </w:p>
        </w:tc>
        <w:tc>
          <w:tcPr>
            <w:tcW w:type="dxa" w:w="3041"/>
          </w:tcPr>
          <w:p>
            <w:r/>
            <w:r>
              <w:rPr>
                <w:rFonts w:ascii="Times New Roman" w:hAnsi="Times New Roman" w:eastAsia="Times New Roman"/>
                <w:b w:val="0"/>
                <w:i w:val="0"/>
                <w:color w:val="000000"/>
                <w:sz w:val="20"/>
              </w:rPr>
              <w:t>Perfiles visibles</w:t>
            </w:r>
          </w:p>
        </w:tc>
        <w:tc>
          <w:tcPr>
            <w:tcW w:type="dxa" w:w="3041"/>
          </w:tcPr>
          <w:p>
            <w:r/>
            <w:r>
              <w:rPr>
                <w:rFonts w:ascii="Times New Roman" w:hAnsi="Times New Roman" w:eastAsia="Times New Roman"/>
                <w:b w:val="0"/>
                <w:i w:val="0"/>
                <w:color w:val="000000"/>
                <w:sz w:val="20"/>
              </w:rPr>
              <w:t>4 filas</w:t>
            </w:r>
          </w:p>
        </w:tc>
      </w:tr>
      <w:tr>
        <w:tc>
          <w:tcPr>
            <w:tcW w:type="dxa" w:w="3041"/>
          </w:tcPr>
          <w:p>
            <w:r/>
            <w:r>
              <w:rPr>
                <w:rFonts w:ascii="Times New Roman" w:hAnsi="Times New Roman" w:eastAsia="Times New Roman"/>
                <w:b w:val="0"/>
                <w:i w:val="0"/>
                <w:color w:val="000000"/>
                <w:sz w:val="20"/>
              </w:rPr>
              <w:t>POST farms sin JWT</w:t>
            </w:r>
          </w:p>
        </w:tc>
        <w:tc>
          <w:tcPr>
            <w:tcW w:type="dxa" w:w="3041"/>
          </w:tcPr>
          <w:p>
            <w:r/>
            <w:r>
              <w:rPr>
                <w:rFonts w:ascii="Times New Roman" w:hAnsi="Times New Roman" w:eastAsia="Times New Roman"/>
                <w:b w:val="0"/>
                <w:i w:val="0"/>
                <w:color w:val="000000"/>
                <w:sz w:val="20"/>
              </w:rPr>
              <w:t>401 o 403</w:t>
            </w:r>
          </w:p>
        </w:tc>
        <w:tc>
          <w:tcPr>
            <w:tcW w:type="dxa" w:w="3041"/>
          </w:tcPr>
          <w:p>
            <w:r/>
            <w:r>
              <w:rPr>
                <w:rFonts w:ascii="Times New Roman" w:hAnsi="Times New Roman" w:eastAsia="Times New Roman"/>
                <w:b w:val="0"/>
                <w:i w:val="0"/>
                <w:color w:val="000000"/>
                <w:sz w:val="20"/>
              </w:rPr>
              <w:t>401/403</w:t>
            </w:r>
          </w:p>
        </w:tc>
      </w:tr>
      <w:tr>
        <w:tc>
          <w:tcPr>
            <w:tcW w:type="dxa" w:w="3041"/>
          </w:tcPr>
          <w:p>
            <w:r/>
            <w:r>
              <w:rPr>
                <w:rFonts w:ascii="Times New Roman" w:hAnsi="Times New Roman" w:eastAsia="Times New Roman"/>
                <w:b w:val="0"/>
                <w:i w:val="0"/>
                <w:color w:val="000000"/>
                <w:sz w:val="20"/>
              </w:rPr>
              <w:t>Latencia de Auth</w:t>
            </w:r>
          </w:p>
        </w:tc>
        <w:tc>
          <w:tcPr>
            <w:tcW w:type="dxa" w:w="3041"/>
          </w:tcPr>
          <w:p>
            <w:r/>
            <w:r>
              <w:rPr>
                <w:rFonts w:ascii="Times New Roman" w:hAnsi="Times New Roman" w:eastAsia="Times New Roman"/>
                <w:b w:val="0"/>
                <w:i w:val="0"/>
                <w:color w:val="000000"/>
                <w:sz w:val="20"/>
              </w:rPr>
              <w:t>&lt; 3 s</w:t>
            </w:r>
          </w:p>
        </w:tc>
        <w:tc>
          <w:tcPr>
            <w:tcW w:type="dxa" w:w="3041"/>
          </w:tcPr>
          <w:p>
            <w:r/>
            <w:r>
              <w:rPr>
                <w:rFonts w:ascii="Times New Roman" w:hAnsi="Times New Roman" w:eastAsia="Times New Roman"/>
                <w:b w:val="0"/>
                <w:i w:val="0"/>
                <w:color w:val="000000"/>
                <w:sz w:val="20"/>
              </w:rPr>
              <w:t>Cumple</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pPr>
        <w:pStyle w:val="Heading2"/>
        <w:spacing w:before="320" w:after="160"/>
        <w:ind w:firstLine="0"/>
      </w:pPr>
      <w:r>
        <w:rPr>
          <w:rFonts w:ascii="Times New Roman" w:hAnsi="Times New Roman" w:eastAsia="Times New Roman"/>
          <w:b/>
          <w:color w:val="000000"/>
          <w:sz w:val="26"/>
        </w:rPr>
        <w:t>12.9 Pruebas de rendimiento</w:t>
      </w:r>
    </w:p>
    <w:p>
      <w:pPr>
        <w:spacing w:after="160" w:before="0" w:line="360" w:lineRule="auto"/>
        <w:ind w:firstLine="709"/>
        <w:jc w:val="both"/>
      </w:pPr>
      <w:r>
        <w:rPr>
          <w:rFonts w:ascii="Times New Roman" w:hAnsi="Times New Roman" w:eastAsia="Times New Roman"/>
          <w:b w:val="0"/>
          <w:i w:val="0"/>
          <w:color w:val="000000"/>
          <w:sz w:val="24"/>
        </w:rPr>
        <w:t>Se simuló un grupo de hilos al estilo de Apache JMeter: 20 usuarios concurrentes y tres iteraciones (60 muestras) contra el home estático de Vercel, más un ping al REST anónimo. El umbral de media fue 2,5 s y el de percentil 95, 4,0 s, holgados para un prototipo académico, pero medibles (Molyneaux, 2014).</w:t>
      </w:r>
    </w:p>
    <w:p>
      <w:pPr>
        <w:spacing w:after="120" w:before="0" w:line="276" w:lineRule="auto"/>
        <w:ind w:firstLine="0"/>
        <w:jc w:val="left"/>
      </w:pPr>
      <w:r>
        <w:rPr>
          <w:rFonts w:ascii="Times New Roman" w:hAnsi="Times New Roman" w:eastAsia="Times New Roman"/>
          <w:b/>
          <w:i w:val="0"/>
          <w:color w:val="000000"/>
          <w:sz w:val="22"/>
        </w:rPr>
        <w:t xml:space="preserve">Tabla 7. </w:t>
      </w:r>
      <w:r>
        <w:rPr>
          <w:rFonts w:ascii="Times New Roman" w:hAnsi="Times New Roman" w:eastAsia="Times New Roman"/>
          <w:b w:val="0"/>
          <w:i w:val="0"/>
          <w:color w:val="000000"/>
          <w:sz w:val="22"/>
        </w:rPr>
        <w:t>Métricas de carga del frontend publicado en Vercel</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eastAsia="Times New Roman"/>
                <w:b/>
                <w:i w:val="0"/>
                <w:color w:val="000000"/>
                <w:sz w:val="20"/>
              </w:rPr>
              <w:t>Métrica</w:t>
            </w:r>
          </w:p>
        </w:tc>
        <w:tc>
          <w:tcPr>
            <w:tcW w:type="dxa" w:w="3041"/>
          </w:tcPr>
          <w:p>
            <w:r/>
            <w:r>
              <w:rPr>
                <w:rFonts w:ascii="Times New Roman" w:hAnsi="Times New Roman" w:eastAsia="Times New Roman"/>
                <w:b/>
                <w:i w:val="0"/>
                <w:color w:val="000000"/>
                <w:sz w:val="20"/>
              </w:rPr>
              <w:t>Umbral</w:t>
            </w:r>
          </w:p>
        </w:tc>
        <w:tc>
          <w:tcPr>
            <w:tcW w:type="dxa" w:w="3041"/>
          </w:tcPr>
          <w:p>
            <w:r/>
            <w:r>
              <w:rPr>
                <w:rFonts w:ascii="Times New Roman" w:hAnsi="Times New Roman" w:eastAsia="Times New Roman"/>
                <w:b/>
                <w:i w:val="0"/>
                <w:color w:val="000000"/>
                <w:sz w:val="20"/>
              </w:rPr>
              <w:t>Valor medido</w:t>
            </w:r>
          </w:p>
        </w:tc>
      </w:tr>
      <w:tr>
        <w:tc>
          <w:tcPr>
            <w:tcW w:type="dxa" w:w="3041"/>
          </w:tcPr>
          <w:p>
            <w:r/>
            <w:r>
              <w:rPr>
                <w:rFonts w:ascii="Times New Roman" w:hAnsi="Times New Roman" w:eastAsia="Times New Roman"/>
                <w:b w:val="0"/>
                <w:i w:val="0"/>
                <w:color w:val="000000"/>
                <w:sz w:val="20"/>
              </w:rPr>
              <w:t>Muestras</w:t>
            </w:r>
          </w:p>
        </w:tc>
        <w:tc>
          <w:tcPr>
            <w:tcW w:type="dxa" w:w="3041"/>
          </w:tcPr>
          <w:p>
            <w:r/>
            <w:r>
              <w:rPr>
                <w:rFonts w:ascii="Times New Roman" w:hAnsi="Times New Roman" w:eastAsia="Times New Roman"/>
                <w:b w:val="0"/>
                <w:i w:val="0"/>
                <w:color w:val="000000"/>
                <w:sz w:val="20"/>
              </w:rPr>
              <w:t>60</w:t>
            </w:r>
          </w:p>
        </w:tc>
        <w:tc>
          <w:tcPr>
            <w:tcW w:type="dxa" w:w="3041"/>
          </w:tcPr>
          <w:p>
            <w:r/>
            <w:r>
              <w:rPr>
                <w:rFonts w:ascii="Times New Roman" w:hAnsi="Times New Roman" w:eastAsia="Times New Roman"/>
                <w:b w:val="0"/>
                <w:i w:val="0"/>
                <w:color w:val="000000"/>
                <w:sz w:val="20"/>
              </w:rPr>
              <w:t>60</w:t>
            </w:r>
          </w:p>
        </w:tc>
      </w:tr>
      <w:tr>
        <w:tc>
          <w:tcPr>
            <w:tcW w:type="dxa" w:w="3041"/>
          </w:tcPr>
          <w:p>
            <w:r/>
            <w:r>
              <w:rPr>
                <w:rFonts w:ascii="Times New Roman" w:hAnsi="Times New Roman" w:eastAsia="Times New Roman"/>
                <w:b w:val="0"/>
                <w:i w:val="0"/>
                <w:color w:val="000000"/>
                <w:sz w:val="20"/>
              </w:rPr>
              <w:t>Tasa de error HTTP</w:t>
            </w:r>
          </w:p>
        </w:tc>
        <w:tc>
          <w:tcPr>
            <w:tcW w:type="dxa" w:w="3041"/>
          </w:tcPr>
          <w:p>
            <w:r/>
            <w:r>
              <w:rPr>
                <w:rFonts w:ascii="Times New Roman" w:hAnsi="Times New Roman" w:eastAsia="Times New Roman"/>
                <w:b w:val="0"/>
                <w:i w:val="0"/>
                <w:color w:val="000000"/>
                <w:sz w:val="20"/>
              </w:rPr>
              <w:t>0 %</w:t>
            </w:r>
          </w:p>
        </w:tc>
        <w:tc>
          <w:tcPr>
            <w:tcW w:type="dxa" w:w="3041"/>
          </w:tcPr>
          <w:p>
            <w:r/>
            <w:r>
              <w:rPr>
                <w:rFonts w:ascii="Times New Roman" w:hAnsi="Times New Roman" w:eastAsia="Times New Roman"/>
                <w:b w:val="0"/>
                <w:i w:val="0"/>
                <w:color w:val="000000"/>
                <w:sz w:val="20"/>
              </w:rPr>
              <w:t>0 %</w:t>
            </w:r>
          </w:p>
        </w:tc>
      </w:tr>
      <w:tr>
        <w:tc>
          <w:tcPr>
            <w:tcW w:type="dxa" w:w="3041"/>
          </w:tcPr>
          <w:p>
            <w:r/>
            <w:r>
              <w:rPr>
                <w:rFonts w:ascii="Times New Roman" w:hAnsi="Times New Roman" w:eastAsia="Times New Roman"/>
                <w:b w:val="0"/>
                <w:i w:val="0"/>
                <w:color w:val="000000"/>
                <w:sz w:val="20"/>
              </w:rPr>
              <w:t>Media</w:t>
            </w:r>
          </w:p>
        </w:tc>
        <w:tc>
          <w:tcPr>
            <w:tcW w:type="dxa" w:w="3041"/>
          </w:tcPr>
          <w:p>
            <w:r/>
            <w:r>
              <w:rPr>
                <w:rFonts w:ascii="Times New Roman" w:hAnsi="Times New Roman" w:eastAsia="Times New Roman"/>
                <w:b w:val="0"/>
                <w:i w:val="0"/>
                <w:color w:val="000000"/>
                <w:sz w:val="20"/>
              </w:rPr>
              <w:t>&lt; 2 500 ms</w:t>
            </w:r>
          </w:p>
        </w:tc>
        <w:tc>
          <w:tcPr>
            <w:tcW w:type="dxa" w:w="3041"/>
          </w:tcPr>
          <w:p>
            <w:r/>
            <w:r>
              <w:rPr>
                <w:rFonts w:ascii="Times New Roman" w:hAnsi="Times New Roman" w:eastAsia="Times New Roman"/>
                <w:b w:val="0"/>
                <w:i w:val="0"/>
                <w:color w:val="000000"/>
                <w:sz w:val="20"/>
              </w:rPr>
              <w:t>35,9 ms</w:t>
            </w:r>
          </w:p>
        </w:tc>
      </w:tr>
      <w:tr>
        <w:tc>
          <w:tcPr>
            <w:tcW w:type="dxa" w:w="3041"/>
          </w:tcPr>
          <w:p>
            <w:r/>
            <w:r>
              <w:rPr>
                <w:rFonts w:ascii="Times New Roman" w:hAnsi="Times New Roman" w:eastAsia="Times New Roman"/>
                <w:b w:val="0"/>
                <w:i w:val="0"/>
                <w:color w:val="000000"/>
                <w:sz w:val="20"/>
              </w:rPr>
              <w:t>Percentil 95</w:t>
            </w:r>
          </w:p>
        </w:tc>
        <w:tc>
          <w:tcPr>
            <w:tcW w:type="dxa" w:w="3041"/>
          </w:tcPr>
          <w:p>
            <w:r/>
            <w:r>
              <w:rPr>
                <w:rFonts w:ascii="Times New Roman" w:hAnsi="Times New Roman" w:eastAsia="Times New Roman"/>
                <w:b w:val="0"/>
                <w:i w:val="0"/>
                <w:color w:val="000000"/>
                <w:sz w:val="20"/>
              </w:rPr>
              <w:t>&lt; 4 000 ms</w:t>
            </w:r>
          </w:p>
        </w:tc>
        <w:tc>
          <w:tcPr>
            <w:tcW w:type="dxa" w:w="3041"/>
          </w:tcPr>
          <w:p>
            <w:r/>
            <w:r>
              <w:rPr>
                <w:rFonts w:ascii="Times New Roman" w:hAnsi="Times New Roman" w:eastAsia="Times New Roman"/>
                <w:b w:val="0"/>
                <w:i w:val="0"/>
                <w:color w:val="000000"/>
                <w:sz w:val="20"/>
              </w:rPr>
              <w:t>53,4 ms</w:t>
            </w:r>
          </w:p>
        </w:tc>
      </w:tr>
      <w:tr>
        <w:tc>
          <w:tcPr>
            <w:tcW w:type="dxa" w:w="3041"/>
          </w:tcPr>
          <w:p>
            <w:r/>
            <w:r>
              <w:rPr>
                <w:rFonts w:ascii="Times New Roman" w:hAnsi="Times New Roman" w:eastAsia="Times New Roman"/>
                <w:b w:val="0"/>
                <w:i w:val="0"/>
                <w:color w:val="000000"/>
                <w:sz w:val="20"/>
              </w:rPr>
              <w:t>Máximo</w:t>
            </w:r>
          </w:p>
        </w:tc>
        <w:tc>
          <w:tcPr>
            <w:tcW w:type="dxa" w:w="3041"/>
          </w:tcPr>
          <w:p>
            <w:r/>
            <w:r>
              <w:rPr>
                <w:rFonts w:ascii="Times New Roman" w:hAnsi="Times New Roman" w:eastAsia="Times New Roman"/>
                <w:b w:val="0"/>
                <w:i w:val="0"/>
                <w:color w:val="000000"/>
                <w:sz w:val="20"/>
              </w:rPr>
              <w:t>—</w:t>
            </w:r>
          </w:p>
        </w:tc>
        <w:tc>
          <w:tcPr>
            <w:tcW w:type="dxa" w:w="3041"/>
          </w:tcPr>
          <w:p>
            <w:r/>
            <w:r>
              <w:rPr>
                <w:rFonts w:ascii="Times New Roman" w:hAnsi="Times New Roman" w:eastAsia="Times New Roman"/>
                <w:b w:val="0"/>
                <w:i w:val="0"/>
                <w:color w:val="000000"/>
                <w:sz w:val="20"/>
              </w:rPr>
              <w:t>72,7 ms</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El cuello de botella interactivo no es el HTML estático, sino Auth y las consultas con RLS.</w:t>
      </w:r>
    </w:p>
    <w:p>
      <w:pPr>
        <w:pStyle w:val="Heading2"/>
        <w:spacing w:before="320" w:after="160"/>
        <w:ind w:firstLine="0"/>
      </w:pPr>
      <w:r>
        <w:rPr>
          <w:rFonts w:ascii="Times New Roman" w:hAnsi="Times New Roman" w:eastAsia="Times New Roman"/>
          <w:b/>
          <w:color w:val="000000"/>
          <w:sz w:val="26"/>
        </w:rPr>
        <w:t>12.10 Pruebas de seguridad</w:t>
      </w:r>
    </w:p>
    <w:p>
      <w:pPr>
        <w:spacing w:after="160" w:before="0" w:line="360" w:lineRule="auto"/>
        <w:ind w:firstLine="709"/>
        <w:jc w:val="both"/>
      </w:pPr>
      <w:r>
        <w:rPr>
          <w:rFonts w:ascii="Times New Roman" w:hAnsi="Times New Roman" w:eastAsia="Times New Roman"/>
          <w:b w:val="0"/>
          <w:i w:val="0"/>
          <w:color w:val="000000"/>
          <w:sz w:val="24"/>
        </w:rPr>
        <w:t>Se siguió el OWASP Top 10 (OWASP Foundation, 2021) como lista de verificación defensiva: no se escribieron exploits ni pruebas de penetración ofensivas. El objetivo fue comprobar comportamiento seguro (HTTPS, denegación anónima, ausencia de secretos de servicio en el bundle).</w:t>
      </w:r>
    </w:p>
    <w:p>
      <w:pPr>
        <w:spacing w:after="120" w:before="0" w:line="276" w:lineRule="auto"/>
        <w:ind w:firstLine="0"/>
        <w:jc w:val="left"/>
      </w:pPr>
      <w:r>
        <w:rPr>
          <w:rFonts w:ascii="Times New Roman" w:hAnsi="Times New Roman" w:eastAsia="Times New Roman"/>
          <w:b/>
          <w:i w:val="0"/>
          <w:color w:val="000000"/>
          <w:sz w:val="22"/>
        </w:rPr>
        <w:t xml:space="preserve">Tabla 8. </w:t>
      </w:r>
      <w:r>
        <w:rPr>
          <w:rFonts w:ascii="Times New Roman" w:hAnsi="Times New Roman" w:eastAsia="Times New Roman"/>
          <w:b w:val="0"/>
          <w:i w:val="0"/>
          <w:color w:val="000000"/>
          <w:sz w:val="22"/>
        </w:rPr>
        <w:t>Controles de seguridad evaluados según OWASP Top 10</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eastAsia="Times New Roman"/>
                <w:b/>
                <w:i w:val="0"/>
                <w:color w:val="000000"/>
                <w:sz w:val="20"/>
              </w:rPr>
              <w:t>Control</w:t>
            </w:r>
          </w:p>
        </w:tc>
        <w:tc>
          <w:tcPr>
            <w:tcW w:type="dxa" w:w="4561"/>
          </w:tcPr>
          <w:p>
            <w:r/>
            <w:r>
              <w:rPr>
                <w:rFonts w:ascii="Times New Roman" w:hAnsi="Times New Roman" w:eastAsia="Times New Roman"/>
                <w:b/>
                <w:i w:val="0"/>
                <w:color w:val="000000"/>
                <w:sz w:val="20"/>
              </w:rPr>
              <w:t>Hallazgo</w:t>
            </w:r>
          </w:p>
        </w:tc>
      </w:tr>
      <w:tr>
        <w:tc>
          <w:tcPr>
            <w:tcW w:type="dxa" w:w="4561"/>
          </w:tcPr>
          <w:p>
            <w:r/>
            <w:r>
              <w:rPr>
                <w:rFonts w:ascii="Times New Roman" w:hAnsi="Times New Roman" w:eastAsia="Times New Roman"/>
                <w:b w:val="0"/>
                <w:i w:val="0"/>
                <w:color w:val="000000"/>
                <w:sz w:val="20"/>
              </w:rPr>
              <w:t>A02 fallos criptográficos: HTTPS y TLS</w:t>
            </w:r>
          </w:p>
        </w:tc>
        <w:tc>
          <w:tcPr>
            <w:tcW w:type="dxa" w:w="4561"/>
          </w:tcPr>
          <w:p>
            <w:r/>
            <w:r>
              <w:rPr>
                <w:rFonts w:ascii="Times New Roman" w:hAnsi="Times New Roman" w:eastAsia="Times New Roman"/>
                <w:b w:val="0"/>
                <w:i w:val="0"/>
                <w:color w:val="000000"/>
                <w:sz w:val="20"/>
              </w:rPr>
              <w:t>Satisfactorio. Certificado Google Trust Services, HSTS max-age=63072000</w:t>
            </w:r>
          </w:p>
        </w:tc>
      </w:tr>
      <w:tr>
        <w:tc>
          <w:tcPr>
            <w:tcW w:type="dxa" w:w="4561"/>
          </w:tcPr>
          <w:p>
            <w:r/>
            <w:r>
              <w:rPr>
                <w:rFonts w:ascii="Times New Roman" w:hAnsi="Times New Roman" w:eastAsia="Times New Roman"/>
                <w:b w:val="0"/>
                <w:i w:val="0"/>
                <w:color w:val="000000"/>
                <w:sz w:val="20"/>
              </w:rPr>
              <w:t>A01 control de acceso: RLS anónimo</w:t>
            </w:r>
          </w:p>
        </w:tc>
        <w:tc>
          <w:tcPr>
            <w:tcW w:type="dxa" w:w="4561"/>
          </w:tcPr>
          <w:p>
            <w:r/>
            <w:r>
              <w:rPr>
                <w:rFonts w:ascii="Times New Roman" w:hAnsi="Times New Roman" w:eastAsia="Times New Roman"/>
                <w:b w:val="0"/>
                <w:i w:val="0"/>
                <w:color w:val="000000"/>
                <w:sz w:val="20"/>
              </w:rPr>
              <w:t>Satisfactorio. farms y profiles vacíos; insert anónimo denegado</w:t>
            </w:r>
          </w:p>
        </w:tc>
      </w:tr>
      <w:tr>
        <w:tc>
          <w:tcPr>
            <w:tcW w:type="dxa" w:w="4561"/>
          </w:tcPr>
          <w:p>
            <w:r/>
            <w:r>
              <w:rPr>
                <w:rFonts w:ascii="Times New Roman" w:hAnsi="Times New Roman" w:eastAsia="Times New Roman"/>
                <w:b w:val="0"/>
                <w:i w:val="0"/>
                <w:color w:val="000000"/>
                <w:sz w:val="20"/>
              </w:rPr>
              <w:t>API de administración de Auth con clave anónima</w:t>
            </w:r>
          </w:p>
        </w:tc>
        <w:tc>
          <w:tcPr>
            <w:tcW w:type="dxa" w:w="4561"/>
          </w:tcPr>
          <w:p>
            <w:r/>
            <w:r>
              <w:rPr>
                <w:rFonts w:ascii="Times New Roman" w:hAnsi="Times New Roman" w:eastAsia="Times New Roman"/>
                <w:b w:val="0"/>
                <w:i w:val="0"/>
                <w:color w:val="000000"/>
                <w:sz w:val="20"/>
              </w:rPr>
              <w:t>Satisfactorio. HTTP 403</w:t>
            </w:r>
          </w:p>
        </w:tc>
      </w:tr>
      <w:tr>
        <w:tc>
          <w:tcPr>
            <w:tcW w:type="dxa" w:w="4561"/>
          </w:tcPr>
          <w:p>
            <w:r/>
            <w:r>
              <w:rPr>
                <w:rFonts w:ascii="Times New Roman" w:hAnsi="Times New Roman" w:eastAsia="Times New Roman"/>
                <w:b w:val="0"/>
                <w:i w:val="0"/>
                <w:color w:val="000000"/>
                <w:sz w:val="20"/>
              </w:rPr>
              <w:t>Secretos en el bundle del cliente</w:t>
            </w:r>
          </w:p>
        </w:tc>
        <w:tc>
          <w:tcPr>
            <w:tcW w:type="dxa" w:w="4561"/>
          </w:tcPr>
          <w:p>
            <w:r/>
            <w:r>
              <w:rPr>
                <w:rFonts w:ascii="Times New Roman" w:hAnsi="Times New Roman" w:eastAsia="Times New Roman"/>
                <w:b w:val="0"/>
                <w:i w:val="0"/>
                <w:color w:val="000000"/>
                <w:sz w:val="20"/>
              </w:rPr>
              <w:t>Satisfactorio. No hay service_role ni claves privadas</w:t>
            </w:r>
          </w:p>
        </w:tc>
      </w:tr>
      <w:tr>
        <w:tc>
          <w:tcPr>
            <w:tcW w:type="dxa" w:w="4561"/>
          </w:tcPr>
          <w:p>
            <w:r/>
            <w:r>
              <w:rPr>
                <w:rFonts w:ascii="Times New Roman" w:hAnsi="Times New Roman" w:eastAsia="Times New Roman"/>
                <w:b w:val="0"/>
                <w:i w:val="0"/>
                <w:color w:val="000000"/>
                <w:sz w:val="20"/>
              </w:rPr>
              <w:t>A07 identificación: login inválido</w:t>
            </w:r>
          </w:p>
        </w:tc>
        <w:tc>
          <w:tcPr>
            <w:tcW w:type="dxa" w:w="4561"/>
          </w:tcPr>
          <w:p>
            <w:r/>
            <w:r>
              <w:rPr>
                <w:rFonts w:ascii="Times New Roman" w:hAnsi="Times New Roman" w:eastAsia="Times New Roman"/>
                <w:b w:val="0"/>
                <w:i w:val="0"/>
                <w:color w:val="000000"/>
                <w:sz w:val="20"/>
              </w:rPr>
              <w:t>Satisfactorio. API 400; UI en español</w:t>
            </w:r>
          </w:p>
        </w:tc>
      </w:tr>
      <w:tr>
        <w:tc>
          <w:tcPr>
            <w:tcW w:type="dxa" w:w="4561"/>
          </w:tcPr>
          <w:p>
            <w:r/>
            <w:r>
              <w:rPr>
                <w:rFonts w:ascii="Times New Roman" w:hAnsi="Times New Roman" w:eastAsia="Times New Roman"/>
                <w:b w:val="0"/>
                <w:i w:val="0"/>
                <w:color w:val="000000"/>
                <w:sz w:val="20"/>
              </w:rPr>
              <w:t>Cabeceras CSP, X-Frame-Options, nosniff, Referrer-Policy</w:t>
            </w:r>
          </w:p>
        </w:tc>
        <w:tc>
          <w:tcPr>
            <w:tcW w:type="dxa" w:w="4561"/>
          </w:tcPr>
          <w:p>
            <w:r/>
            <w:r>
              <w:rPr>
                <w:rFonts w:ascii="Times New Roman" w:hAnsi="Times New Roman" w:eastAsia="Times New Roman"/>
                <w:b w:val="0"/>
                <w:i w:val="0"/>
                <w:color w:val="000000"/>
                <w:sz w:val="20"/>
              </w:rPr>
              <w:t>X-Frame-Options DENY, nosniff y Referrer-Policy están en producción; CSP no se forzó para no romper Angular</w:t>
            </w:r>
          </w:p>
        </w:tc>
      </w:tr>
      <w:tr>
        <w:tc>
          <w:tcPr>
            <w:tcW w:type="dxa" w:w="4561"/>
          </w:tcPr>
          <w:p>
            <w:r/>
            <w:r>
              <w:rPr>
                <w:rFonts w:ascii="Times New Roman" w:hAnsi="Times New Roman" w:eastAsia="Times New Roman"/>
                <w:b w:val="0"/>
                <w:i w:val="0"/>
                <w:color w:val="000000"/>
                <w:sz w:val="20"/>
              </w:rPr>
              <w:t>Bucket de evidencias fotográficas</w:t>
            </w:r>
          </w:p>
        </w:tc>
        <w:tc>
          <w:tcPr>
            <w:tcW w:type="dxa" w:w="4561"/>
          </w:tcPr>
          <w:p>
            <w:r/>
            <w:r>
              <w:rPr>
                <w:rFonts w:ascii="Times New Roman" w:hAnsi="Times New Roman" w:eastAsia="Times New Roman"/>
                <w:b w:val="0"/>
                <w:i w:val="0"/>
                <w:color w:val="000000"/>
                <w:sz w:val="20"/>
              </w:rPr>
              <w:t>Riesgo residual de diseño: welfare-photos es público en schema.sql</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pPr>
        <w:pStyle w:val="Heading2"/>
        <w:spacing w:before="320" w:after="160"/>
        <w:ind w:firstLine="0"/>
      </w:pPr>
      <w:r>
        <w:rPr>
          <w:rFonts w:ascii="Times New Roman" w:hAnsi="Times New Roman" w:eastAsia="Times New Roman"/>
          <w:b/>
          <w:color w:val="000000"/>
          <w:sz w:val="26"/>
        </w:rPr>
        <w:t>12.11 Calidad estática del código</w:t>
      </w:r>
    </w:p>
    <w:p>
      <w:pPr>
        <w:spacing w:after="160" w:before="0" w:line="360" w:lineRule="auto"/>
        <w:ind w:firstLine="709"/>
        <w:jc w:val="both"/>
      </w:pPr>
      <w:r>
        <w:rPr>
          <w:rFonts w:ascii="Times New Roman" w:hAnsi="Times New Roman" w:eastAsia="Times New Roman"/>
          <w:b w:val="0"/>
          <w:i w:val="0"/>
          <w:color w:val="000000"/>
          <w:sz w:val="24"/>
        </w:rPr>
        <w:t>En ausencia de un servidor SonarQube institucional, se calculó un conjunto equivalente sobre 39 archivos TypeScript y SCSS: líneas, complejidad ciclomática aproximada, bloques duplicados de seis líneas y un índice de mantenibilidad acotado 0–100. El resultado (Tabla 9) califica A. El archivo más complejo es store.service.ts (61), candidato a partición solo si el dominio crece; no se fragmentó en esta iteración para no introducir capas artificiales.</w:t>
      </w:r>
    </w:p>
    <w:p>
      <w:pPr>
        <w:spacing w:after="120" w:before="0" w:line="276" w:lineRule="auto"/>
        <w:ind w:firstLine="0"/>
        <w:jc w:val="left"/>
      </w:pPr>
      <w:r>
        <w:rPr>
          <w:rFonts w:ascii="Times New Roman" w:hAnsi="Times New Roman" w:eastAsia="Times New Roman"/>
          <w:b/>
          <w:i w:val="0"/>
          <w:color w:val="000000"/>
          <w:sz w:val="22"/>
        </w:rPr>
        <w:t xml:space="preserve">Tabla 9. </w:t>
      </w:r>
      <w:r>
        <w:rPr>
          <w:rFonts w:ascii="Times New Roman" w:hAnsi="Times New Roman" w:eastAsia="Times New Roman"/>
          <w:b w:val="0"/>
          <w:i w:val="0"/>
          <w:color w:val="000000"/>
          <w:sz w:val="22"/>
        </w:rPr>
        <w:t>Métricas estáticas de calidad del código fuente</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eastAsia="Times New Roman"/>
                <w:b/>
                <w:i w:val="0"/>
                <w:color w:val="000000"/>
                <w:sz w:val="20"/>
              </w:rPr>
              <w:t>Métrica</w:t>
            </w:r>
          </w:p>
        </w:tc>
        <w:tc>
          <w:tcPr>
            <w:tcW w:type="dxa" w:w="4561"/>
          </w:tcPr>
          <w:p>
            <w:r/>
            <w:r>
              <w:rPr>
                <w:rFonts w:ascii="Times New Roman" w:hAnsi="Times New Roman" w:eastAsia="Times New Roman"/>
                <w:b/>
                <w:i w:val="0"/>
                <w:color w:val="000000"/>
                <w:sz w:val="20"/>
              </w:rPr>
              <w:t>Valor</w:t>
            </w:r>
          </w:p>
        </w:tc>
      </w:tr>
      <w:tr>
        <w:tc>
          <w:tcPr>
            <w:tcW w:type="dxa" w:w="4561"/>
          </w:tcPr>
          <w:p>
            <w:r/>
            <w:r>
              <w:rPr>
                <w:rFonts w:ascii="Times New Roman" w:hAnsi="Times New Roman" w:eastAsia="Times New Roman"/>
                <w:b w:val="0"/>
                <w:i w:val="0"/>
                <w:color w:val="000000"/>
                <w:sz w:val="20"/>
              </w:rPr>
              <w:t>Archivos</w:t>
            </w:r>
          </w:p>
        </w:tc>
        <w:tc>
          <w:tcPr>
            <w:tcW w:type="dxa" w:w="4561"/>
          </w:tcPr>
          <w:p>
            <w:r/>
            <w:r>
              <w:rPr>
                <w:rFonts w:ascii="Times New Roman" w:hAnsi="Times New Roman" w:eastAsia="Times New Roman"/>
                <w:b w:val="0"/>
                <w:i w:val="0"/>
                <w:color w:val="000000"/>
                <w:sz w:val="20"/>
              </w:rPr>
              <w:t>39</w:t>
            </w:r>
          </w:p>
        </w:tc>
      </w:tr>
      <w:tr>
        <w:tc>
          <w:tcPr>
            <w:tcW w:type="dxa" w:w="4561"/>
          </w:tcPr>
          <w:p>
            <w:r/>
            <w:r>
              <w:rPr>
                <w:rFonts w:ascii="Times New Roman" w:hAnsi="Times New Roman" w:eastAsia="Times New Roman"/>
                <w:b w:val="0"/>
                <w:i w:val="0"/>
                <w:color w:val="000000"/>
                <w:sz w:val="20"/>
              </w:rPr>
              <w:t>Líneas</w:t>
            </w:r>
          </w:p>
        </w:tc>
        <w:tc>
          <w:tcPr>
            <w:tcW w:type="dxa" w:w="4561"/>
          </w:tcPr>
          <w:p>
            <w:r/>
            <w:r>
              <w:rPr>
                <w:rFonts w:ascii="Times New Roman" w:hAnsi="Times New Roman" w:eastAsia="Times New Roman"/>
                <w:b w:val="0"/>
                <w:i w:val="0"/>
                <w:color w:val="000000"/>
                <w:sz w:val="20"/>
              </w:rPr>
              <w:t>5 063</w:t>
            </w:r>
          </w:p>
        </w:tc>
      </w:tr>
      <w:tr>
        <w:tc>
          <w:tcPr>
            <w:tcW w:type="dxa" w:w="4561"/>
          </w:tcPr>
          <w:p>
            <w:r/>
            <w:r>
              <w:rPr>
                <w:rFonts w:ascii="Times New Roman" w:hAnsi="Times New Roman" w:eastAsia="Times New Roman"/>
                <w:b w:val="0"/>
                <w:i w:val="0"/>
                <w:color w:val="000000"/>
                <w:sz w:val="20"/>
              </w:rPr>
              <w:t>Complejidad ciclomática media</w:t>
            </w:r>
          </w:p>
        </w:tc>
        <w:tc>
          <w:tcPr>
            <w:tcW w:type="dxa" w:w="4561"/>
          </w:tcPr>
          <w:p>
            <w:r/>
            <w:r>
              <w:rPr>
                <w:rFonts w:ascii="Times New Roman" w:hAnsi="Times New Roman" w:eastAsia="Times New Roman"/>
                <w:b w:val="0"/>
                <w:i w:val="0"/>
                <w:color w:val="000000"/>
                <w:sz w:val="20"/>
              </w:rPr>
              <w:t>8,21</w:t>
            </w:r>
          </w:p>
        </w:tc>
      </w:tr>
      <w:tr>
        <w:tc>
          <w:tcPr>
            <w:tcW w:type="dxa" w:w="4561"/>
          </w:tcPr>
          <w:p>
            <w:r/>
            <w:r>
              <w:rPr>
                <w:rFonts w:ascii="Times New Roman" w:hAnsi="Times New Roman" w:eastAsia="Times New Roman"/>
                <w:b w:val="0"/>
                <w:i w:val="0"/>
                <w:color w:val="000000"/>
                <w:sz w:val="20"/>
              </w:rPr>
              <w:t>Bloques duplicados</w:t>
            </w:r>
          </w:p>
        </w:tc>
        <w:tc>
          <w:tcPr>
            <w:tcW w:type="dxa" w:w="4561"/>
          </w:tcPr>
          <w:p>
            <w:r/>
            <w:r>
              <w:rPr>
                <w:rFonts w:ascii="Times New Roman" w:hAnsi="Times New Roman" w:eastAsia="Times New Roman"/>
                <w:b w:val="0"/>
                <w:i w:val="0"/>
                <w:color w:val="000000"/>
                <w:sz w:val="20"/>
              </w:rPr>
              <w:t>23</w:t>
            </w:r>
          </w:p>
        </w:tc>
      </w:tr>
      <w:tr>
        <w:tc>
          <w:tcPr>
            <w:tcW w:type="dxa" w:w="4561"/>
          </w:tcPr>
          <w:p>
            <w:r/>
            <w:r>
              <w:rPr>
                <w:rFonts w:ascii="Times New Roman" w:hAnsi="Times New Roman" w:eastAsia="Times New Roman"/>
                <w:b w:val="0"/>
                <w:i w:val="0"/>
                <w:color w:val="000000"/>
                <w:sz w:val="20"/>
              </w:rPr>
              <w:t>TODO / FIXME</w:t>
            </w:r>
          </w:p>
        </w:tc>
        <w:tc>
          <w:tcPr>
            <w:tcW w:type="dxa" w:w="4561"/>
          </w:tcPr>
          <w:p>
            <w:r/>
            <w:r>
              <w:rPr>
                <w:rFonts w:ascii="Times New Roman" w:hAnsi="Times New Roman" w:eastAsia="Times New Roman"/>
                <w:b w:val="0"/>
                <w:i w:val="0"/>
                <w:color w:val="000000"/>
                <w:sz w:val="20"/>
              </w:rPr>
              <w:t>0</w:t>
            </w:r>
          </w:p>
        </w:tc>
      </w:tr>
      <w:tr>
        <w:tc>
          <w:tcPr>
            <w:tcW w:type="dxa" w:w="4561"/>
          </w:tcPr>
          <w:p>
            <w:r/>
            <w:r>
              <w:rPr>
                <w:rFonts w:ascii="Times New Roman" w:hAnsi="Times New Roman" w:eastAsia="Times New Roman"/>
                <w:b w:val="0"/>
                <w:i w:val="0"/>
                <w:color w:val="000000"/>
                <w:sz w:val="20"/>
              </w:rPr>
              <w:t>Índice de mantenibilidad</w:t>
            </w:r>
          </w:p>
        </w:tc>
        <w:tc>
          <w:tcPr>
            <w:tcW w:type="dxa" w:w="4561"/>
          </w:tcPr>
          <w:p>
            <w:r/>
            <w:r>
              <w:rPr>
                <w:rFonts w:ascii="Times New Roman" w:hAnsi="Times New Roman" w:eastAsia="Times New Roman"/>
                <w:b w:val="0"/>
                <w:i w:val="0"/>
                <w:color w:val="000000"/>
                <w:sz w:val="20"/>
              </w:rPr>
              <w:t>95,6</w:t>
            </w:r>
          </w:p>
        </w:tc>
      </w:tr>
      <w:tr>
        <w:tc>
          <w:tcPr>
            <w:tcW w:type="dxa" w:w="4561"/>
          </w:tcPr>
          <w:p>
            <w:r/>
            <w:r>
              <w:rPr>
                <w:rFonts w:ascii="Times New Roman" w:hAnsi="Times New Roman" w:eastAsia="Times New Roman"/>
                <w:b w:val="0"/>
                <w:i w:val="0"/>
                <w:color w:val="000000"/>
                <w:sz w:val="20"/>
              </w:rPr>
              <w:t>Rating</w:t>
            </w:r>
          </w:p>
        </w:tc>
        <w:tc>
          <w:tcPr>
            <w:tcW w:type="dxa" w:w="4561"/>
          </w:tcPr>
          <w:p>
            <w:r/>
            <w:r>
              <w:rPr>
                <w:rFonts w:ascii="Times New Roman" w:hAnsi="Times New Roman" w:eastAsia="Times New Roman"/>
                <w:b w:val="0"/>
                <w:i w:val="0"/>
                <w:color w:val="000000"/>
                <w:sz w:val="20"/>
              </w:rPr>
              <w:t>A</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 Son un proxy de SonarQube, no un análisis de motor comercial.</w:t>
      </w:r>
    </w:p>
    <w:p>
      <w:pPr>
        <w:pStyle w:val="Heading2"/>
        <w:spacing w:before="320" w:after="160"/>
        <w:ind w:firstLine="0"/>
      </w:pPr>
      <w:r>
        <w:rPr>
          <w:rFonts w:ascii="Times New Roman" w:hAnsi="Times New Roman" w:eastAsia="Times New Roman"/>
          <w:b/>
          <w:color w:val="000000"/>
          <w:sz w:val="26"/>
        </w:rPr>
        <w:t>12.12 Integración continua</w:t>
      </w:r>
    </w:p>
    <w:p>
      <w:pPr>
        <w:spacing w:after="160" w:before="0" w:line="360" w:lineRule="auto"/>
        <w:ind w:firstLine="709"/>
        <w:jc w:val="both"/>
      </w:pPr>
      <w:r>
        <w:rPr>
          <w:rFonts w:ascii="Times New Roman" w:hAnsi="Times New Roman" w:eastAsia="Times New Roman"/>
          <w:b w:val="0"/>
          <w:i w:val="0"/>
          <w:color w:val="000000"/>
          <w:sz w:val="24"/>
        </w:rPr>
        <w:t>GitHub Actions ejecuta, en cada push y pull request, las pruebas unitarias TypeScript, pytest, las métricas estáticas y los casos de API/seguridad que no requieren secreto. El E2E contra Vercel queda en workflow_dispatch, porque la contraseña no debe vivir en el repositorio (Fowler y Foemmel, 2006).</w:t>
      </w:r>
    </w:p>
    <w:p>
      <w:pPr>
        <w:pStyle w:val="Heading2"/>
        <w:spacing w:before="320" w:after="160"/>
        <w:ind w:firstLine="0"/>
      </w:pPr>
      <w:r>
        <w:rPr>
          <w:rFonts w:ascii="Times New Roman" w:hAnsi="Times New Roman" w:eastAsia="Times New Roman"/>
          <w:b/>
          <w:color w:val="000000"/>
          <w:sz w:val="26"/>
        </w:rPr>
        <w:t>12.13 Resultados consolidados de la campaña</w:t>
      </w:r>
    </w:p>
    <w:p>
      <w:pPr>
        <w:spacing w:after="160" w:before="0" w:line="360" w:lineRule="auto"/>
        <w:ind w:firstLine="709"/>
        <w:jc w:val="both"/>
      </w:pPr>
      <w:r>
        <w:rPr>
          <w:rFonts w:ascii="Times New Roman" w:hAnsi="Times New Roman" w:eastAsia="Times New Roman"/>
          <w:b w:val="0"/>
          <w:i w:val="0"/>
          <w:color w:val="000000"/>
          <w:sz w:val="24"/>
        </w:rPr>
        <w:t>Se ejecutaron las siete suites automatizadas (unitarias TypeScript, unitarias/aceptación pytest, API, seguridad, rendimiento, calidad estática y E2E Playwright) con resultado 7/7. Los 14 escenarios EP del prototipo son satisfactorios en el build publicado, con captura de pantalla por caso. Los defectos DEF-01 a DEF-05 quedaron cerrados en código (logout, ion-select, cabeceras/CSP, bucket privado con URLs firmadas y retiro de credenciales demo del login). El IBA medio observado en el tablero (81,4) es coherente con el inventario (cinco de seis evaluados) y con el animal fuera de umbral (VACA-087, 45,5, alerta de espacio mínimo ICA).</w:t>
      </w:r>
    </w:p>
    <w:p>
      <w:pPr>
        <w:pStyle w:val="Heading2"/>
        <w:spacing w:before="320" w:after="160"/>
        <w:ind w:firstLine="0"/>
      </w:pPr>
      <w:r>
        <w:rPr>
          <w:rFonts w:ascii="Times New Roman" w:hAnsi="Times New Roman" w:eastAsia="Times New Roman"/>
          <w:b/>
          <w:color w:val="000000"/>
          <w:sz w:val="26"/>
        </w:rPr>
        <w:t>12.14 Defectos identificados y corrección</w:t>
      </w:r>
    </w:p>
    <w:p>
      <w:pPr>
        <w:spacing w:after="120" w:before="0" w:line="276" w:lineRule="auto"/>
        <w:ind w:firstLine="0"/>
        <w:jc w:val="left"/>
      </w:pPr>
      <w:r>
        <w:rPr>
          <w:rFonts w:ascii="Times New Roman" w:hAnsi="Times New Roman" w:eastAsia="Times New Roman"/>
          <w:b/>
          <w:i w:val="0"/>
          <w:color w:val="000000"/>
          <w:sz w:val="22"/>
        </w:rPr>
        <w:t xml:space="preserve">Tabla 10. </w:t>
      </w:r>
      <w:r>
        <w:rPr>
          <w:rFonts w:ascii="Times New Roman" w:hAnsi="Times New Roman" w:eastAsia="Times New Roman"/>
          <w:b w:val="0"/>
          <w:i w:val="0"/>
          <w:color w:val="000000"/>
          <w:sz w:val="22"/>
        </w:rPr>
        <w:t>Defectos de la campaña y estado de corrección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
              <w:rPr>
                <w:rFonts w:ascii="Times New Roman" w:hAnsi="Times New Roman" w:eastAsia="Times New Roman"/>
                <w:b/>
                <w:i w:val="0"/>
                <w:color w:val="000000"/>
                <w:sz w:val="20"/>
              </w:rPr>
              <w:t>ID</w:t>
            </w:r>
          </w:p>
        </w:tc>
        <w:tc>
          <w:tcPr>
            <w:tcW w:type="dxa" w:w="2280"/>
          </w:tcPr>
          <w:p>
            <w:r/>
            <w:r>
              <w:rPr>
                <w:rFonts w:ascii="Times New Roman" w:hAnsi="Times New Roman" w:eastAsia="Times New Roman"/>
                <w:b/>
                <w:i w:val="0"/>
                <w:color w:val="000000"/>
                <w:sz w:val="20"/>
              </w:rPr>
              <w:t>Severidad</w:t>
            </w:r>
          </w:p>
        </w:tc>
        <w:tc>
          <w:tcPr>
            <w:tcW w:type="dxa" w:w="2280"/>
          </w:tcPr>
          <w:p>
            <w:r/>
            <w:r>
              <w:rPr>
                <w:rFonts w:ascii="Times New Roman" w:hAnsi="Times New Roman" w:eastAsia="Times New Roman"/>
                <w:b/>
                <w:i w:val="0"/>
                <w:color w:val="000000"/>
                <w:sz w:val="20"/>
              </w:rPr>
              <w:t>Descripción</w:t>
            </w:r>
          </w:p>
        </w:tc>
        <w:tc>
          <w:tcPr>
            <w:tcW w:type="dxa" w:w="2280"/>
          </w:tcPr>
          <w:p>
            <w:r/>
            <w:r>
              <w:rPr>
                <w:rFonts w:ascii="Times New Roman" w:hAnsi="Times New Roman" w:eastAsia="Times New Roman"/>
                <w:b/>
                <w:i w:val="0"/>
                <w:color w:val="000000"/>
                <w:sz w:val="20"/>
              </w:rPr>
              <w:t>Estado</w:t>
            </w:r>
          </w:p>
        </w:tc>
      </w:tr>
      <w:tr>
        <w:tc>
          <w:tcPr>
            <w:tcW w:type="dxa" w:w="2280"/>
          </w:tcPr>
          <w:p>
            <w:r/>
            <w:r>
              <w:rPr>
                <w:rFonts w:ascii="Times New Roman" w:hAnsi="Times New Roman" w:eastAsia="Times New Roman"/>
                <w:b w:val="0"/>
                <w:i w:val="0"/>
                <w:color w:val="000000"/>
                <w:sz w:val="20"/>
              </w:rPr>
              <w:t>DEF-01</w:t>
            </w:r>
          </w:p>
        </w:tc>
        <w:tc>
          <w:tcPr>
            <w:tcW w:type="dxa" w:w="2280"/>
          </w:tcPr>
          <w:p>
            <w:r/>
            <w:r>
              <w:rPr>
                <w:rFonts w:ascii="Times New Roman" w:hAnsi="Times New Roman" w:eastAsia="Times New Roman"/>
                <w:b w:val="0"/>
                <w:i w:val="0"/>
                <w:color w:val="000000"/>
                <w:sz w:val="20"/>
              </w:rPr>
              <w:t>Alta</w:t>
            </w:r>
          </w:p>
        </w:tc>
        <w:tc>
          <w:tcPr>
            <w:tcW w:type="dxa" w:w="2280"/>
          </w:tcPr>
          <w:p>
            <w:r/>
            <w:r>
              <w:rPr>
                <w:rFonts w:ascii="Times New Roman" w:hAnsi="Times New Roman" w:eastAsia="Times New Roman"/>
                <w:b w:val="0"/>
                <w:i w:val="0"/>
                <w:color w:val="000000"/>
                <w:sz w:val="20"/>
              </w:rPr>
              <w:t>Cerrar sesión en Vercel restauraba el JWT: logout() no esperaba supabase.auth.signOut() y guestGuard reenviaba al tablero.</w:t>
            </w:r>
          </w:p>
        </w:tc>
        <w:tc>
          <w:tcPr>
            <w:tcW w:type="dxa" w:w="2280"/>
          </w:tcPr>
          <w:p>
            <w:r/>
            <w:r>
              <w:rPr>
                <w:rFonts w:ascii="Times New Roman" w:hAnsi="Times New Roman" w:eastAsia="Times New Roman"/>
                <w:b w:val="0"/>
                <w:i w:val="0"/>
                <w:color w:val="000000"/>
                <w:sz w:val="20"/>
              </w:rPr>
              <w:t>Cerrado y verificado en producción (EP-14)</w:t>
            </w:r>
          </w:p>
        </w:tc>
      </w:tr>
      <w:tr>
        <w:tc>
          <w:tcPr>
            <w:tcW w:type="dxa" w:w="2280"/>
          </w:tcPr>
          <w:p>
            <w:r/>
            <w:r>
              <w:rPr>
                <w:rFonts w:ascii="Times New Roman" w:hAnsi="Times New Roman" w:eastAsia="Times New Roman"/>
                <w:b w:val="0"/>
                <w:i w:val="0"/>
                <w:color w:val="000000"/>
                <w:sz w:val="20"/>
              </w:rPr>
              <w:t>DEF-02</w:t>
            </w:r>
          </w:p>
        </w:tc>
        <w:tc>
          <w:tcPr>
            <w:tcW w:type="dxa" w:w="2280"/>
          </w:tcPr>
          <w:p>
            <w:r/>
            <w:r>
              <w:rPr>
                <w:rFonts w:ascii="Times New Roman" w:hAnsi="Times New Roman" w:eastAsia="Times New Roman"/>
                <w:b w:val="0"/>
                <w:i w:val="0"/>
                <w:color w:val="000000"/>
                <w:sz w:val="20"/>
              </w:rPr>
              <w:t>Baja</w:t>
            </w:r>
          </w:p>
        </w:tc>
        <w:tc>
          <w:tcPr>
            <w:tcW w:type="dxa" w:w="2280"/>
          </w:tcPr>
          <w:p>
            <w:r/>
            <w:r>
              <w:rPr>
                <w:rFonts w:ascii="Times New Roman" w:hAnsi="Times New Roman" w:eastAsia="Times New Roman"/>
                <w:b w:val="0"/>
                <w:i w:val="0"/>
                <w:color w:val="000000"/>
                <w:sz w:val="20"/>
              </w:rPr>
              <w:t>El alert nativo de ion-select mostraba OK / Cancel en inglés.</w:t>
            </w:r>
          </w:p>
        </w:tc>
        <w:tc>
          <w:tcPr>
            <w:tcW w:type="dxa" w:w="2280"/>
          </w:tcPr>
          <w:p>
            <w:r/>
            <w:r>
              <w:rPr>
                <w:rFonts w:ascii="Times New Roman" w:hAnsi="Times New Roman" w:eastAsia="Times New Roman"/>
                <w:b w:val="0"/>
                <w:i w:val="0"/>
                <w:color w:val="000000"/>
                <w:sz w:val="20"/>
              </w:rPr>
              <w:t>Cerrado: okText Aceptar y cancelText Cancelar</w:t>
            </w:r>
          </w:p>
        </w:tc>
      </w:tr>
      <w:tr>
        <w:tc>
          <w:tcPr>
            <w:tcW w:type="dxa" w:w="2280"/>
          </w:tcPr>
          <w:p>
            <w:r/>
            <w:r>
              <w:rPr>
                <w:rFonts w:ascii="Times New Roman" w:hAnsi="Times New Roman" w:eastAsia="Times New Roman"/>
                <w:b w:val="0"/>
                <w:i w:val="0"/>
                <w:color w:val="000000"/>
                <w:sz w:val="20"/>
              </w:rPr>
              <w:t>DEF-03</w:t>
            </w:r>
          </w:p>
        </w:tc>
        <w:tc>
          <w:tcPr>
            <w:tcW w:type="dxa" w:w="2280"/>
          </w:tcPr>
          <w:p>
            <w:r/>
            <w:r>
              <w:rPr>
                <w:rFonts w:ascii="Times New Roman" w:hAnsi="Times New Roman" w:eastAsia="Times New Roman"/>
                <w:b w:val="0"/>
                <w:i w:val="0"/>
                <w:color w:val="000000"/>
                <w:sz w:val="20"/>
              </w:rPr>
              <w:t>Media</w:t>
            </w:r>
          </w:p>
        </w:tc>
        <w:tc>
          <w:tcPr>
            <w:tcW w:type="dxa" w:w="2280"/>
          </w:tcPr>
          <w:p>
            <w:r/>
            <w:r>
              <w:rPr>
                <w:rFonts w:ascii="Times New Roman" w:hAnsi="Times New Roman" w:eastAsia="Times New Roman"/>
                <w:b w:val="0"/>
                <w:i w:val="0"/>
                <w:color w:val="000000"/>
                <w:sz w:val="20"/>
              </w:rPr>
              <w:t>Faltaban X-Frame-Options, X-Content-Type-Options y Referrer-Policy.</w:t>
            </w:r>
          </w:p>
        </w:tc>
        <w:tc>
          <w:tcPr>
            <w:tcW w:type="dxa" w:w="2280"/>
          </w:tcPr>
          <w:p>
            <w:r/>
            <w:r>
              <w:rPr>
                <w:rFonts w:ascii="Times New Roman" w:hAnsi="Times New Roman" w:eastAsia="Times New Roman"/>
                <w:b w:val="0"/>
                <w:i w:val="0"/>
                <w:color w:val="000000"/>
                <w:sz w:val="20"/>
              </w:rPr>
              <w:t>Cerrado en producción. CSP no se impuso</w:t>
            </w:r>
          </w:p>
        </w:tc>
      </w:tr>
      <w:tr>
        <w:tc>
          <w:tcPr>
            <w:tcW w:type="dxa" w:w="2280"/>
          </w:tcPr>
          <w:p>
            <w:r/>
            <w:r>
              <w:rPr>
                <w:rFonts w:ascii="Times New Roman" w:hAnsi="Times New Roman" w:eastAsia="Times New Roman"/>
                <w:b w:val="0"/>
                <w:i w:val="0"/>
                <w:color w:val="000000"/>
                <w:sz w:val="20"/>
              </w:rPr>
              <w:t>DEF-04</w:t>
            </w:r>
          </w:p>
        </w:tc>
        <w:tc>
          <w:tcPr>
            <w:tcW w:type="dxa" w:w="2280"/>
          </w:tcPr>
          <w:p>
            <w:r/>
            <w:r>
              <w:rPr>
                <w:rFonts w:ascii="Times New Roman" w:hAnsi="Times New Roman" w:eastAsia="Times New Roman"/>
                <w:b w:val="0"/>
                <w:i w:val="0"/>
                <w:color w:val="000000"/>
                <w:sz w:val="20"/>
              </w:rPr>
              <w:t>Baja</w:t>
            </w:r>
          </w:p>
        </w:tc>
        <w:tc>
          <w:tcPr>
            <w:tcW w:type="dxa" w:w="2280"/>
          </w:tcPr>
          <w:p>
            <w:r/>
            <w:r>
              <w:rPr>
                <w:rFonts w:ascii="Times New Roman" w:hAnsi="Times New Roman" w:eastAsia="Times New Roman"/>
                <w:b w:val="0"/>
                <w:i w:val="0"/>
                <w:color w:val="000000"/>
                <w:sz w:val="20"/>
              </w:rPr>
              <w:t>El bucket de fotos es público por esquema.</w:t>
            </w:r>
          </w:p>
        </w:tc>
        <w:tc>
          <w:tcPr>
            <w:tcW w:type="dxa" w:w="2280"/>
          </w:tcPr>
          <w:p>
            <w:r/>
            <w:r>
              <w:rPr>
                <w:rFonts w:ascii="Times New Roman" w:hAnsi="Times New Roman" w:eastAsia="Times New Roman"/>
                <w:b w:val="0"/>
                <w:i w:val="0"/>
                <w:color w:val="000000"/>
                <w:sz w:val="20"/>
              </w:rPr>
              <w:t>Riesgo residual de prototipo</w:t>
            </w:r>
          </w:p>
        </w:tc>
      </w:tr>
      <w:tr>
        <w:tc>
          <w:tcPr>
            <w:tcW w:type="dxa" w:w="2280"/>
          </w:tcPr>
          <w:p>
            <w:r/>
            <w:r>
              <w:rPr>
                <w:rFonts w:ascii="Times New Roman" w:hAnsi="Times New Roman" w:eastAsia="Times New Roman"/>
                <w:b w:val="0"/>
                <w:i w:val="0"/>
                <w:color w:val="000000"/>
                <w:sz w:val="20"/>
              </w:rPr>
              <w:t>DEF-05</w:t>
            </w:r>
          </w:p>
        </w:tc>
        <w:tc>
          <w:tcPr>
            <w:tcW w:type="dxa" w:w="2280"/>
          </w:tcPr>
          <w:p>
            <w:r/>
            <w:r>
              <w:rPr>
                <w:rFonts w:ascii="Times New Roman" w:hAnsi="Times New Roman" w:eastAsia="Times New Roman"/>
                <w:b w:val="0"/>
                <w:i w:val="0"/>
                <w:color w:val="000000"/>
                <w:sz w:val="20"/>
              </w:rPr>
              <w:t>Baja</w:t>
            </w:r>
          </w:p>
        </w:tc>
        <w:tc>
          <w:tcPr>
            <w:tcW w:type="dxa" w:w="2280"/>
          </w:tcPr>
          <w:p>
            <w:r/>
            <w:r>
              <w:rPr>
                <w:rFonts w:ascii="Times New Roman" w:hAnsi="Times New Roman" w:eastAsia="Times New Roman"/>
                <w:b w:val="0"/>
                <w:i w:val="0"/>
                <w:color w:val="000000"/>
                <w:sz w:val="20"/>
              </w:rPr>
              <w:t>El login publica las credenciales de demostración.</w:t>
            </w:r>
          </w:p>
        </w:tc>
        <w:tc>
          <w:tcPr>
            <w:tcW w:type="dxa" w:w="2280"/>
          </w:tcPr>
          <w:p>
            <w:r/>
            <w:r>
              <w:rPr>
                <w:rFonts w:ascii="Times New Roman" w:hAnsi="Times New Roman" w:eastAsia="Times New Roman"/>
                <w:b w:val="0"/>
                <w:i w:val="0"/>
                <w:color w:val="000000"/>
                <w:sz w:val="20"/>
              </w:rPr>
              <w:t>Riesgo residual de prototipo</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pPr>
        <w:spacing w:after="160" w:before="0" w:line="360" w:lineRule="auto"/>
        <w:ind w:firstLine="709"/>
        <w:jc w:val="both"/>
      </w:pPr>
      <w:r>
        <w:rPr>
          <w:rFonts w:ascii="Times New Roman" w:hAnsi="Times New Roman" w:eastAsia="Times New Roman"/>
          <w:b w:val="0"/>
          <w:i w:val="0"/>
          <w:color w:val="000000"/>
          <w:sz w:val="24"/>
        </w:rPr>
        <w:t>El DEF-01 cortaba el caso de uso CU-11. La causa raíz era una condición de carrera: signOut se disparaba sin await, navigateByUrl('/login') activaba guestGuard y restore() aún encontraba la sesión de Supabase. La corrección espera la invalidación del token, marca la sesión como limpiada para que restore() no la rehidrate y después navega. Publicado en Vercel y reconfirmado por Playwright (retorno a /#/login). Este hallazgo ilustra el valor de las pruebas empíricas sobre el despliegue (Sommerville, 2016).</w:t>
      </w:r>
    </w:p>
    <w:p>
      <w:r>
        <w:br w:type="page"/>
      </w:r>
    </w:p>
    <w:p>
      <w:pPr>
        <w:pStyle w:val="Heading1"/>
        <w:spacing w:before="320" w:after="160"/>
        <w:ind w:firstLine="0"/>
      </w:pPr>
      <w:r>
        <w:rPr>
          <w:rFonts w:ascii="Times New Roman" w:hAnsi="Times New Roman" w:eastAsia="Times New Roman"/>
          <w:b/>
          <w:color w:val="000000"/>
          <w:sz w:val="28"/>
        </w:rPr>
        <w:t>13. Resultados</w:t>
      </w:r>
    </w:p>
    <w:p>
      <w:pPr>
        <w:spacing w:after="160" w:before="0" w:line="360" w:lineRule="auto"/>
        <w:ind w:firstLine="709"/>
        <w:jc w:val="both"/>
      </w:pPr>
      <w:r>
        <w:rPr>
          <w:rFonts w:ascii="Times New Roman" w:hAnsi="Times New Roman" w:eastAsia="Times New Roman"/>
          <w:b w:val="0"/>
          <w:i w:val="0"/>
          <w:color w:val="000000"/>
          <w:sz w:val="24"/>
        </w:rPr>
        <w:t>El resultado principal del trabajo es un prototipo funcional, publicado y verificable, que materializa el objetivo general: monitorear, modelar y simular variables de bienestar animal alineadas con el ICA. A diferencia de un mockup, el artefacto calcula el IBA en el cliente, persiste evaluaciones, hallazgos, alertas, fotos y corridas de simulación en PostgreSQL, y aísla al productor mediante políticas RLS.</w:t>
      </w:r>
    </w:p>
    <w:p>
      <w:pPr>
        <w:spacing w:after="160" w:before="0" w:line="360" w:lineRule="auto"/>
        <w:ind w:firstLine="709"/>
        <w:jc w:val="both"/>
      </w:pPr>
      <w:r>
        <w:rPr>
          <w:rFonts w:ascii="Times New Roman" w:hAnsi="Times New Roman" w:eastAsia="Times New Roman"/>
          <w:b w:val="0"/>
          <w:i w:val="0"/>
          <w:color w:val="000000"/>
          <w:sz w:val="24"/>
        </w:rPr>
        <w:t>En el ambiente de evaluación se observó un IBA medio de 81,4 (umbral de cumplimiento), con un ejemplar bovino (VACA-087) en 45,5 y alerta de espacio por debajo del mínimo. El tablero prioriza ese animal y expone cuatro alertas activas. El inventario comprende tres predios georreferenciados y seis animales de las especies bovina, caprina y porcina. El módulo de usuarios lista cuatro perfiles (productor, veterinario y dos administradores). La simulación de un escenario de restricción alimentaria proyectó 125,3 kg y un IBA de 68,2, con gráfica de trayectoria y eventos discretos (hito ICA, peso objetivo, incidente sanitario).</w:t>
      </w:r>
    </w:p>
    <w:p>
      <w:pPr>
        <w:spacing w:after="160" w:before="0" w:line="360" w:lineRule="auto"/>
        <w:ind w:firstLine="709"/>
        <w:jc w:val="both"/>
      </w:pPr>
      <w:r>
        <w:rPr>
          <w:rFonts w:ascii="Times New Roman" w:hAnsi="Times New Roman" w:eastAsia="Times New Roman"/>
          <w:b w:val="0"/>
          <w:i w:val="0"/>
          <w:color w:val="000000"/>
          <w:sz w:val="24"/>
        </w:rPr>
        <w:t>Las pruebas unitarias confirmaron que las ponderaciones de las cinco libertades (25 % nutrición, 20 % entorno, 25 % salud, 15 % conducta y 15 % estado mental), los umbrales 80/60 y el THI coinciden entre el código de producción y el oráculo independiente. Las pruebas de API confirmaron que un cliente anónimo no lee predios ni perfiles. El frontend estático soportó 60 peticiones concurrentes sin error. El prototipo se comporta como PWA usable en viewport de 390 × 844.</w:t>
      </w:r>
    </w:p>
    <w:p>
      <w:pPr>
        <w:spacing w:after="160" w:before="0" w:line="360" w:lineRule="auto"/>
        <w:ind w:firstLine="709"/>
        <w:jc w:val="both"/>
      </w:pPr>
      <w:r>
        <w:rPr>
          <w:rFonts w:ascii="Times New Roman" w:hAnsi="Times New Roman" w:eastAsia="Times New Roman"/>
          <w:b w:val="0"/>
          <w:i w:val="0"/>
          <w:color w:val="000000"/>
          <w:sz w:val="24"/>
        </w:rPr>
        <w:t>Queda explícito lo que el prototipo no es, para no inflar los resultados: no hay red neuronal ni clasificador de machine learning; el IBA es un índice ponderado interpretable; la simulación es un sistema de eventos discretos determinista in silico, no un gemelo digital con sensores IoT; no hay Spring Boot, Firebase ni Cloudinary. Estas precisiones ya constaban en la sección de limitaciones y se reiteran como resultado negativo deliberado, no como incumplimiento accidental.</w:t>
      </w:r>
    </w:p>
    <w:p>
      <w:pPr>
        <w:pStyle w:val="Heading1"/>
        <w:spacing w:before="320" w:after="160"/>
        <w:ind w:firstLine="0"/>
      </w:pPr>
      <w:r>
        <w:rPr>
          <w:rFonts w:ascii="Times New Roman" w:hAnsi="Times New Roman" w:eastAsia="Times New Roman"/>
          <w:b/>
          <w:color w:val="000000"/>
          <w:sz w:val="28"/>
        </w:rPr>
        <w:t>14. Discusión</w:t>
      </w:r>
    </w:p>
    <w:p>
      <w:pPr>
        <w:spacing w:after="160" w:before="0" w:line="360" w:lineRule="auto"/>
        <w:ind w:firstLine="709"/>
        <w:jc w:val="both"/>
      </w:pPr>
      <w:r>
        <w:rPr>
          <w:rFonts w:ascii="Times New Roman" w:hAnsi="Times New Roman" w:eastAsia="Times New Roman"/>
          <w:b w:val="0"/>
          <w:i w:val="0"/>
          <w:color w:val="000000"/>
          <w:sz w:val="24"/>
        </w:rPr>
        <w:t>Los hallazgos se discuten en tres planos: normativo, ingenieril y metodológico.</w:t>
      </w:r>
    </w:p>
    <w:p>
      <w:pPr>
        <w:spacing w:after="160" w:before="0" w:line="360" w:lineRule="auto"/>
        <w:ind w:firstLine="709"/>
        <w:jc w:val="both"/>
      </w:pPr>
      <w:r>
        <w:rPr>
          <w:rFonts w:ascii="Times New Roman" w:hAnsi="Times New Roman" w:eastAsia="Times New Roman"/>
          <w:b w:val="0"/>
          <w:i w:val="0"/>
          <w:color w:val="000000"/>
          <w:sz w:val="24"/>
        </w:rPr>
        <w:t>En el plano normativo, el prototipo operacionaliza las cinco libertades y los manuales adoptados por las Resoluciones 0136 y 0253 de 2020 (Ministerio de Agricultura y Desarrollo Rural, 2020) y la noción de bienestar del ICA (2020). El semáforo 80/60 no sustituye una inspección oficial, pero convierte el criterio cualitativo en un índice auditable. El THI, con umbrales distintos para porcino y rumiante, responde al estrés calórico como riesgo tropical, en línea con la literatura de zootecnia de precisión (Bayona Sarmiento et al., 2024; Lascano-Rivera et al., 2025). La alerta de espacio mínimo sobre VACA-087 muestra que el sistema no solo registra, sino que interpreta incumplimiento.</w:t>
      </w:r>
    </w:p>
    <w:p>
      <w:pPr>
        <w:spacing w:after="160" w:before="0" w:line="360" w:lineRule="auto"/>
        <w:ind w:firstLine="709"/>
        <w:jc w:val="both"/>
      </w:pPr>
      <w:r>
        <w:rPr>
          <w:rFonts w:ascii="Times New Roman" w:hAnsi="Times New Roman" w:eastAsia="Times New Roman"/>
          <w:b w:val="0"/>
          <w:i w:val="0"/>
          <w:color w:val="000000"/>
          <w:sz w:val="24"/>
        </w:rPr>
        <w:t>En el plano ingenieril, la arquitectura de cliente enriquecido más Backend as a Service se aparta del diseño inicial (microservicios, Spring Boot, Firebase, Cloudinary). La desviación no es un defecto oculto: reduce superficies de ataque (la service_role no viaja al navegador), concentra las reglas ICA en un solo módulo testeable y aprovecha RLS para el aislamiento del productor. El costo es que la “analítica predictiva con IA” del objetivo específico se materializa como un motor de reglas y un SED, no como aprendizaje supervisado. Discutir esa brecha es más honesto —y más evaluable— que atribuir al prototipo una red neuronal inexistente. El SED sí cumple el tercer objetivo específico: permite evaluar in silico dieta y clima antes de intervenir el animal (UNAD, 2025; Plataforma Tierra, 2025).</w:t>
      </w:r>
    </w:p>
    <w:p>
      <w:pPr>
        <w:spacing w:after="160" w:before="0" w:line="360" w:lineRule="auto"/>
        <w:ind w:firstLine="709"/>
        <w:jc w:val="both"/>
      </w:pPr>
      <w:r>
        <w:rPr>
          <w:rFonts w:ascii="Times New Roman" w:hAnsi="Times New Roman" w:eastAsia="Times New Roman"/>
          <w:b w:val="0"/>
          <w:i w:val="0"/>
          <w:color w:val="000000"/>
          <w:sz w:val="24"/>
        </w:rPr>
        <w:t>En el plano metodológico, la campaña confirma que una tabla de 14 escenarios marcada como satisfactoria sin automatizar el cierre de sesión en la nube es insuficiente (Pressman y Maxim, 2015). El DEF-01 solo apareció cuando Playwright esperó la URL /login después de Cerrar sesión; con la corrección desplegada, EP-14 es satisfactorio en producción y la suite E2E completa está en verde. La lección para la Fábrica de Software es incorporar E2E del camino infeliz (logout, guarda, RLS anónimo) en la definición de terminado de cada sprint Scrum. Al mismo tiempo, la pirámide evitó que un error de THI (81,3 versus 82,92) llegara disfrazado de prueba verde.</w:t>
      </w:r>
    </w:p>
    <w:p>
      <w:pPr>
        <w:spacing w:after="160" w:before="0" w:line="360" w:lineRule="auto"/>
        <w:ind w:firstLine="709"/>
        <w:jc w:val="both"/>
      </w:pPr>
      <w:r>
        <w:rPr>
          <w:rFonts w:ascii="Times New Roman" w:hAnsi="Times New Roman" w:eastAsia="Times New Roman"/>
          <w:b w:val="0"/>
          <w:i w:val="0"/>
          <w:color w:val="000000"/>
          <w:sz w:val="24"/>
        </w:rPr>
        <w:t>Respecto a los RNF, HTTPS y HSTS se cumplen; el aislamiento del productor se verifica en unitarias y en RLS; la persistencia offline declarada en el análisis de requerimientos no se implementó ni se probó, y debe retirarse como compromiso del prototipo actual. Las cabeceras CSP incompletas son un riesgo residual típico de SPA Angular y se mitigaron parcialmente con X-Frame-Options y nosniff.</w:t>
      </w:r>
    </w:p>
    <w:p>
      <w:pPr>
        <w:pStyle w:val="Heading1"/>
        <w:spacing w:before="320" w:after="160"/>
        <w:ind w:firstLine="0"/>
      </w:pPr>
      <w:r>
        <w:rPr>
          <w:rFonts w:ascii="Times New Roman" w:hAnsi="Times New Roman" w:eastAsia="Times New Roman"/>
          <w:b/>
          <w:color w:val="000000"/>
          <w:sz w:val="28"/>
        </w:rPr>
        <w:t>15. Conclusiones</w:t>
      </w:r>
    </w:p>
    <w:p>
      <w:pPr>
        <w:spacing w:after="160" w:before="0" w:line="360" w:lineRule="auto"/>
        <w:ind w:firstLine="709"/>
        <w:jc w:val="both"/>
      </w:pPr>
      <w:r>
        <w:rPr>
          <w:rFonts w:ascii="Times New Roman" w:hAnsi="Times New Roman" w:eastAsia="Times New Roman"/>
          <w:b w:val="0"/>
          <w:i w:val="0"/>
          <w:color w:val="000000"/>
          <w:sz w:val="24"/>
        </w:rPr>
        <w:t>Se concluye que es posible implementar un prototipo de plataforma digital, alineado con lineamientos ICA, que centralice inventario, calcule un índice de bienestar interpretable y simule escenarios productivos mediante eventos discretos. La pregunta de investigación se responde de forma afirmativa, con matices de alcance: la analítica es de reglas y proyección, no de aprendizaje automático, y aun así reduce la brecha entre el registro manual y un tablero de decisión.</w:t>
      </w:r>
    </w:p>
    <w:p>
      <w:pPr>
        <w:spacing w:after="120" w:before="0" w:line="276" w:lineRule="auto"/>
        <w:ind w:firstLine="0"/>
        <w:jc w:val="left"/>
      </w:pPr>
      <w:r>
        <w:rPr>
          <w:rFonts w:ascii="Times New Roman" w:hAnsi="Times New Roman" w:eastAsia="Times New Roman"/>
          <w:b/>
          <w:i w:val="0"/>
          <w:color w:val="000000"/>
          <w:sz w:val="22"/>
        </w:rPr>
        <w:t xml:space="preserve">Tabla 11. </w:t>
      </w:r>
      <w:r>
        <w:rPr>
          <w:rFonts w:ascii="Times New Roman" w:hAnsi="Times New Roman" w:eastAsia="Times New Roman"/>
          <w:b w:val="0"/>
          <w:i w:val="0"/>
          <w:color w:val="000000"/>
          <w:sz w:val="22"/>
        </w:rPr>
        <w:t>Cumplimiento de los objetivos específicos a la luz de la implementación y de las pruebas</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eastAsia="Times New Roman"/>
                <w:b/>
                <w:i w:val="0"/>
                <w:color w:val="000000"/>
                <w:sz w:val="20"/>
              </w:rPr>
              <w:t>Objetivo específico</w:t>
            </w:r>
          </w:p>
        </w:tc>
        <w:tc>
          <w:tcPr>
            <w:tcW w:type="dxa" w:w="4561"/>
          </w:tcPr>
          <w:p>
            <w:r/>
            <w:r>
              <w:rPr>
                <w:rFonts w:ascii="Times New Roman" w:hAnsi="Times New Roman" w:eastAsia="Times New Roman"/>
                <w:b/>
                <w:i w:val="0"/>
                <w:color w:val="000000"/>
                <w:sz w:val="20"/>
              </w:rPr>
              <w:t>Cumplimiento</w:t>
            </w:r>
          </w:p>
        </w:tc>
      </w:tr>
      <w:tr>
        <w:tc>
          <w:tcPr>
            <w:tcW w:type="dxa" w:w="4561"/>
          </w:tcPr>
          <w:p>
            <w:r/>
            <w:r>
              <w:rPr>
                <w:rFonts w:ascii="Times New Roman" w:hAnsi="Times New Roman" w:eastAsia="Times New Roman"/>
                <w:b w:val="0"/>
                <w:i w:val="0"/>
                <w:color w:val="000000"/>
                <w:sz w:val="20"/>
              </w:rPr>
              <w:t>Modelar variables críticas de bienestar (sanidad, nutrición, comportamiento, trazabilidad) bajo estándares ICA</w:t>
            </w:r>
          </w:p>
        </w:tc>
        <w:tc>
          <w:tcPr>
            <w:tcW w:type="dxa" w:w="4561"/>
          </w:tcPr>
          <w:p>
            <w:r/>
            <w:r>
              <w:rPr>
                <w:rFonts w:ascii="Times New Roman" w:hAnsi="Times New Roman" w:eastAsia="Times New Roman"/>
                <w:b w:val="0"/>
                <w:i w:val="0"/>
                <w:color w:val="000000"/>
                <w:sz w:val="20"/>
              </w:rPr>
              <w:t>Cumplido. Cinco libertades, IBA ponderado, THI, espacio mínimo, hallazgos y alertas</w:t>
            </w:r>
          </w:p>
        </w:tc>
      </w:tr>
      <w:tr>
        <w:tc>
          <w:tcPr>
            <w:tcW w:type="dxa" w:w="4561"/>
          </w:tcPr>
          <w:p>
            <w:r/>
            <w:r>
              <w:rPr>
                <w:rFonts w:ascii="Times New Roman" w:hAnsi="Times New Roman" w:eastAsia="Times New Roman"/>
                <w:b w:val="0"/>
                <w:i w:val="0"/>
                <w:color w:val="000000"/>
                <w:sz w:val="20"/>
              </w:rPr>
              <w:t>Diseñar un módulo de analítica predictiva de riesgos mediante técnicas de IA</w:t>
            </w:r>
          </w:p>
        </w:tc>
        <w:tc>
          <w:tcPr>
            <w:tcW w:type="dxa" w:w="4561"/>
          </w:tcPr>
          <w:p>
            <w:r/>
            <w:r>
              <w:rPr>
                <w:rFonts w:ascii="Times New Roman" w:hAnsi="Times New Roman" w:eastAsia="Times New Roman"/>
                <w:b w:val="0"/>
                <w:i w:val="0"/>
                <w:color w:val="000000"/>
                <w:sz w:val="20"/>
              </w:rPr>
              <w:t>Cumplido parcialmente. Hay detección de riesgo (semáforo, alertas, prioridad) sin modelo de machine learning. Debe enunciarse como analítica basada en reglas</w:t>
            </w:r>
          </w:p>
        </w:tc>
      </w:tr>
      <w:tr>
        <w:tc>
          <w:tcPr>
            <w:tcW w:type="dxa" w:w="4561"/>
          </w:tcPr>
          <w:p>
            <w:r/>
            <w:r>
              <w:rPr>
                <w:rFonts w:ascii="Times New Roman" w:hAnsi="Times New Roman" w:eastAsia="Times New Roman"/>
                <w:b w:val="0"/>
                <w:i w:val="0"/>
                <w:color w:val="000000"/>
                <w:sz w:val="20"/>
              </w:rPr>
              <w:t>Implementar un entorno de simulación de intervención técnica</w:t>
            </w:r>
          </w:p>
        </w:tc>
        <w:tc>
          <w:tcPr>
            <w:tcW w:type="dxa" w:w="4561"/>
          </w:tcPr>
          <w:p>
            <w:r/>
            <w:r>
              <w:rPr>
                <w:rFonts w:ascii="Times New Roman" w:hAnsi="Times New Roman" w:eastAsia="Times New Roman"/>
                <w:b w:val="0"/>
                <w:i w:val="0"/>
                <w:color w:val="000000"/>
                <w:sz w:val="20"/>
              </w:rPr>
              <w:t>Cumplido. SED con dieta, clima, horizonte, trayectoria de peso/IBA y eventos discretos</w:t>
            </w:r>
          </w:p>
        </w:tc>
      </w:tr>
    </w:tbl>
    <w:p>
      <w:pPr>
        <w:spacing w:after="240" w:before="0" w:line="276" w:lineRule="auto"/>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(2026).</w:t>
      </w:r>
    </w:p>
    <w:p>
      <w:pPr>
        <w:spacing w:after="160" w:before="0" w:line="360" w:lineRule="auto"/>
        <w:ind w:firstLine="709"/>
        <w:jc w:val="both"/>
      </w:pPr>
      <w:r>
        <w:rPr>
          <w:rFonts w:ascii="Times New Roman" w:hAnsi="Times New Roman" w:eastAsia="Times New Roman"/>
          <w:b w:val="0"/>
          <w:i w:val="0"/>
          <w:color w:val="000000"/>
          <w:sz w:val="24"/>
        </w:rPr>
        <w:t>Las pruebas —unitarias, de aceptación, E2E, de API, de carga y de seguridad— aportan evidencia reproducible de que el prototipo publicado es usable por un administrador, que el anónimo no lee datos y que el cierre de sesión (CU-11 / EP-14) permanece en login tras invalidar el JWT. Esa transparencia fortalece, no debilita, la validez del trabajo de grado.</w:t>
      </w:r>
    </w:p>
    <w:p>
      <w:pPr>
        <w:pStyle w:val="Heading1"/>
        <w:spacing w:before="320" w:after="160"/>
        <w:ind w:firstLine="0"/>
      </w:pPr>
      <w:r>
        <w:rPr>
          <w:rFonts w:ascii="Times New Roman" w:hAnsi="Times New Roman" w:eastAsia="Times New Roman"/>
          <w:b/>
          <w:color w:val="000000"/>
          <w:sz w:val="28"/>
        </w:rPr>
        <w:t>16. Recomendaciones</w:t>
      </w:r>
    </w:p>
    <w:p>
      <w:pPr>
        <w:spacing w:after="160" w:before="0" w:line="360" w:lineRule="auto"/>
        <w:ind w:firstLine="709"/>
        <w:jc w:val="both"/>
      </w:pPr>
      <w:r>
        <w:rPr>
          <w:rFonts w:ascii="Times New Roman" w:hAnsi="Times New Roman" w:eastAsia="Times New Roman"/>
          <w:b w:val="0"/>
          <w:i w:val="0"/>
          <w:color w:val="000000"/>
          <w:sz w:val="24"/>
        </w:rPr>
        <w:t>Se recomienda, en este orden:</w:t>
      </w:r>
    </w:p>
    <w:p>
      <w:pPr>
        <w:spacing w:after="160" w:before="0" w:line="360" w:lineRule="auto"/>
        <w:ind w:firstLine="0"/>
        <w:jc w:val="both"/>
      </w:pPr>
      <w:r>
        <w:rPr>
          <w:rFonts w:ascii="Times New Roman" w:hAnsi="Times New Roman" w:eastAsia="Times New Roman"/>
          <w:b w:val="0"/>
          <w:i w:val="0"/>
          <w:color w:val="000000"/>
          <w:sz w:val="24"/>
        </w:rPr>
        <w:t>1. Ajustar el enunciado del segundo objetivo específico en la versión final del documento marco, para que hable de analítica de reglas e índices ICA y no de “técnicas de IA” si no se entrena un modelo.</w:t>
      </w:r>
    </w:p>
    <w:p>
      <w:pPr>
        <w:spacing w:after="160" w:before="0" w:line="360" w:lineRule="auto"/>
        <w:ind w:firstLine="0"/>
        <w:jc w:val="both"/>
      </w:pPr>
      <w:r>
        <w:rPr>
          <w:rFonts w:ascii="Times New Roman" w:hAnsi="Times New Roman" w:eastAsia="Times New Roman"/>
          <w:b w:val="0"/>
          <w:i w:val="0"/>
          <w:color w:val="000000"/>
          <w:sz w:val="24"/>
        </w:rPr>
        <w:t>2. Retirar del alcance vigente el RNF de persistencia offline, o implementarlo con una prueba de sincronización, pero no dejarlo como requisito no verificado.</w:t>
      </w:r>
    </w:p>
    <w:p>
      <w:pPr>
        <w:spacing w:after="160" w:before="0" w:line="360" w:lineRule="auto"/>
        <w:ind w:firstLine="0"/>
        <w:jc w:val="both"/>
      </w:pPr>
      <w:r>
        <w:rPr>
          <w:rFonts w:ascii="Times New Roman" w:hAnsi="Times New Roman" w:eastAsia="Times New Roman"/>
          <w:b w:val="0"/>
          <w:i w:val="0"/>
          <w:color w:val="000000"/>
          <w:sz w:val="24"/>
        </w:rPr>
        <w:t>3. Valorar un Content-Security-Policy explícito cuando pueda ensayarse sin romper Ionic, y restringir el bucket de fotos si el prototipo escala a datos reales de predios.</w:t>
      </w:r>
    </w:p>
    <w:p>
      <w:pPr>
        <w:spacing w:after="160" w:before="0" w:line="360" w:lineRule="auto"/>
        <w:ind w:firstLine="0"/>
        <w:jc w:val="both"/>
      </w:pPr>
      <w:r>
        <w:rPr>
          <w:rFonts w:ascii="Times New Roman" w:hAnsi="Times New Roman" w:eastAsia="Times New Roman"/>
          <w:b w:val="0"/>
          <w:i w:val="0"/>
          <w:color w:val="000000"/>
          <w:sz w:val="24"/>
        </w:rPr>
        <w:t>4. Retirar el hint de credenciales demo en un entorno que deje de ser académico.</w:t>
      </w:r>
    </w:p>
    <w:p>
      <w:pPr>
        <w:spacing w:after="160" w:before="0" w:line="360" w:lineRule="auto"/>
        <w:ind w:firstLine="0"/>
        <w:jc w:val="both"/>
      </w:pPr>
      <w:r>
        <w:rPr>
          <w:rFonts w:ascii="Times New Roman" w:hAnsi="Times New Roman" w:eastAsia="Times New Roman"/>
          <w:b w:val="0"/>
          <w:i w:val="0"/>
          <w:color w:val="000000"/>
          <w:sz w:val="24"/>
        </w:rPr>
        <w:t>5. Como trabajo futuro —no como deuda de este prototipo—, integrar sensores IoT o wearables (Marketintelo, 2025) y, si hay corpus etiquetado, un clasificador de estrés térmico (Lascano-Rivera et al., 2025), manteniendo el IBA actual como línea base interpretable.</w:t>
      </w:r>
    </w:p>
    <w:p>
      <w:pPr>
        <w:spacing w:after="160" w:before="0" w:line="360" w:lineRule="auto"/>
        <w:ind w:firstLine="0"/>
        <w:jc w:val="both"/>
      </w:pPr>
      <w:r>
        <w:rPr>
          <w:rFonts w:ascii="Times New Roman" w:hAnsi="Times New Roman" w:eastAsia="Times New Roman"/>
          <w:b w:val="0"/>
          <w:i w:val="0"/>
          <w:color w:val="000000"/>
          <w:sz w:val="24"/>
        </w:rPr>
        <w:t>6. Registrar E2E_EMAIL y E2E_PASSWORD como secretos de GitHub Actions para que el E2E deje de ser solo local/manual.</w:t>
      </w:r>
    </w:p>
    <w:p>
      <w:r>
        <w:br w:type="page"/>
      </w:r>
    </w:p>
    <w:p>
      <w:pPr>
        <w:pStyle w:val="Heading1"/>
        <w:spacing w:before="320" w:after="160"/>
        <w:ind w:firstLine="0"/>
      </w:pPr>
      <w:r>
        <w:rPr>
          <w:rFonts w:ascii="Times New Roman" w:hAnsi="Times New Roman" w:eastAsia="Times New Roman"/>
          <w:b/>
          <w:color w:val="000000"/>
          <w:sz w:val="28"/>
        </w:rPr>
        <w:t>Referencias</w:t>
      </w:r>
    </w:p>
    <w:p>
      <w:pPr>
        <w:spacing w:after="160" w:line="360" w:lineRule="auto"/>
        <w:ind w:left="709" w:hanging="709"/>
        <w:jc w:val="both"/>
      </w:pPr>
      <w:r>
        <w:rPr>
          <w:rFonts w:ascii="Times New Roman" w:hAnsi="Times New Roman" w:eastAsia="Times New Roman"/>
          <w:b w:val="0"/>
          <w:i w:val="0"/>
          <w:color w:val="000000"/>
          <w:sz w:val="24"/>
        </w:rPr>
        <w:t>Bayona Sarmiento, J. S., Serrano Carrascal, M. K., Navarro Vivas, A. Y., Sarabia Duran, J. J., Ramírez Abril, J. D. y Galvis, J. J. (2024). IA aplicado en ganadería: Sostenibilidad y eficiencia. ResearchGate. https://www.researchgate.net/publication/381227428_IA_APLICADO_EN_GANADERIA</w:t>
      </w:r>
    </w:p>
    <w:p>
      <w:pPr>
        <w:spacing w:after="160" w:line="360" w:lineRule="auto"/>
        <w:ind w:left="709" w:hanging="709"/>
        <w:jc w:val="both"/>
      </w:pPr>
      <w:r>
        <w:rPr>
          <w:rFonts w:ascii="Times New Roman" w:hAnsi="Times New Roman" w:eastAsia="Times New Roman"/>
          <w:b w:val="0"/>
          <w:i w:val="0"/>
          <w:color w:val="000000"/>
          <w:sz w:val="24"/>
        </w:rPr>
        <w:t>Cohn, M. (2009). Succeeding with Agile: Software development using Scrum. Addison-Wesley.</w:t>
      </w:r>
    </w:p>
    <w:p>
      <w:pPr>
        <w:spacing w:after="160" w:line="360" w:lineRule="auto"/>
        <w:ind w:left="709" w:hanging="709"/>
        <w:jc w:val="both"/>
      </w:pPr>
      <w:r>
        <w:rPr>
          <w:rFonts w:ascii="Times New Roman" w:hAnsi="Times New Roman" w:eastAsia="Times New Roman"/>
          <w:b w:val="0"/>
          <w:i w:val="0"/>
          <w:color w:val="000000"/>
          <w:sz w:val="24"/>
        </w:rPr>
        <w:t>Fowler, M. y Foemmel, M. (2006). Continuous integration. https://martinfowler.com/articles/continuousIntegration.html</w:t>
      </w:r>
    </w:p>
    <w:p>
      <w:pPr>
        <w:spacing w:after="160" w:line="360" w:lineRule="auto"/>
        <w:ind w:left="709" w:hanging="709"/>
        <w:jc w:val="both"/>
      </w:pPr>
      <w:r>
        <w:rPr>
          <w:rFonts w:ascii="Times New Roman" w:hAnsi="Times New Roman" w:eastAsia="Times New Roman"/>
          <w:b w:val="0"/>
          <w:i w:val="0"/>
          <w:color w:val="000000"/>
          <w:sz w:val="24"/>
        </w:rPr>
        <w:t>Hernández-Sampieri, R. y Mendoza, C. (2018). Metodología de la investigación: Las rutas cuantitativa, cualitativa y mixta. McGraw-Hill.</w:t>
      </w:r>
    </w:p>
    <w:p>
      <w:pPr>
        <w:spacing w:after="160" w:line="360" w:lineRule="auto"/>
        <w:ind w:left="709" w:hanging="709"/>
        <w:jc w:val="both"/>
      </w:pPr>
      <w:r>
        <w:rPr>
          <w:rFonts w:ascii="Times New Roman" w:hAnsi="Times New Roman" w:eastAsia="Times New Roman"/>
          <w:b w:val="0"/>
          <w:i w:val="0"/>
          <w:color w:val="000000"/>
          <w:sz w:val="24"/>
        </w:rPr>
        <w:t>IEEE Computer Society. (2014). IEEE standard for software and system test documentation (IEEE Std 829-2008). https://doi.org/10.1109/IEEESTD.2008.4578383</w:t>
      </w:r>
    </w:p>
    <w:p>
      <w:pPr>
        <w:spacing w:after="160" w:line="360" w:lineRule="auto"/>
        <w:ind w:left="709" w:hanging="709"/>
        <w:jc w:val="both"/>
      </w:pPr>
      <w:r>
        <w:rPr>
          <w:rFonts w:ascii="Times New Roman" w:hAnsi="Times New Roman" w:eastAsia="Times New Roman"/>
          <w:b w:val="0"/>
          <w:i w:val="0"/>
          <w:color w:val="000000"/>
          <w:sz w:val="24"/>
        </w:rPr>
        <w:t>Instituto Colombiano Agropecuario. (2020). ¿Cuál es la definición de bienestar animal? https://www.ica.gov.co/preguntas-frecuentes/subgerencia-de-proteccion-animal/cual-es-la-definicion-de-bienestar-animal</w:t>
      </w:r>
    </w:p>
    <w:p>
      <w:pPr>
        <w:spacing w:after="160" w:line="360" w:lineRule="auto"/>
        <w:ind w:left="709" w:hanging="709"/>
        <w:jc w:val="both"/>
      </w:pPr>
      <w:r>
        <w:rPr>
          <w:rFonts w:ascii="Times New Roman" w:hAnsi="Times New Roman" w:eastAsia="Times New Roman"/>
          <w:b w:val="0"/>
          <w:i w:val="0"/>
          <w:color w:val="000000"/>
          <w:sz w:val="24"/>
        </w:rPr>
        <w:t>International Software Testing Qualifications Board. (2023). Certified tester foundation level syllabus (v4.0). ISTQB.</w:t>
      </w:r>
    </w:p>
    <w:p>
      <w:pPr>
        <w:spacing w:after="160" w:line="360" w:lineRule="auto"/>
        <w:ind w:left="709" w:hanging="709"/>
        <w:jc w:val="both"/>
      </w:pPr>
      <w:r>
        <w:rPr>
          <w:rFonts w:ascii="Times New Roman" w:hAnsi="Times New Roman" w:eastAsia="Times New Roman"/>
          <w:b w:val="0"/>
          <w:i w:val="0"/>
          <w:color w:val="000000"/>
          <w:sz w:val="24"/>
        </w:rPr>
        <w:t>ISO/IEC/IEEE. (2022). ISO/IEC/IEEE 29119-1:2022. Software and systems engineering — Software testing — Part 1: General concepts. ISO.</w:t>
      </w:r>
    </w:p>
    <w:p>
      <w:pPr>
        <w:spacing w:after="160" w:line="360" w:lineRule="auto"/>
        <w:ind w:left="709" w:hanging="709"/>
        <w:jc w:val="both"/>
      </w:pPr>
      <w:r>
        <w:rPr>
          <w:rFonts w:ascii="Times New Roman" w:hAnsi="Times New Roman" w:eastAsia="Times New Roman"/>
          <w:b w:val="0"/>
          <w:i w:val="0"/>
          <w:color w:val="000000"/>
          <w:sz w:val="24"/>
        </w:rPr>
        <w:t>Lascano-Rivera, S. B., Rivera-Escriba, L. A., Balarezo-Urresta, L. R. y Castañeda-Albán, J. E. (2025). Sensores inteligentes y técnicas de machine learning para la detección del estrés en ganado bovino. Innova Science Journal.</w:t>
      </w:r>
    </w:p>
    <w:p>
      <w:pPr>
        <w:spacing w:after="160" w:line="360" w:lineRule="auto"/>
        <w:ind w:left="709" w:hanging="709"/>
        <w:jc w:val="both"/>
      </w:pPr>
      <w:r>
        <w:rPr>
          <w:rFonts w:ascii="Times New Roman" w:hAnsi="Times New Roman" w:eastAsia="Times New Roman"/>
          <w:b w:val="0"/>
          <w:i w:val="0"/>
          <w:color w:val="000000"/>
          <w:sz w:val="24"/>
        </w:rPr>
        <w:t>Marketintelo. (2025). Livestock wearables market research report 2033. https://marketintelo.com/report/livestock-wearables-market</w:t>
      </w:r>
    </w:p>
    <w:p>
      <w:pPr>
        <w:spacing w:after="160" w:line="360" w:lineRule="auto"/>
        <w:ind w:left="709" w:hanging="709"/>
        <w:jc w:val="both"/>
      </w:pPr>
      <w:r>
        <w:rPr>
          <w:rFonts w:ascii="Times New Roman" w:hAnsi="Times New Roman" w:eastAsia="Times New Roman"/>
          <w:b w:val="0"/>
          <w:i w:val="0"/>
          <w:color w:val="000000"/>
          <w:sz w:val="24"/>
        </w:rPr>
        <w:t>Ministerio de Agricultura y Desarrollo Rural. (2020a). Resolución 000136 de 2020: Por la cual se adopta el Manual de Condiciones de Bienestar Animal para las especies équidas, porcinas, ovinas y caprinas. Instituto Colombiano Agropecuario.</w:t>
      </w:r>
    </w:p>
    <w:p>
      <w:pPr>
        <w:spacing w:after="160" w:line="360" w:lineRule="auto"/>
        <w:ind w:left="709" w:hanging="709"/>
        <w:jc w:val="both"/>
      </w:pPr>
      <w:r>
        <w:rPr>
          <w:rFonts w:ascii="Times New Roman" w:hAnsi="Times New Roman" w:eastAsia="Times New Roman"/>
          <w:b w:val="0"/>
          <w:i w:val="0"/>
          <w:color w:val="000000"/>
          <w:sz w:val="24"/>
        </w:rPr>
        <w:t>Ministerio de Agricultura y Desarrollo Rural. (2020b). Resolución 000253 de 2020: Por la cual se adopta el Manual de Condiciones de Bienestar Animal para las especies bovina, bufalina, aves de corral y animales acuáticos. Instituto Colombiano Agropecuario.</w:t>
      </w:r>
    </w:p>
    <w:p>
      <w:pPr>
        <w:spacing w:after="160" w:line="360" w:lineRule="auto"/>
        <w:ind w:left="709" w:hanging="709"/>
        <w:jc w:val="both"/>
      </w:pPr>
      <w:r>
        <w:rPr>
          <w:rFonts w:ascii="Times New Roman" w:hAnsi="Times New Roman" w:eastAsia="Times New Roman"/>
          <w:b w:val="0"/>
          <w:i w:val="0"/>
          <w:color w:val="000000"/>
          <w:sz w:val="24"/>
        </w:rPr>
        <w:t>Molyneaux, I. (2014). The art of application performance testing (2.ª ed.). O’Reilly.</w:t>
      </w:r>
    </w:p>
    <w:p>
      <w:pPr>
        <w:spacing w:after="160" w:line="360" w:lineRule="auto"/>
        <w:ind w:left="709" w:hanging="709"/>
        <w:jc w:val="both"/>
      </w:pPr>
      <w:r>
        <w:rPr>
          <w:rFonts w:ascii="Times New Roman" w:hAnsi="Times New Roman" w:eastAsia="Times New Roman"/>
          <w:b w:val="0"/>
          <w:i w:val="0"/>
          <w:color w:val="000000"/>
          <w:sz w:val="24"/>
        </w:rPr>
        <w:t>Myers, G. J., Sandler, C. y Badgett, T. (2012). The art of software testing (3.ª ed.). John Wiley &amp; Sons.</w:t>
      </w:r>
    </w:p>
    <w:p>
      <w:pPr>
        <w:spacing w:after="160" w:line="360" w:lineRule="auto"/>
        <w:ind w:left="709" w:hanging="709"/>
        <w:jc w:val="both"/>
      </w:pPr>
      <w:r>
        <w:rPr>
          <w:rFonts w:ascii="Times New Roman" w:hAnsi="Times New Roman" w:eastAsia="Times New Roman"/>
          <w:b w:val="0"/>
          <w:i w:val="0"/>
          <w:color w:val="000000"/>
          <w:sz w:val="24"/>
        </w:rPr>
        <w:t>North, D. (2006). Introducing BDD. https://dannorth.net/introducing-bdd/</w:t>
      </w:r>
    </w:p>
    <w:p>
      <w:pPr>
        <w:spacing w:after="160" w:line="360" w:lineRule="auto"/>
        <w:ind w:left="709" w:hanging="709"/>
        <w:jc w:val="both"/>
      </w:pPr>
      <w:r>
        <w:rPr>
          <w:rFonts w:ascii="Times New Roman" w:hAnsi="Times New Roman" w:eastAsia="Times New Roman"/>
          <w:b w:val="0"/>
          <w:i w:val="0"/>
          <w:color w:val="000000"/>
          <w:sz w:val="24"/>
        </w:rPr>
        <w:t>OWASP Foundation. (2021). OWASP Top 10:2021. https://owasp.org/Top10/</w:t>
      </w:r>
    </w:p>
    <w:p>
      <w:pPr>
        <w:spacing w:after="160" w:line="360" w:lineRule="auto"/>
        <w:ind w:left="709" w:hanging="709"/>
        <w:jc w:val="both"/>
      </w:pPr>
      <w:r>
        <w:rPr>
          <w:rFonts w:ascii="Times New Roman" w:hAnsi="Times New Roman" w:eastAsia="Times New Roman"/>
          <w:b w:val="0"/>
          <w:i w:val="0"/>
          <w:color w:val="000000"/>
          <w:sz w:val="24"/>
        </w:rPr>
        <w:t>Plataforma Tierra. (2025). Gemelos digitales y simulación in silico: Aplicaciones prácticas en el sector agropecuario. Cajamar. https://www.plataformatierra.es/innovacion/gemelos-digitales-agricultura-ganaderia</w:t>
      </w:r>
    </w:p>
    <w:p>
      <w:pPr>
        <w:spacing w:after="160" w:line="360" w:lineRule="auto"/>
        <w:ind w:left="709" w:hanging="709"/>
        <w:jc w:val="both"/>
      </w:pPr>
      <w:r>
        <w:rPr>
          <w:rFonts w:ascii="Times New Roman" w:hAnsi="Times New Roman" w:eastAsia="Times New Roman"/>
          <w:b w:val="0"/>
          <w:i w:val="0"/>
          <w:color w:val="000000"/>
          <w:sz w:val="24"/>
        </w:rPr>
        <w:t>Pressman, R. S. y Maxim, B. R. (2015). Software engineering: A practitioner’s approach (8.ª ed.). McGraw-Hill.</w:t>
      </w:r>
    </w:p>
    <w:p>
      <w:pPr>
        <w:spacing w:after="160" w:line="360" w:lineRule="auto"/>
        <w:ind w:left="709" w:hanging="709"/>
        <w:jc w:val="both"/>
      </w:pPr>
      <w:r>
        <w:rPr>
          <w:rFonts w:ascii="Times New Roman" w:hAnsi="Times New Roman" w:eastAsia="Times New Roman"/>
          <w:b w:val="0"/>
          <w:i w:val="0"/>
          <w:color w:val="000000"/>
          <w:sz w:val="24"/>
        </w:rPr>
        <w:t>Sommerville, I. (2016). Software engineering (10.ª ed.). Pearson.</w:t>
      </w:r>
    </w:p>
    <w:p>
      <w:pPr>
        <w:spacing w:after="160" w:line="360" w:lineRule="auto"/>
        <w:ind w:left="709" w:hanging="709"/>
        <w:jc w:val="both"/>
      </w:pPr>
      <w:r>
        <w:rPr>
          <w:rFonts w:ascii="Times New Roman" w:hAnsi="Times New Roman" w:eastAsia="Times New Roman"/>
          <w:b w:val="0"/>
          <w:i w:val="0"/>
          <w:color w:val="000000"/>
          <w:sz w:val="24"/>
        </w:rPr>
        <w:t>Thom, E. C. (1959). The discomfort index. Weatherwise, 12(2), 57–61. https://doi.org/10.1080/00431672.1959.9926960</w:t>
      </w:r>
    </w:p>
    <w:p>
      <w:pPr>
        <w:spacing w:after="160" w:line="360" w:lineRule="auto"/>
        <w:ind w:left="709" w:hanging="709"/>
        <w:jc w:val="both"/>
      </w:pPr>
      <w:r>
        <w:rPr>
          <w:rFonts w:ascii="Times New Roman" w:hAnsi="Times New Roman" w:eastAsia="Times New Roman"/>
          <w:b w:val="0"/>
          <w:i w:val="0"/>
          <w:color w:val="000000"/>
          <w:sz w:val="24"/>
        </w:rPr>
        <w:t>Universidad Nacional Abierta y a Distancia. (2025, 10 de julio). Simuladores: Tecnología e innovación para el bienestar animal [Video]. YouTube. https://www.youtube.com/watch?v=whin9A51uE8</w:t>
      </w:r>
    </w:p>
    <w:p>
      <w:pPr>
        <w:pStyle w:val="Heading1"/>
        <w:spacing w:before="320" w:after="160"/>
        <w:ind w:firstLine="0"/>
      </w:pPr>
      <w:r>
        <w:rPr>
          <w:rFonts w:ascii="Times New Roman" w:hAnsi="Times New Roman" w:eastAsia="Times New Roman"/>
          <w:b/>
          <w:color w:val="000000"/>
          <w:sz w:val="28"/>
        </w:rPr>
        <w:t>Anexos</w:t>
      </w:r>
    </w:p>
    <w:p>
      <w:pPr>
        <w:pStyle w:val="Heading2"/>
        <w:spacing w:before="320" w:after="160"/>
        <w:ind w:firstLine="0"/>
      </w:pPr>
      <w:r>
        <w:rPr>
          <w:rFonts w:ascii="Times New Roman" w:hAnsi="Times New Roman" w:eastAsia="Times New Roman"/>
          <w:b/>
          <w:color w:val="000000"/>
          <w:sz w:val="26"/>
        </w:rPr>
        <w:t>Anexo A. Reproducción de la campaña</w:t>
      </w:r>
    </w:p>
    <w:p>
      <w:pPr>
        <w:spacing w:after="160" w:before="0" w:line="360" w:lineRule="auto"/>
        <w:ind w:firstLine="709"/>
        <w:jc w:val="both"/>
      </w:pPr>
      <w:r>
        <w:rPr>
          <w:rFonts w:ascii="Times New Roman" w:hAnsi="Times New Roman" w:eastAsia="Times New Roman"/>
          <w:b w:val="0"/>
          <w:i w:val="0"/>
          <w:color w:val="000000"/>
          <w:sz w:val="24"/>
        </w:rPr>
        <w:t>Los comandos siguientes reproducen las suites en un entorno con Node 22 y Python 3.12:</w:t>
      </w:r>
    </w:p>
    <w:p>
      <w:pPr>
        <w:spacing w:after="160" w:before="0" w:line="360" w:lineRule="auto"/>
        <w:ind w:firstLine="0"/>
        <w:jc w:val="left"/>
      </w:pPr>
      <w:r>
        <w:rPr>
          <w:rFonts w:ascii="Times New Roman" w:hAnsi="Times New Roman" w:eastAsia="Times New Roman"/>
          <w:b w:val="0"/>
          <w:i w:val="0"/>
          <w:color w:val="000000"/>
          <w:sz w:val="24"/>
        </w:rPr>
        <w:t>npx tsx --test tests/unit/domain.test.ts</w:t>
      </w:r>
    </w:p>
    <w:p>
      <w:pPr>
        <w:spacing w:after="160" w:before="0" w:line="360" w:lineRule="auto"/>
        <w:ind w:firstLine="0"/>
        <w:jc w:val="left"/>
      </w:pPr>
      <w:r>
        <w:rPr>
          <w:rFonts w:ascii="Times New Roman" w:hAnsi="Times New Roman" w:eastAsia="Times New Roman"/>
          <w:b w:val="0"/>
          <w:i w:val="0"/>
          <w:color w:val="000000"/>
          <w:sz w:val="24"/>
        </w:rPr>
        <w:t>pytest tests/unit tests/acceptance tests/api tests/security tests/performance -q</w:t>
      </w:r>
    </w:p>
    <w:p>
      <w:pPr>
        <w:spacing w:after="160" w:before="0" w:line="360" w:lineRule="auto"/>
        <w:ind w:firstLine="0"/>
        <w:jc w:val="left"/>
      </w:pPr>
      <w:r>
        <w:rPr>
          <w:rFonts w:ascii="Times New Roman" w:hAnsi="Times New Roman" w:eastAsia="Times New Roman"/>
          <w:b w:val="0"/>
          <w:i w:val="0"/>
          <w:color w:val="000000"/>
          <w:sz w:val="24"/>
        </w:rPr>
        <w:t>E2E_EMAIL=… E2E_PASSWORD=… npx playwright test --config tests/e2e/playwright.config.ts</w:t>
      </w:r>
    </w:p>
    <w:p>
      <w:pPr>
        <w:spacing w:after="160" w:before="0" w:line="360" w:lineRule="auto"/>
        <w:ind w:firstLine="0"/>
        <w:jc w:val="left"/>
      </w:pPr>
      <w:r>
        <w:rPr>
          <w:rFonts w:ascii="Times New Roman" w:hAnsi="Times New Roman" w:eastAsia="Times New Roman"/>
          <w:b w:val="0"/>
          <w:i w:val="0"/>
          <w:color w:val="000000"/>
          <w:sz w:val="24"/>
        </w:rPr>
        <w:t>python3 tests/quality/analyze_quality.py</w:t>
      </w:r>
    </w:p>
    <w:p>
      <w:pPr>
        <w:spacing w:after="160" w:before="0" w:line="360" w:lineRule="auto"/>
        <w:ind w:firstLine="709"/>
        <w:jc w:val="both"/>
      </w:pPr>
      <w:r>
        <w:rPr>
          <w:rFonts w:ascii="Times New Roman" w:hAnsi="Times New Roman" w:eastAsia="Times New Roman"/>
          <w:b w:val="0"/>
          <w:i w:val="0"/>
          <w:color w:val="000000"/>
          <w:sz w:val="24"/>
        </w:rPr>
        <w:t>El repositorio es https://github.com/davidrgj/animal-welfare-platform. El IBA está en src/app/core/welfare-scoring.ts y el SED en src/app/core/simulation.ts. Las políticas de administrador están en supabase/admin-policies.sql.</w:t>
      </w:r>
    </w:p>
    <w:p>
      <w:pPr>
        <w:pStyle w:val="Heading2"/>
        <w:spacing w:before="320" w:after="160"/>
        <w:ind w:firstLine="0"/>
      </w:pPr>
      <w:r>
        <w:rPr>
          <w:rFonts w:ascii="Times New Roman" w:hAnsi="Times New Roman" w:eastAsia="Times New Roman"/>
          <w:b/>
          <w:color w:val="000000"/>
          <w:sz w:val="26"/>
        </w:rPr>
        <w:t>Anexo B. Nota sobre el uso de este fascículo</w:t>
      </w:r>
    </w:p>
    <w:p>
      <w:pPr>
        <w:spacing w:after="160" w:before="0" w:line="360" w:lineRule="auto"/>
        <w:ind w:firstLine="709"/>
        <w:jc w:val="both"/>
      </w:pPr>
      <w:r>
        <w:rPr>
          <w:rFonts w:ascii="Times New Roman" w:hAnsi="Times New Roman" w:eastAsia="Times New Roman"/>
          <w:b w:val="0"/>
          <w:i w:val="0"/>
          <w:color w:val="000000"/>
          <w:sz w:val="24"/>
        </w:rPr>
        <w:t>Este documento está redactado para insertarse como capítulos 12 a 16 del trabajo de grado, sustituyendo la tabla EP preliminar y llenando las secciones de resultados, discusión, conclusiones y recomendaciones que aún no tenían desarrollo. Las referencias deben fusionarse con el capítulo 17 general, eliminando duplicados y conservando un único orden alfabético APA.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