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6ee9f6006e60823bf43e09fbbfc4269577c63e"/>
      <w:r>
        <w:t xml:space="preserve">Updated Response Text Based on Current Reanalysis</w:t>
      </w:r>
      <w:bookmarkEnd w:id="20"/>
    </w:p>
    <w:p>
      <w:pPr>
        <w:pStyle w:val="Heading2"/>
      </w:pPr>
      <w:bookmarkStart w:id="21" w:name="reviewer-1-matched-samples-and-fig.-1g"/>
      <w:r>
        <w:t xml:space="preserve">Reviewer 1: matched samples and Fig. 1G</w:t>
      </w:r>
      <w:bookmarkEnd w:id="21"/>
    </w:p>
    <w:p>
      <w:pPr>
        <w:pStyle w:val="FirstParagraph"/>
      </w:pPr>
      <w:r>
        <w:t xml:space="preserve">We agree that the matched structure should be shown explicitly. The unit of inference is the four matched patient pairs, not the individual cells. In the current all-cell object, patient/sample pairing is recovered from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graft_0701</w:t>
      </w:r>
      <w:r>
        <w:t xml:space="preserve">/</w:t>
      </w:r>
      <w:r>
        <w:rPr>
          <w:rStyle w:val="VerbatimChar"/>
        </w:rPr>
        <w:t xml:space="preserve">PBMC_0701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graft_0708</w:t>
      </w:r>
      <w:r>
        <w:t xml:space="preserve">/</w:t>
      </w:r>
      <w:r>
        <w:rPr>
          <w:rStyle w:val="VerbatimChar"/>
        </w:rPr>
        <w:t xml:space="preserve">PBMC_0708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graft_0712</w:t>
      </w:r>
      <w:r>
        <w:t xml:space="preserve">/</w:t>
      </w:r>
      <w:r>
        <w:rPr>
          <w:rStyle w:val="VerbatimChar"/>
        </w:rPr>
        <w:t xml:space="preserve">PBMC_0712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graft_0825</w:t>
      </w:r>
      <w:r>
        <w:t xml:space="preserve">/</w:t>
      </w:r>
      <w:r>
        <w:rPr>
          <w:rStyle w:val="VerbatimChar"/>
        </w:rPr>
        <w:t xml:space="preserve">PBMC_0825</w:t>
      </w:r>
      <w:r>
        <w:t xml:space="preserve">). The revised panel displays paired sample-level proportions with connecting lines. Most clusters have four usable pairs; clusters with a missing zero/absent sample are reported with their actual number of pairs (for example, cluster 5,</w:t>
      </w:r>
      <w:r>
        <w:t xml:space="preserve"> </w:t>
      </w:r>
      <w:r>
        <w:rPr>
          <w:rStyle w:val="VerbatimChar"/>
        </w:rPr>
        <w:t xml:space="preserve">n = 3</w:t>
      </w:r>
      <w:r>
        <w:t xml:space="preserve">). We do not present individual cells as independent biological replicates.</w:t>
      </w:r>
    </w:p>
    <w:p>
      <w:pPr>
        <w:pStyle w:val="Heading2"/>
      </w:pPr>
      <w:bookmarkStart w:id="22" w:name="reviewer-1-fig.-2-and-fig.-2b"/>
      <w:r>
        <w:t xml:space="preserve">Reviewer 1: Fig. 2 and Fig. 2B</w:t>
      </w:r>
      <w:bookmarkEnd w:id="22"/>
    </w:p>
    <w:p>
      <w:pPr>
        <w:pStyle w:val="FirstParagraph"/>
      </w:pPr>
      <w:r>
        <w:t xml:space="preserve">The original Fig. 2B was checked directly in</w:t>
      </w:r>
      <w:r>
        <w:t xml:space="preserve"> </w:t>
      </w:r>
      <w:r>
        <w:rPr>
          <w:rStyle w:val="VerbatimChar"/>
        </w:rPr>
        <w:t xml:space="preserve">719145_0_merged_1775163128.pdf</w:t>
      </w:r>
      <w:r>
        <w:t xml:space="preserve"> </w:t>
      </w:r>
      <w:r>
        <w:t xml:space="preserve">and is defined as the frequency of 11 annotated T-cell clusters among total T cells in graft versus matched PBMC. We regenerated the table from</w:t>
      </w:r>
      <w:r>
        <w:t xml:space="preserve"> </w:t>
      </w:r>
      <w:r>
        <w:rPr>
          <w:rStyle w:val="VerbatimChar"/>
        </w:rPr>
        <w:t xml:space="preserve">merged_4_with_vdj_T_cells_filter_10_28_2025.RData</w:t>
      </w:r>
      <w:r>
        <w:t xml:space="preserve">, object</w:t>
      </w:r>
      <w:r>
        <w:t xml:space="preserve"> </w:t>
      </w:r>
      <w:r>
        <w:rPr>
          <w:rStyle w:val="VerbatimChar"/>
        </w:rPr>
        <w:t xml:space="preserve">merged_all_T_batchcorrected_filter</w:t>
      </w:r>
      <w:r>
        <w:t xml:space="preserve">, following the original filtering and cluster annotation. The revised</w:t>
      </w:r>
      <w:r>
        <w:t xml:space="preserve"> </w:t>
      </w:r>
      <w:r>
        <w:rPr>
          <w:rStyle w:val="VerbatimChar"/>
        </w:rPr>
        <w:t xml:space="preserve">Fig. 2B</w:t>
      </w:r>
      <w:r>
        <w:t xml:space="preserve"> </w:t>
      </w:r>
      <w:r>
        <w:t xml:space="preserve">table uses</w:t>
      </w:r>
      <w:r>
        <w:t xml:space="preserve"> </w:t>
      </w:r>
      <w:r>
        <w:rPr>
          <w:rStyle w:val="VerbatimChar"/>
        </w:rPr>
        <w:t xml:space="preserve">limma::lmFit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eBayes</w:t>
      </w:r>
      <w:r>
        <w:t xml:space="preserve"> </w:t>
      </w:r>
      <w:r>
        <w:t xml:space="preserve">with design</w:t>
      </w:r>
      <w:r>
        <w:t xml:space="preserve"> </w:t>
      </w:r>
      <w:r>
        <w:rPr>
          <w:rStyle w:val="VerbatimChar"/>
        </w:rPr>
        <w:t xml:space="preserve">~ patient + condition</w:t>
      </w:r>
      <w:r>
        <w:t xml:space="preserve"> </w:t>
      </w:r>
      <w:r>
        <w:t xml:space="preserve">on logit-transformed proportions; zero-count combinations were restored before fitting. Integration and dimensionality wording is limited to parameters confirmed in the current object and generating scripts.</w:t>
      </w:r>
    </w:p>
    <w:p>
      <w:pPr>
        <w:pStyle w:val="Heading2"/>
      </w:pPr>
      <w:bookmarkStart w:id="23" w:name="Xb5addea8a4da6e0dcaa651ad03eda1b60ceddfb"/>
      <w:r>
        <w:t xml:space="preserve">Reviewer 2: human CD8 metabolic profile / HUMESS</w:t>
      </w:r>
      <w:bookmarkEnd w:id="23"/>
    </w:p>
    <w:p>
      <w:pPr>
        <w:pStyle w:val="FirstParagraph"/>
      </w:pPr>
      <w:r>
        <w:t xml:space="preserve">We performed a paired human CD8 transcriptional metabolic analysis with glycolysis-associated scores and patient-level pseudobulk summaries. The current source tables support a graft-associated increase in glycolysis-related transcriptional signal, with all four graft samples higher than their matched PBMC samples. The paired t-test gives</w:t>
      </w:r>
      <w:r>
        <w:t xml:space="preserve"> </w:t>
      </w:r>
      <w:r>
        <w:rPr>
          <w:rStyle w:val="VerbatimChar"/>
        </w:rPr>
        <w:t xml:space="preserve">p = 0.0336</w:t>
      </w:r>
      <w:r>
        <w:t xml:space="preserve">, whereas the paired Wilcoxon sensitivity test gives</w:t>
      </w:r>
      <w:r>
        <w:t xml:space="preserve"> </w:t>
      </w:r>
      <w:r>
        <w:rPr>
          <w:rStyle w:val="VerbatimChar"/>
        </w:rPr>
        <w:t xml:space="preserve">p = 0.1003</w:t>
      </w:r>
      <w:r>
        <w:t xml:space="preserve">. We therefore describe this as a concordant, supportive signal rather than definitive evidence from a large independent cohort.</w:t>
      </w:r>
    </w:p>
    <w:p>
      <w:pPr>
        <w:pStyle w:val="BodyText"/>
      </w:pPr>
      <w:r>
        <w:t xml:space="preserve">The HUMESS analysis was rerun on the verified shared-TCR-clone CD8 subset using paired sample-level pseudobulk inputs. The shared-clone-specific reconstruction completed for both conditions. The resulting graft and PBMC models contained 935 versus 672 model genes, 6,673 versus 6,043 reactions, and 4,205 versus 3,946 metabolites, respectively. Reporter-metabolite output tables are provided; empty directional hit sets are represented by header-only tables. Panel A is split by tissue, and Panel D labels the displayed values as pseudobulk logCPM/edgeR-derived quantities.</w:t>
      </w:r>
    </w:p>
    <w:p>
      <w:pPr>
        <w:pStyle w:val="Heading2"/>
      </w:pPr>
      <w:bookmarkStart w:id="24" w:name="reviewer-2-external-pbmc-comparison"/>
      <w:r>
        <w:t xml:space="preserve">Reviewer 2: external PBMC comparison</w:t>
      </w:r>
      <w:bookmarkEnd w:id="24"/>
    </w:p>
    <w:p>
      <w:pPr>
        <w:pStyle w:val="FirstParagraph"/>
      </w:pPr>
      <w:r>
        <w:t xml:space="preserve">We re-exported the exact sample/tag-level CXCR6-positive CD8 percentages for PBMC:TOT, PBMC:STA, PBMC:BPAR, PBMC:Rejection, and Graft:Rejection. The primary readout uses the strict CD8 denominator and treats the mapped sample tags or matched patients as the biological units.</w:t>
      </w:r>
    </w:p>
    <w:p>
      <w:pPr>
        <w:pStyle w:val="BodyText"/>
      </w:pPr>
      <w:r>
        <w:t xml:space="preserve">The requested two-sided exact permutation comparisons are:</w:t>
      </w:r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Exact p-value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PBMC:Rejection vs PBMC:TOT</w:t>
            </w:r>
          </w:p>
        </w:tc>
        <w:tc>
          <w:p>
            <w:pPr>
              <w:pStyle w:val="Compact"/>
              <w:jc w:val="right"/>
            </w:pPr>
            <w:r>
              <w:t xml:space="preserve">0.0286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PBMC:Rejection vs PBMC:STA</w:t>
            </w:r>
          </w:p>
        </w:tc>
        <w:tc>
          <w:p>
            <w:pPr>
              <w:pStyle w:val="Compact"/>
              <w:jc w:val="right"/>
            </w:pPr>
            <w:r>
              <w:t xml:space="preserve">0.0571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PBMC:Rejection vs PBMC:BPAR</w:t>
            </w:r>
          </w:p>
        </w:tc>
        <w:tc>
          <w:p>
            <w:pPr>
              <w:pStyle w:val="Compact"/>
              <w:jc w:val="right"/>
            </w:pPr>
            <w:r>
              <w:t xml:space="preserve">0.0571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Graft:Rejection vs paired PBMC:Rejection</w:t>
            </w:r>
          </w:p>
        </w:tc>
        <w:tc>
          <w:p>
            <w:pPr>
              <w:pStyle w:val="Compact"/>
              <w:jc w:val="right"/>
            </w:pPr>
            <w:r>
              <w:t xml:space="preserve">0.0071 paired t-test; 0.1250 Wilcoxon sensitivity</w:t>
            </w:r>
          </w:p>
        </w:tc>
      </w:tr>
    </w:tbl>
    <w:p>
      <w:pPr>
        <w:pStyle w:val="BodyText"/>
      </w:pPr>
      <w:r>
        <w:t xml:space="preserve">The mainline paired cluster-frequency analyses were additionally rerun with true</w:t>
      </w:r>
      <w:r>
        <w:t xml:space="preserve"> </w:t>
      </w:r>
      <w:r>
        <w:rPr>
          <w:rStyle w:val="VerbatimChar"/>
        </w:rPr>
        <w:t xml:space="preserve">limma::lmFit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eBayes</w:t>
      </w:r>
      <w:r>
        <w:t xml:space="preserve"> </w:t>
      </w:r>
      <w:r>
        <w:t xml:space="preserve">donor-level models on logit-transformed proportions. The exact GSE224445 contrasts remain permutation/paired tests because their tag-level design is not the same as the primary paired cluster-frequency design; the earlier base-R table is retained only as a sensitivity analysis and is not called empirical-Bayes limma.</w:t>
      </w:r>
    </w:p>
    <w:p>
      <w:pPr>
        <w:pStyle w:val="BodyText"/>
      </w:pPr>
      <w:r>
        <w:rPr>
          <w:rStyle w:val="VerbatimChar"/>
        </w:rPr>
        <w:t xml:space="preserve">TOX</w:t>
      </w:r>
      <w:r>
        <w:t xml:space="preserve"> </w:t>
      </w:r>
      <w:r>
        <w:t xml:space="preserve">is present in the primary CD8 RNA/pseudobulk object and is included in the primary expression audit, but it is absent from the targeted GSE224445 feature-panel matrix. Accordingly, the revised external comparison marks the GSE224445</w:t>
      </w:r>
      <w:r>
        <w:t xml:space="preserve"> </w:t>
      </w:r>
      <w:r>
        <w:rPr>
          <w:rStyle w:val="VerbatimChar"/>
        </w:rPr>
        <w:t xml:space="preserve">TOX</w:t>
      </w:r>
      <w:r>
        <w:t xml:space="preserve"> </w:t>
      </w:r>
      <w:r>
        <w:t xml:space="preserve">panel as unavailable rather than imputing it or treating the two studies as a joint UMAP.</w:t>
      </w:r>
    </w:p>
    <w:p>
      <w:pPr>
        <w:pStyle w:val="Heading2"/>
      </w:pPr>
      <w:bookmarkStart w:id="25" w:name="reviewer-3-in-situ-proliferation"/>
      <w:r>
        <w:t xml:space="preserve">Reviewer 3: in-situ proliferation</w:t>
      </w:r>
      <w:bookmarkEnd w:id="25"/>
    </w:p>
    <w:p>
      <w:pPr>
        <w:pStyle w:val="FirstParagraph"/>
      </w:pPr>
      <w:r>
        <w:t xml:space="preserve">We reanalyzed shared-TCR-clone CD8 cells using G2/M and cell-cycle scoring and added MKI67/CDKN2A feature-plot and patient-level summary outputs. No significant increase in in-situ cycling or proliferation-associated markers was detected in the patient-level comparisons. These data are presented as orthogonal in-situ evidence and are not used to relabel the existing ex-vivo Fig. 3F assay.</w:t>
      </w:r>
    </w:p>
    <w:p>
      <w:pPr>
        <w:pStyle w:val="Heading2"/>
      </w:pPr>
      <w:bookmarkStart w:id="26" w:name="reproducibility-and-release"/>
      <w:r>
        <w:t xml:space="preserve">Reproducibility and release</w:t>
      </w:r>
      <w:bookmarkEnd w:id="26"/>
    </w:p>
    <w:p>
      <w:pPr>
        <w:pStyle w:val="FirstParagraph"/>
      </w:pPr>
      <w:r>
        <w:t xml:space="preserve">All updated source tables, scripts, provenance notes, and unresolved input requirements are being staged under</w:t>
      </w:r>
      <w:r>
        <w:t xml:space="preserve"> </w:t>
      </w:r>
      <w:r>
        <w:rPr>
          <w:rStyle w:val="VerbatimChar"/>
        </w:rPr>
        <w:t xml:space="preserve">figure_revision_2026_07_08/</w:t>
      </w:r>
      <w:r>
        <w:t xml:space="preserve">. The GitHub release will contain code, lightweight source tables, figure-generation instructions, and manifests. Large raw matrices and restricted objects will be referenced by GEO/Figshare accession or documented local path, not silently bundled. The Figshare package will contain the release figures, source tables, session information, checksums, and a machine-readable file manifest.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2026-07-15T22:57:27Z</dcterms:created>
  <dcterms:modified xsi:type="dcterms:W3CDTF">2026-07-15T22:57:27Z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